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Haas G Hunter 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3305 FLAMINGO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VERO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Orchid Island Capital, Inc.</w:t>
              </w:r>
            </w:hyperlink>
            <w:r>
              <w:rPr/>
              <w:t xml:space="preserve"> [ </w:t>
            </w:r>
            <w:r>
              <w:rPr>
                <w:rFonts w:ascii="Times;serif" w:hAnsi="Times;serif"/>
                <w:color w:val="0000FF"/>
                <w:sz w:val="24"/>
                <w:shd w:fill="FFFFFF" w:val="clear"/>
              </w:rPr>
              <w:t>ORC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92"/>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1,189</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138,711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468</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5.77</w:t>
            </w:r>
            <w:r>
              <w:rPr>
                <w:rFonts w:ascii="Times;serif" w:hAnsi="Times;serif"/>
                <w:color w:val="008000"/>
                <w:position w:val="7"/>
                <w:sz w:val="16"/>
                <w:sz w:val="20"/>
                <w:shd w:fill="FFFFFF" w:val="clear"/>
              </w:rPr>
              <w:t>(3)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138,243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7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6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96,750.95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1,189 shares of the Company's common stock issued upon the vesting of Performance Units awarded to the Reporting Person on March 19, 2024 pursuant to the Issuer's 2021 Equity Incentive Plan and 2023 Long Term Equity Incentive Compensation Plan. Cash was paid in lieu of issuing fractional shares based on the closing price of the Company's common stock on September 24,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disposed of these shares of the Company's common stock to the Issuer to satisfy the Reporting Person's tax withholding obligations in connection with the vesting of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represents the closing price of the Company's common stock on September 24,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 Hunter Haas IV</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2283" TargetMode="External"/><Relationship Id="rId5" Type="http://schemas.openxmlformats.org/officeDocument/2006/relationships/hyperlink" Target="http://www.sec.gov/cgi-bin/browse-edgar?action=getcompany&amp;CIK=0001518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3754</Characters>
  <CharactersWithSpaces>4367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