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SCHEDULE 14A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Proxy Statement Pursuant to Section 14(a) of</w:t>
      </w:r>
    </w:p>
    <w:p>
      <w:pPr>
        <w:jc w:val="center"/>
        <w:ind w:right="-1100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the Securities Exchange Act of 1934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(Amendment no. )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80" w:hanging="572"/>
        <w:spacing w:after="0"/>
        <w:tabs>
          <w:tab w:leader="none" w:pos="5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2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80" w:hanging="572"/>
        <w:spacing w:after="0"/>
        <w:tabs>
          <w:tab w:leader="none" w:pos="5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  <w:highlight w:val="black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29" w:lineRule="exact"/>
        <w:rPr>
          <w:rFonts w:ascii="MS PGothic" w:cs="MS PGothic" w:eastAsia="MS PGothic" w:hAnsi="MS PGothic"/>
          <w:sz w:val="18"/>
          <w:szCs w:val="18"/>
          <w:color w:val="auto"/>
          <w:highlight w:val="black"/>
        </w:rPr>
      </w:pPr>
    </w:p>
    <w:p>
      <w:pPr>
        <w:ind w:left="520" w:hanging="512"/>
        <w:spacing w:after="0"/>
        <w:tabs>
          <w:tab w:leader="none" w:pos="5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20" w:hanging="512"/>
        <w:spacing w:after="0"/>
        <w:tabs>
          <w:tab w:leader="none" w:pos="52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80" w:hanging="572"/>
        <w:spacing w:after="0"/>
        <w:tabs>
          <w:tab w:leader="none" w:pos="58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§240.14a-12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ORCHID ISLAND CAPITAL,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Registrant as Specified In Its Charter)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ind w:left="3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(Name of Person(s) Filing Proxy Statement, if other than the Registrant)</w:t>
      </w: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80" w:hanging="572"/>
        <w:spacing w:after="0"/>
        <w:tabs>
          <w:tab w:leader="none" w:pos="58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80" w:hanging="572"/>
        <w:spacing w:after="0"/>
        <w:tabs>
          <w:tab w:leader="none" w:pos="58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80" w:hanging="572"/>
        <w:spacing w:after="0"/>
        <w:tabs>
          <w:tab w:leader="none" w:pos="58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377190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900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397510</wp:posOffset>
            </wp:positionV>
            <wp:extent cx="7132320" cy="700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700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1202690</wp:posOffset>
            </wp:positionH>
            <wp:positionV relativeFrom="page">
              <wp:posOffset>363220</wp:posOffset>
            </wp:positionV>
            <wp:extent cx="5143500" cy="66522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6652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2026-04-27T05:26:26Z</dcterms:created>
  <dcterms:modified xsi:type="dcterms:W3CDTF">2026-04-27T05:26:26Z</dcterms:modified>
</cp:coreProperties>
</file>