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orc20260630_10q.htm"/>
      <w:bookmarkStart w:id="1" w:name="ksorc20260630_10q"/>
      <w:bookmarkEnd w:id="0"/>
      <w:bookmarkEnd w:id="1"/>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 xml:space="preserve">UNITED STATES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 xml:space="preserve">SECURITIES AND EXCHANGE COMMISSION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Washington, D.C. 20549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 w:hAnsi="Times New Roman"/>
          <w:b/>
          <w:caps w:val="false"/>
          <w:smallCaps w:val="false"/>
          <w:sz w:val="20"/>
        </w:rPr>
        <w:t xml:space="preserve">QUARTERLY REPORT PURSUANT TO SECTION 13 OR 15(d) OF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THE SECURITIES EXCHANGE ACT OF 1934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quarterly period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 w:hAnsi="Times New Roman"/>
          <w:b/>
          <w:caps w:val="false"/>
          <w:smallCaps w:val="false"/>
          <w:sz w:val="20"/>
        </w:rPr>
        <w:t>TRANSITION REPORT PURSUANT TO SECTION 13 OR 15(d) OF</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transition period from __________ to 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w:t>
      </w:r>
      <w:r>
        <w:rPr>
          <w:rFonts w:ascii="Times New Roman" w:hAnsi="Times New Roman"/>
          <w:b/>
          <w:caps w:val="false"/>
          <w:smallCaps w:val="false"/>
          <w:sz w:val="20"/>
        </w:rPr>
        <w:t>: 001-35236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952625"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52625" cy="4191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Orchid Island Capital,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030" w:type="dxa"/>
        <w:jc w:val="left"/>
        <w:tblInd w:w="0" w:type="dxa"/>
        <w:tblLayout w:type="fixed"/>
        <w:tblCellMar>
          <w:top w:w="0" w:type="dxa"/>
          <w:left w:w="0" w:type="dxa"/>
          <w:bottom w:w="0" w:type="dxa"/>
          <w:right w:w="0" w:type="dxa"/>
        </w:tblCellMar>
      </w:tblPr>
      <w:tblGrid>
        <w:gridCol w:w="2495"/>
        <w:gridCol w:w="1535"/>
      </w:tblGrid>
      <w:tr>
        <w:trPr/>
        <w:tc>
          <w:tcPr>
            <w:tcW w:w="249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Maryland</w:t>
            </w:r>
          </w:p>
        </w:tc>
        <w:tc>
          <w:tcPr>
            <w:tcW w:w="153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27-3269228</w:t>
            </w:r>
          </w:p>
        </w:tc>
      </w:tr>
      <w:tr>
        <w:trPr/>
        <w:tc>
          <w:tcPr>
            <w:tcW w:w="249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incorporation or organization)</w:t>
            </w:r>
          </w:p>
        </w:tc>
        <w:tc>
          <w:tcPr>
            <w:tcW w:w="153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(I.R.S. Employer</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3305 Flamingo Drive, Vero Beach, Florida 32963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(772) 231-1400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995" w:type="dxa"/>
        <w:jc w:val="left"/>
        <w:tblInd w:w="-7" w:type="dxa"/>
        <w:tblLayout w:type="fixed"/>
        <w:tblCellMar>
          <w:top w:w="28" w:type="dxa"/>
          <w:left w:w="28" w:type="dxa"/>
          <w:bottom w:w="28" w:type="dxa"/>
          <w:right w:w="28" w:type="dxa"/>
        </w:tblCellMar>
      </w:tblPr>
      <w:tblGrid>
        <w:gridCol w:w="2630"/>
        <w:gridCol w:w="1475"/>
        <w:gridCol w:w="3890"/>
      </w:tblGrid>
      <w:tr>
        <w:trPr/>
        <w:tc>
          <w:tcPr>
            <w:tcW w:w="263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1475"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w:t>
            </w:r>
          </w:p>
        </w:tc>
        <w:tc>
          <w:tcPr>
            <w:tcW w:w="389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26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$0.01 par value</w:t>
            </w:r>
          </w:p>
        </w:tc>
        <w:tc>
          <w:tcPr>
            <w:tcW w:w="147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ORC</w:t>
            </w:r>
          </w:p>
        </w:tc>
        <w:tc>
          <w:tcPr>
            <w:tcW w:w="389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pStyle w:val="TextBody"/>
        <w:bidi w:val="0"/>
        <w:spacing w:before="0" w:after="0"/>
        <w:ind w:left="0" w:right="0" w:hanging="0"/>
        <w:jc w:val="left"/>
        <w:rPr>
          <w:caps w:val="false"/>
          <w:smallCaps w:val="false"/>
        </w:rPr>
      </w:pPr>
      <w:r>
        <w:rPr>
          <w:caps w:val="false"/>
          <w:smallCaps w:val="false"/>
        </w:rPr>
        <w:t> </w:t>
      </w:r>
    </w:p>
    <w:tbl>
      <w:tblPr>
        <w:tblW w:w="4505" w:type="dxa"/>
        <w:jc w:val="left"/>
        <w:tblInd w:w="0" w:type="dxa"/>
        <w:tblLayout w:type="fixed"/>
        <w:tblCellMar>
          <w:top w:w="0" w:type="dxa"/>
          <w:left w:w="0" w:type="dxa"/>
          <w:bottom w:w="0" w:type="dxa"/>
          <w:right w:w="0" w:type="dxa"/>
        </w:tblCellMar>
      </w:tblPr>
      <w:tblGrid>
        <w:gridCol w:w="1820"/>
        <w:gridCol w:w="230"/>
        <w:gridCol w:w="2225"/>
        <w:gridCol w:w="230"/>
      </w:tblGrid>
      <w:tr>
        <w:trPr/>
        <w:tc>
          <w:tcPr>
            <w:tcW w:w="1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8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Number of shares outstanding at July 23, 2026: 199,603,438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ORCHID ISLAND CAPITAL,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8259" w:type="dxa"/>
        <w:jc w:val="left"/>
        <w:tblInd w:w="0" w:type="dxa"/>
        <w:tblLayout w:type="fixed"/>
        <w:tblCellMar>
          <w:top w:w="0" w:type="dxa"/>
          <w:left w:w="0" w:type="dxa"/>
          <w:bottom w:w="0" w:type="dxa"/>
          <w:right w:w="0" w:type="dxa"/>
        </w:tblCellMar>
      </w:tblPr>
      <w:tblGrid>
        <w:gridCol w:w="106"/>
        <w:gridCol w:w="7908"/>
        <w:gridCol w:w="245"/>
      </w:tblGrid>
      <w:tr>
        <w:trPr/>
        <w:tc>
          <w:tcPr>
            <w:tcW w:w="8259" w:type="dxa"/>
            <w:gridSpan w:val="3"/>
            <w:tcBorders/>
            <w:vAlign w:val="center"/>
          </w:tcPr>
          <w:p>
            <w:pPr>
              <w:pStyle w:val="TableContents"/>
              <w:bidi w:val="0"/>
              <w:spacing w:before="0" w:after="0"/>
              <w:ind w:left="0" w:right="0" w:hanging="0"/>
              <w:jc w:val="center"/>
              <w:rPr/>
            </w:pPr>
            <w:hyperlink w:anchor="parti">
              <w:r>
                <w:rPr>
                  <w:rStyle w:val="InternetLink"/>
                  <w:rFonts w:ascii="Times New Roman;Times;serif" w:hAnsi="Times New Roman;Times;serif"/>
                  <w:b/>
                  <w:caps w:val="false"/>
                  <w:smallCaps w:val="false"/>
                  <w:sz w:val="20"/>
                </w:rPr>
                <w:t>PART I. FINANCIAL INFORMATION</w:t>
              </w:r>
            </w:hyperlink>
          </w:p>
        </w:tc>
      </w:tr>
      <w:tr>
        <w:trPr/>
        <w:tc>
          <w:tcPr>
            <w:tcW w:w="8259" w:type="dxa"/>
            <w:gridSpan w:val="3"/>
            <w:tcBorders/>
            <w:vAlign w:val="center"/>
          </w:tcPr>
          <w:p>
            <w:pPr>
              <w:pStyle w:val="TableContents"/>
              <w:bidi w:val="0"/>
              <w:spacing w:before="0" w:after="283"/>
              <w:jc w:val="left"/>
              <w:rPr/>
            </w:pPr>
            <w:r>
              <w:rPr/>
              <w:t> </w:t>
            </w:r>
          </w:p>
        </w:tc>
      </w:tr>
      <w:tr>
        <w:trPr/>
        <w:tc>
          <w:tcPr>
            <w:tcW w:w="8014" w:type="dxa"/>
            <w:gridSpan w:val="2"/>
            <w:tcBorders/>
            <w:vAlign w:val="center"/>
          </w:tcPr>
          <w:p>
            <w:pPr>
              <w:pStyle w:val="TableContents"/>
              <w:bidi w:val="0"/>
              <w:spacing w:before="0" w:after="0"/>
              <w:ind w:left="0" w:right="0" w:hanging="0"/>
              <w:jc w:val="left"/>
              <w:rPr/>
            </w:pPr>
            <w:hyperlink w:anchor="parti">
              <w:r>
                <w:rPr>
                  <w:rStyle w:val="InternetLink"/>
                  <w:rFonts w:ascii="Times New Roman;Times;serif" w:hAnsi="Times New Roman;Times;serif"/>
                  <w:caps w:val="false"/>
                  <w:smallCaps w:val="false"/>
                  <w:sz w:val="20"/>
                </w:rPr>
                <w:t>ITEM 1. Financial Statements</w:t>
              </w:r>
            </w:hyperlink>
          </w:p>
        </w:tc>
        <w:tc>
          <w:tcPr>
            <w:tcW w:w="245" w:type="dxa"/>
            <w:tcBorders/>
            <w:vAlign w:val="center"/>
          </w:tcPr>
          <w:p>
            <w:pPr>
              <w:pStyle w:val="TableContents"/>
              <w:bidi w:val="0"/>
              <w:spacing w:before="0" w:after="0"/>
              <w:ind w:left="0" w:right="0" w:hanging="0"/>
              <w:jc w:val="left"/>
              <w:rPr/>
            </w:pPr>
            <w:hyperlink w:anchor="parti">
              <w:r>
                <w:rPr>
                  <w:rStyle w:val="InternetLink"/>
                  <w:rFonts w:ascii="Times New Roman;Times;serif" w:hAnsi="Times New Roman;Times;serif"/>
                  <w:caps w:val="false"/>
                  <w:smallCaps w:val="false"/>
                  <w:sz w:val="20"/>
                </w:rPr>
                <w:t>1</w:t>
              </w:r>
            </w:hyperlink>
          </w:p>
        </w:tc>
      </w:tr>
      <w:tr>
        <w:trPr/>
        <w:tc>
          <w:tcPr>
            <w:tcW w:w="106" w:type="dxa"/>
            <w:tcBorders/>
            <w:vAlign w:val="center"/>
          </w:tcPr>
          <w:p>
            <w:pPr>
              <w:pStyle w:val="TableContents"/>
              <w:bidi w:val="0"/>
              <w:spacing w:before="0" w:after="283"/>
              <w:jc w:val="left"/>
              <w:rPr/>
            </w:pPr>
            <w:r>
              <w:rPr/>
              <w:t> </w:t>
            </w:r>
          </w:p>
        </w:tc>
        <w:tc>
          <w:tcPr>
            <w:tcW w:w="7908" w:type="dxa"/>
            <w:tcBorders/>
            <w:vAlign w:val="center"/>
          </w:tcPr>
          <w:p>
            <w:pPr>
              <w:pStyle w:val="TableContents"/>
              <w:bidi w:val="0"/>
              <w:spacing w:before="0" w:after="0"/>
              <w:ind w:left="0" w:right="0" w:hanging="0"/>
              <w:jc w:val="left"/>
              <w:rPr/>
            </w:pPr>
            <w:hyperlink w:anchor="parti">
              <w:r>
                <w:rPr>
                  <w:rStyle w:val="InternetLink"/>
                  <w:rFonts w:ascii="Times New Roman;Times;serif" w:hAnsi="Times New Roman;Times;serif"/>
                  <w:caps w:val="false"/>
                  <w:smallCaps w:val="false"/>
                  <w:sz w:val="20"/>
                </w:rPr>
                <w:t>Condensed Balance Sheets (unaudited)</w:t>
              </w:r>
            </w:hyperlink>
          </w:p>
        </w:tc>
        <w:tc>
          <w:tcPr>
            <w:tcW w:w="245" w:type="dxa"/>
            <w:tcBorders/>
            <w:vAlign w:val="center"/>
          </w:tcPr>
          <w:p>
            <w:pPr>
              <w:pStyle w:val="TableContents"/>
              <w:bidi w:val="0"/>
              <w:spacing w:before="0" w:after="0"/>
              <w:ind w:left="0" w:right="0" w:hanging="0"/>
              <w:jc w:val="left"/>
              <w:rPr/>
            </w:pPr>
            <w:hyperlink w:anchor="parti">
              <w:r>
                <w:rPr>
                  <w:rStyle w:val="InternetLink"/>
                  <w:rFonts w:ascii="Times New Roman;Times;serif" w:hAnsi="Times New Roman;Times;serif"/>
                  <w:caps w:val="false"/>
                  <w:smallCaps w:val="false"/>
                  <w:sz w:val="20"/>
                </w:rPr>
                <w:t>1</w:t>
              </w:r>
            </w:hyperlink>
          </w:p>
        </w:tc>
      </w:tr>
      <w:tr>
        <w:trPr/>
        <w:tc>
          <w:tcPr>
            <w:tcW w:w="106" w:type="dxa"/>
            <w:tcBorders/>
            <w:vAlign w:val="center"/>
          </w:tcPr>
          <w:p>
            <w:pPr>
              <w:pStyle w:val="TableContents"/>
              <w:bidi w:val="0"/>
              <w:spacing w:before="0" w:after="283"/>
              <w:jc w:val="left"/>
              <w:rPr/>
            </w:pPr>
            <w:r>
              <w:rPr/>
              <w:t> </w:t>
            </w:r>
          </w:p>
        </w:tc>
        <w:tc>
          <w:tcPr>
            <w:tcW w:w="7908" w:type="dxa"/>
            <w:tcBorders/>
            <w:vAlign w:val="center"/>
          </w:tcPr>
          <w:p>
            <w:pPr>
              <w:pStyle w:val="TableContents"/>
              <w:bidi w:val="0"/>
              <w:spacing w:before="0" w:after="0"/>
              <w:ind w:left="0" w:right="0" w:hanging="0"/>
              <w:jc w:val="left"/>
              <w:rPr/>
            </w:pPr>
            <w:hyperlink w:anchor="income">
              <w:r>
                <w:rPr>
                  <w:rStyle w:val="InternetLink"/>
                  <w:rFonts w:ascii="Times New Roman;Times;serif" w:hAnsi="Times New Roman;Times;serif"/>
                  <w:caps w:val="false"/>
                  <w:smallCaps w:val="false"/>
                  <w:sz w:val="20"/>
                </w:rPr>
                <w:t>Condensed Statements of Comprehensive Income (Loss) (unaudited)</w:t>
              </w:r>
            </w:hyperlink>
          </w:p>
        </w:tc>
        <w:tc>
          <w:tcPr>
            <w:tcW w:w="245" w:type="dxa"/>
            <w:tcBorders/>
            <w:vAlign w:val="center"/>
          </w:tcPr>
          <w:p>
            <w:pPr>
              <w:pStyle w:val="TableContents"/>
              <w:bidi w:val="0"/>
              <w:spacing w:before="0" w:after="0"/>
              <w:ind w:left="0" w:right="0" w:hanging="0"/>
              <w:jc w:val="left"/>
              <w:rPr/>
            </w:pPr>
            <w:hyperlink w:anchor="income">
              <w:r>
                <w:rPr>
                  <w:rStyle w:val="InternetLink"/>
                  <w:rFonts w:ascii="Times New Roman;Times;serif" w:hAnsi="Times New Roman;Times;serif"/>
                  <w:caps w:val="false"/>
                  <w:smallCaps w:val="false"/>
                  <w:sz w:val="20"/>
                </w:rPr>
                <w:t>2</w:t>
              </w:r>
            </w:hyperlink>
          </w:p>
        </w:tc>
      </w:tr>
      <w:tr>
        <w:trPr/>
        <w:tc>
          <w:tcPr>
            <w:tcW w:w="106" w:type="dxa"/>
            <w:tcBorders/>
            <w:vAlign w:val="center"/>
          </w:tcPr>
          <w:p>
            <w:pPr>
              <w:pStyle w:val="TableContents"/>
              <w:bidi w:val="0"/>
              <w:spacing w:before="0" w:after="283"/>
              <w:jc w:val="left"/>
              <w:rPr/>
            </w:pPr>
            <w:r>
              <w:rPr/>
              <w:t> </w:t>
            </w:r>
          </w:p>
        </w:tc>
        <w:tc>
          <w:tcPr>
            <w:tcW w:w="7908" w:type="dxa"/>
            <w:tcBorders/>
            <w:vAlign w:val="center"/>
          </w:tcPr>
          <w:p>
            <w:pPr>
              <w:pStyle w:val="TableContents"/>
              <w:bidi w:val="0"/>
              <w:spacing w:before="0" w:after="0"/>
              <w:ind w:left="0" w:right="0" w:hanging="0"/>
              <w:jc w:val="left"/>
              <w:rPr/>
            </w:pPr>
            <w:hyperlink w:anchor="equity">
              <w:r>
                <w:rPr>
                  <w:rStyle w:val="InternetLink"/>
                  <w:rFonts w:ascii="Times New Roman;Times;serif" w:hAnsi="Times New Roman;Times;serif"/>
                  <w:caps w:val="false"/>
                  <w:smallCaps w:val="false"/>
                  <w:sz w:val="20"/>
                </w:rPr>
                <w:t>Condensed Statements of Stockholders’ Equity (unaudited)</w:t>
              </w:r>
            </w:hyperlink>
          </w:p>
        </w:tc>
        <w:tc>
          <w:tcPr>
            <w:tcW w:w="245" w:type="dxa"/>
            <w:tcBorders/>
            <w:vAlign w:val="center"/>
          </w:tcPr>
          <w:p>
            <w:pPr>
              <w:pStyle w:val="TableContents"/>
              <w:bidi w:val="0"/>
              <w:spacing w:before="0" w:after="0"/>
              <w:ind w:left="0" w:right="0" w:hanging="0"/>
              <w:jc w:val="left"/>
              <w:rPr/>
            </w:pPr>
            <w:hyperlink w:anchor="equity">
              <w:r>
                <w:rPr>
                  <w:rStyle w:val="InternetLink"/>
                  <w:rFonts w:ascii="Times New Roman;Times;serif" w:hAnsi="Times New Roman;Times;serif"/>
                  <w:caps w:val="false"/>
                  <w:smallCaps w:val="false"/>
                  <w:sz w:val="20"/>
                </w:rPr>
                <w:t>3</w:t>
              </w:r>
            </w:hyperlink>
          </w:p>
        </w:tc>
      </w:tr>
      <w:tr>
        <w:trPr/>
        <w:tc>
          <w:tcPr>
            <w:tcW w:w="106" w:type="dxa"/>
            <w:tcBorders/>
            <w:vAlign w:val="center"/>
          </w:tcPr>
          <w:p>
            <w:pPr>
              <w:pStyle w:val="TableContents"/>
              <w:bidi w:val="0"/>
              <w:spacing w:before="0" w:after="283"/>
              <w:jc w:val="left"/>
              <w:rPr/>
            </w:pPr>
            <w:r>
              <w:rPr/>
              <w:t> </w:t>
            </w:r>
          </w:p>
        </w:tc>
        <w:tc>
          <w:tcPr>
            <w:tcW w:w="7908" w:type="dxa"/>
            <w:tcBorders/>
            <w:vAlign w:val="center"/>
          </w:tcPr>
          <w:p>
            <w:pPr>
              <w:pStyle w:val="TableContents"/>
              <w:bidi w:val="0"/>
              <w:spacing w:before="0" w:after="0"/>
              <w:ind w:left="0" w:right="0" w:hanging="0"/>
              <w:jc w:val="left"/>
              <w:rPr/>
            </w:pPr>
            <w:hyperlink w:anchor="cfs">
              <w:r>
                <w:rPr>
                  <w:rStyle w:val="InternetLink"/>
                  <w:rFonts w:ascii="Times New Roman;Times;serif" w:hAnsi="Times New Roman;Times;serif"/>
                  <w:caps w:val="false"/>
                  <w:smallCaps w:val="false"/>
                  <w:sz w:val="20"/>
                </w:rPr>
                <w:t>Condensed Statements of Cash Flows (unaudited)</w:t>
              </w:r>
            </w:hyperlink>
          </w:p>
        </w:tc>
        <w:tc>
          <w:tcPr>
            <w:tcW w:w="245" w:type="dxa"/>
            <w:tcBorders/>
            <w:vAlign w:val="center"/>
          </w:tcPr>
          <w:p>
            <w:pPr>
              <w:pStyle w:val="TableContents"/>
              <w:bidi w:val="0"/>
              <w:spacing w:before="0" w:after="0"/>
              <w:ind w:left="0" w:right="0" w:hanging="0"/>
              <w:jc w:val="left"/>
              <w:rPr/>
            </w:pPr>
            <w:hyperlink w:anchor="cfs">
              <w:r>
                <w:rPr>
                  <w:rStyle w:val="InternetLink"/>
                  <w:rFonts w:ascii="Times New Roman;Times;serif" w:hAnsi="Times New Roman;Times;serif"/>
                  <w:caps w:val="false"/>
                  <w:smallCaps w:val="false"/>
                  <w:sz w:val="20"/>
                </w:rPr>
                <w:t>4</w:t>
              </w:r>
            </w:hyperlink>
          </w:p>
        </w:tc>
      </w:tr>
      <w:tr>
        <w:trPr/>
        <w:tc>
          <w:tcPr>
            <w:tcW w:w="106" w:type="dxa"/>
            <w:tcBorders/>
            <w:vAlign w:val="center"/>
          </w:tcPr>
          <w:p>
            <w:pPr>
              <w:pStyle w:val="TableContents"/>
              <w:bidi w:val="0"/>
              <w:spacing w:before="0" w:after="283"/>
              <w:jc w:val="left"/>
              <w:rPr/>
            </w:pPr>
            <w:r>
              <w:rPr/>
              <w:t> </w:t>
            </w:r>
          </w:p>
        </w:tc>
        <w:tc>
          <w:tcPr>
            <w:tcW w:w="7908" w:type="dxa"/>
            <w:tcBorders/>
            <w:vAlign w:val="center"/>
          </w:tcPr>
          <w:p>
            <w:pPr>
              <w:pStyle w:val="TableContents"/>
              <w:bidi w:val="0"/>
              <w:spacing w:before="0" w:after="0"/>
              <w:ind w:left="0" w:right="0" w:hanging="0"/>
              <w:jc w:val="left"/>
              <w:rPr/>
            </w:pPr>
            <w:hyperlink w:anchor="notes">
              <w:r>
                <w:rPr>
                  <w:rStyle w:val="InternetLink"/>
                  <w:rFonts w:ascii="Times New Roman;Times;serif" w:hAnsi="Times New Roman;Times;serif"/>
                  <w:caps w:val="false"/>
                  <w:smallCaps w:val="false"/>
                  <w:sz w:val="20"/>
                </w:rPr>
                <w:t>Notes to Condensed Financial Statements (unaudited)</w:t>
              </w:r>
            </w:hyperlink>
          </w:p>
        </w:tc>
        <w:tc>
          <w:tcPr>
            <w:tcW w:w="245" w:type="dxa"/>
            <w:tcBorders/>
            <w:vAlign w:val="center"/>
          </w:tcPr>
          <w:p>
            <w:pPr>
              <w:pStyle w:val="TableContents"/>
              <w:bidi w:val="0"/>
              <w:spacing w:before="0" w:after="0"/>
              <w:ind w:left="0" w:right="0" w:hanging="0"/>
              <w:jc w:val="left"/>
              <w:rPr/>
            </w:pPr>
            <w:hyperlink w:anchor="notes">
              <w:r>
                <w:rPr>
                  <w:rStyle w:val="InternetLink"/>
                  <w:rFonts w:ascii="Times New Roman;Times;serif" w:hAnsi="Times New Roman;Times;serif"/>
                  <w:caps w:val="false"/>
                  <w:smallCaps w:val="false"/>
                  <w:sz w:val="20"/>
                </w:rPr>
                <w:t>5</w:t>
              </w:r>
            </w:hyperlink>
          </w:p>
        </w:tc>
      </w:tr>
      <w:tr>
        <w:trPr/>
        <w:tc>
          <w:tcPr>
            <w:tcW w:w="8014" w:type="dxa"/>
            <w:gridSpan w:val="2"/>
            <w:tcBorders/>
            <w:vAlign w:val="center"/>
          </w:tcPr>
          <w:p>
            <w:pPr>
              <w:pStyle w:val="TableContents"/>
              <w:bidi w:val="0"/>
              <w:spacing w:before="0" w:after="0"/>
              <w:ind w:left="0" w:right="0" w:hanging="0"/>
              <w:jc w:val="left"/>
              <w:rPr/>
            </w:pPr>
            <w:hyperlink w:anchor="mda">
              <w:r>
                <w:rPr>
                  <w:rStyle w:val="InternetLink"/>
                  <w:rFonts w:ascii="Times New Roman;Times;serif" w:hAnsi="Times New Roman;Times;serif"/>
                  <w:caps w:val="false"/>
                  <w:smallCaps w:val="false"/>
                  <w:sz w:val="20"/>
                </w:rPr>
                <w:t>ITEM 2. Management’s Discussion and Analysis of Financial Condition and Results of Operations</w:t>
              </w:r>
            </w:hyperlink>
          </w:p>
        </w:tc>
        <w:tc>
          <w:tcPr>
            <w:tcW w:w="245" w:type="dxa"/>
            <w:tcBorders/>
            <w:vAlign w:val="center"/>
          </w:tcPr>
          <w:p>
            <w:pPr>
              <w:pStyle w:val="TableContents"/>
              <w:bidi w:val="0"/>
              <w:spacing w:before="0" w:after="0"/>
              <w:ind w:left="0" w:right="0" w:hanging="0"/>
              <w:jc w:val="left"/>
              <w:rPr/>
            </w:pPr>
            <w:hyperlink w:anchor="mda">
              <w:r>
                <w:rPr>
                  <w:rStyle w:val="InternetLink"/>
                  <w:rFonts w:ascii="Times New Roman;Times;serif" w:hAnsi="Times New Roman;Times;serif"/>
                  <w:caps w:val="false"/>
                  <w:smallCaps w:val="false"/>
                  <w:sz w:val="20"/>
                </w:rPr>
                <w:t>24</w:t>
              </w:r>
            </w:hyperlink>
          </w:p>
        </w:tc>
      </w:tr>
      <w:tr>
        <w:trPr/>
        <w:tc>
          <w:tcPr>
            <w:tcW w:w="8014" w:type="dxa"/>
            <w:gridSpan w:val="2"/>
            <w:tcBorders/>
            <w:vAlign w:val="center"/>
          </w:tcPr>
          <w:p>
            <w:pPr>
              <w:pStyle w:val="TableContents"/>
              <w:bidi w:val="0"/>
              <w:spacing w:before="0" w:after="0"/>
              <w:ind w:left="0" w:right="0" w:hanging="0"/>
              <w:jc w:val="left"/>
              <w:rPr/>
            </w:pPr>
            <w:hyperlink w:anchor="qqdmr">
              <w:r>
                <w:rPr>
                  <w:rStyle w:val="InternetLink"/>
                  <w:rFonts w:ascii="Times New Roman;Times;serif" w:hAnsi="Times New Roman;Times;serif"/>
                  <w:caps w:val="false"/>
                  <w:smallCaps w:val="false"/>
                  <w:sz w:val="20"/>
                </w:rPr>
                <w:t>ITEM 3. Quantitative and Qualitative Disclosures about Market Risk</w:t>
              </w:r>
            </w:hyperlink>
          </w:p>
        </w:tc>
        <w:tc>
          <w:tcPr>
            <w:tcW w:w="245" w:type="dxa"/>
            <w:tcBorders/>
            <w:vAlign w:val="center"/>
          </w:tcPr>
          <w:p>
            <w:pPr>
              <w:pStyle w:val="TableContents"/>
              <w:bidi w:val="0"/>
              <w:spacing w:before="0" w:after="0"/>
              <w:ind w:left="0" w:right="0" w:hanging="0"/>
              <w:jc w:val="left"/>
              <w:rPr/>
            </w:pPr>
            <w:hyperlink w:anchor="qqdmr">
              <w:r>
                <w:rPr>
                  <w:rStyle w:val="InternetLink"/>
                  <w:rFonts w:ascii="Times New Roman;Times;serif" w:hAnsi="Times New Roman;Times;serif"/>
                  <w:caps w:val="false"/>
                  <w:smallCaps w:val="false"/>
                  <w:sz w:val="20"/>
                </w:rPr>
                <w:t>43</w:t>
              </w:r>
            </w:hyperlink>
          </w:p>
        </w:tc>
      </w:tr>
      <w:tr>
        <w:trPr/>
        <w:tc>
          <w:tcPr>
            <w:tcW w:w="8014" w:type="dxa"/>
            <w:gridSpan w:val="2"/>
            <w:tcBorders/>
            <w:vAlign w:val="center"/>
          </w:tcPr>
          <w:p>
            <w:pPr>
              <w:pStyle w:val="TableContents"/>
              <w:bidi w:val="0"/>
              <w:spacing w:before="0" w:after="0"/>
              <w:ind w:left="0" w:right="0" w:hanging="0"/>
              <w:jc w:val="left"/>
              <w:rPr/>
            </w:pPr>
            <w:hyperlink w:anchor="cps">
              <w:r>
                <w:rPr>
                  <w:rStyle w:val="InternetLink"/>
                  <w:rFonts w:ascii="Times New Roman;Times;serif" w:hAnsi="Times New Roman;Times;serif"/>
                  <w:caps w:val="false"/>
                  <w:smallCaps w:val="false"/>
                  <w:sz w:val="20"/>
                </w:rPr>
                <w:t>ITEM 4. Controls and Procedures</w:t>
              </w:r>
            </w:hyperlink>
          </w:p>
        </w:tc>
        <w:tc>
          <w:tcPr>
            <w:tcW w:w="245" w:type="dxa"/>
            <w:tcBorders/>
            <w:vAlign w:val="center"/>
          </w:tcPr>
          <w:p>
            <w:pPr>
              <w:pStyle w:val="TableContents"/>
              <w:bidi w:val="0"/>
              <w:spacing w:before="0" w:after="0"/>
              <w:ind w:left="0" w:right="0" w:hanging="0"/>
              <w:jc w:val="left"/>
              <w:rPr/>
            </w:pPr>
            <w:hyperlink w:anchor="cps">
              <w:r>
                <w:rPr>
                  <w:rStyle w:val="InternetLink"/>
                  <w:rFonts w:ascii="Times New Roman;Times;serif" w:hAnsi="Times New Roman;Times;serif"/>
                  <w:caps w:val="false"/>
                  <w:smallCaps w:val="false"/>
                  <w:sz w:val="20"/>
                </w:rPr>
                <w:t>47</w:t>
              </w:r>
            </w:hyperlink>
          </w:p>
        </w:tc>
      </w:tr>
      <w:tr>
        <w:trPr/>
        <w:tc>
          <w:tcPr>
            <w:tcW w:w="8259" w:type="dxa"/>
            <w:gridSpan w:val="3"/>
            <w:tcBorders/>
            <w:vAlign w:val="center"/>
          </w:tcPr>
          <w:p>
            <w:pPr>
              <w:pStyle w:val="TableContents"/>
              <w:bidi w:val="0"/>
              <w:spacing w:before="0" w:after="283"/>
              <w:jc w:val="left"/>
              <w:rPr/>
            </w:pPr>
            <w:r>
              <w:rPr/>
              <w:t> </w:t>
            </w:r>
          </w:p>
        </w:tc>
      </w:tr>
      <w:tr>
        <w:trPr/>
        <w:tc>
          <w:tcPr>
            <w:tcW w:w="8259" w:type="dxa"/>
            <w:gridSpan w:val="3"/>
            <w:tcBorders/>
            <w:vAlign w:val="center"/>
          </w:tcPr>
          <w:p>
            <w:pPr>
              <w:pStyle w:val="TableContents"/>
              <w:bidi w:val="0"/>
              <w:spacing w:before="0" w:after="0"/>
              <w:ind w:left="0" w:right="0" w:hanging="0"/>
              <w:jc w:val="center"/>
              <w:rPr/>
            </w:pPr>
            <w:hyperlink w:anchor="partii">
              <w:r>
                <w:rPr>
                  <w:rStyle w:val="InternetLink"/>
                  <w:rFonts w:ascii="Times New Roman;Times;serif" w:hAnsi="Times New Roman;Times;serif"/>
                  <w:b/>
                  <w:caps w:val="false"/>
                  <w:smallCaps w:val="false"/>
                  <w:sz w:val="20"/>
                </w:rPr>
                <w:t>PART II. OTHER INFORMATION</w:t>
              </w:r>
            </w:hyperlink>
          </w:p>
        </w:tc>
      </w:tr>
      <w:tr>
        <w:trPr/>
        <w:tc>
          <w:tcPr>
            <w:tcW w:w="8259" w:type="dxa"/>
            <w:gridSpan w:val="3"/>
            <w:tcBorders/>
            <w:vAlign w:val="center"/>
          </w:tcPr>
          <w:p>
            <w:pPr>
              <w:pStyle w:val="TableContents"/>
              <w:bidi w:val="0"/>
              <w:spacing w:before="0" w:after="283"/>
              <w:jc w:val="left"/>
              <w:rPr/>
            </w:pPr>
            <w:r>
              <w:rPr/>
              <w:t> </w:t>
            </w:r>
          </w:p>
        </w:tc>
      </w:tr>
      <w:tr>
        <w:trPr/>
        <w:tc>
          <w:tcPr>
            <w:tcW w:w="8014" w:type="dxa"/>
            <w:gridSpan w:val="2"/>
            <w:tcBorders/>
            <w:vAlign w:val="center"/>
          </w:tcPr>
          <w:p>
            <w:pPr>
              <w:pStyle w:val="TableContents"/>
              <w:bidi w:val="0"/>
              <w:spacing w:before="0" w:after="0"/>
              <w:ind w:left="0" w:right="0" w:hanging="0"/>
              <w:jc w:val="left"/>
              <w:rPr/>
            </w:pPr>
            <w:hyperlink w:anchor="legal">
              <w:r>
                <w:rPr>
                  <w:rStyle w:val="InternetLink"/>
                  <w:rFonts w:ascii="Times New Roman;Times;serif" w:hAnsi="Times New Roman;Times;serif"/>
                  <w:caps w:val="false"/>
                  <w:smallCaps w:val="false"/>
                  <w:sz w:val="20"/>
                </w:rPr>
                <w:t>ITEM 1. Legal Proceedings</w:t>
              </w:r>
            </w:hyperlink>
          </w:p>
        </w:tc>
        <w:tc>
          <w:tcPr>
            <w:tcW w:w="245" w:type="dxa"/>
            <w:tcBorders/>
            <w:vAlign w:val="center"/>
          </w:tcPr>
          <w:p>
            <w:pPr>
              <w:pStyle w:val="TableContents"/>
              <w:bidi w:val="0"/>
              <w:spacing w:before="0" w:after="0"/>
              <w:ind w:left="0" w:right="0" w:hanging="0"/>
              <w:jc w:val="left"/>
              <w:rPr/>
            </w:pPr>
            <w:hyperlink w:anchor="legal">
              <w:r>
                <w:rPr>
                  <w:rStyle w:val="InternetLink"/>
                  <w:rFonts w:ascii="Times New Roman;Times;serif" w:hAnsi="Times New Roman;Times;serif"/>
                  <w:caps w:val="false"/>
                  <w:smallCaps w:val="false"/>
                  <w:sz w:val="20"/>
                </w:rPr>
                <w:t>48</w:t>
              </w:r>
            </w:hyperlink>
          </w:p>
        </w:tc>
      </w:tr>
      <w:tr>
        <w:trPr/>
        <w:tc>
          <w:tcPr>
            <w:tcW w:w="8014" w:type="dxa"/>
            <w:gridSpan w:val="2"/>
            <w:tcBorders/>
            <w:vAlign w:val="center"/>
          </w:tcPr>
          <w:p>
            <w:pPr>
              <w:pStyle w:val="TableContents"/>
              <w:bidi w:val="0"/>
              <w:spacing w:before="0" w:after="0"/>
              <w:ind w:left="0" w:right="0" w:hanging="0"/>
              <w:jc w:val="left"/>
              <w:rPr/>
            </w:pPr>
            <w:hyperlink w:anchor="risks">
              <w:r>
                <w:rPr>
                  <w:rStyle w:val="InternetLink"/>
                  <w:rFonts w:ascii="Times New Roman;Times;serif" w:hAnsi="Times New Roman;Times;serif"/>
                  <w:caps w:val="false"/>
                  <w:smallCaps w:val="false"/>
                  <w:sz w:val="20"/>
                </w:rPr>
                <w:t>ITEM 1A. Risk Factors</w:t>
              </w:r>
            </w:hyperlink>
          </w:p>
        </w:tc>
        <w:tc>
          <w:tcPr>
            <w:tcW w:w="245" w:type="dxa"/>
            <w:tcBorders/>
            <w:vAlign w:val="center"/>
          </w:tcPr>
          <w:p>
            <w:pPr>
              <w:pStyle w:val="TableContents"/>
              <w:bidi w:val="0"/>
              <w:spacing w:before="0" w:after="0"/>
              <w:ind w:left="0" w:right="0" w:hanging="0"/>
              <w:jc w:val="left"/>
              <w:rPr/>
            </w:pPr>
            <w:hyperlink w:anchor="risks">
              <w:r>
                <w:rPr>
                  <w:rStyle w:val="InternetLink"/>
                  <w:rFonts w:ascii="Times New Roman;Times;serif" w:hAnsi="Times New Roman;Times;serif"/>
                  <w:caps w:val="false"/>
                  <w:smallCaps w:val="false"/>
                  <w:sz w:val="20"/>
                </w:rPr>
                <w:t>48</w:t>
              </w:r>
            </w:hyperlink>
          </w:p>
        </w:tc>
      </w:tr>
      <w:tr>
        <w:trPr/>
        <w:tc>
          <w:tcPr>
            <w:tcW w:w="8014" w:type="dxa"/>
            <w:gridSpan w:val="2"/>
            <w:tcBorders/>
            <w:vAlign w:val="center"/>
          </w:tcPr>
          <w:p>
            <w:pPr>
              <w:pStyle w:val="TableContents"/>
              <w:bidi w:val="0"/>
              <w:spacing w:before="0" w:after="0"/>
              <w:ind w:left="0" w:right="0" w:hanging="0"/>
              <w:jc w:val="left"/>
              <w:rPr/>
            </w:pPr>
            <w:hyperlink w:anchor="uses">
              <w:r>
                <w:rPr>
                  <w:rStyle w:val="InternetLink"/>
                  <w:rFonts w:ascii="Times New Roman;Times;serif" w:hAnsi="Times New Roman;Times;serif"/>
                  <w:caps w:val="false"/>
                  <w:smallCaps w:val="false"/>
                  <w:sz w:val="20"/>
                </w:rPr>
                <w:t>ITEM 2. Unregistered Sales of Equity Securities and Use of Proceeds</w:t>
              </w:r>
            </w:hyperlink>
          </w:p>
        </w:tc>
        <w:tc>
          <w:tcPr>
            <w:tcW w:w="245" w:type="dxa"/>
            <w:tcBorders/>
            <w:vAlign w:val="center"/>
          </w:tcPr>
          <w:p>
            <w:pPr>
              <w:pStyle w:val="TableContents"/>
              <w:bidi w:val="0"/>
              <w:spacing w:before="0" w:after="0"/>
              <w:ind w:left="0" w:right="0" w:hanging="0"/>
              <w:jc w:val="left"/>
              <w:rPr/>
            </w:pPr>
            <w:hyperlink w:anchor="uses">
              <w:r>
                <w:rPr>
                  <w:rStyle w:val="InternetLink"/>
                  <w:rFonts w:ascii="Times New Roman;Times;serif" w:hAnsi="Times New Roman;Times;serif"/>
                  <w:caps w:val="false"/>
                  <w:smallCaps w:val="false"/>
                  <w:sz w:val="20"/>
                </w:rPr>
                <w:t>48</w:t>
              </w:r>
            </w:hyperlink>
          </w:p>
        </w:tc>
      </w:tr>
      <w:tr>
        <w:trPr/>
        <w:tc>
          <w:tcPr>
            <w:tcW w:w="8014" w:type="dxa"/>
            <w:gridSpan w:val="2"/>
            <w:tcBorders/>
            <w:vAlign w:val="center"/>
          </w:tcPr>
          <w:p>
            <w:pPr>
              <w:pStyle w:val="TableContents"/>
              <w:bidi w:val="0"/>
              <w:spacing w:before="0" w:after="0"/>
              <w:ind w:left="0" w:right="0" w:hanging="0"/>
              <w:jc w:val="left"/>
              <w:rPr/>
            </w:pPr>
            <w:hyperlink w:anchor="duss">
              <w:r>
                <w:rPr>
                  <w:rStyle w:val="InternetLink"/>
                  <w:rFonts w:ascii="Times New Roman;Times;serif" w:hAnsi="Times New Roman;Times;serif"/>
                  <w:caps w:val="false"/>
                  <w:smallCaps w:val="false"/>
                  <w:sz w:val="20"/>
                </w:rPr>
                <w:t>ITEM 3. Defaults upon Senior Securities</w:t>
              </w:r>
            </w:hyperlink>
          </w:p>
        </w:tc>
        <w:tc>
          <w:tcPr>
            <w:tcW w:w="245" w:type="dxa"/>
            <w:tcBorders/>
            <w:vAlign w:val="center"/>
          </w:tcPr>
          <w:p>
            <w:pPr>
              <w:pStyle w:val="TableContents"/>
              <w:bidi w:val="0"/>
              <w:spacing w:before="0" w:after="0"/>
              <w:ind w:left="0" w:right="0" w:hanging="0"/>
              <w:jc w:val="left"/>
              <w:rPr/>
            </w:pPr>
            <w:hyperlink w:anchor="duss">
              <w:r>
                <w:rPr>
                  <w:rStyle w:val="InternetLink"/>
                  <w:rFonts w:ascii="Times New Roman;Times;serif" w:hAnsi="Times New Roman;Times;serif"/>
                  <w:caps w:val="false"/>
                  <w:smallCaps w:val="false"/>
                  <w:sz w:val="20"/>
                </w:rPr>
                <w:t>48</w:t>
              </w:r>
            </w:hyperlink>
          </w:p>
        </w:tc>
      </w:tr>
      <w:tr>
        <w:trPr/>
        <w:tc>
          <w:tcPr>
            <w:tcW w:w="8014" w:type="dxa"/>
            <w:gridSpan w:val="2"/>
            <w:tcBorders/>
            <w:vAlign w:val="center"/>
          </w:tcPr>
          <w:p>
            <w:pPr>
              <w:pStyle w:val="TableContents"/>
              <w:bidi w:val="0"/>
              <w:spacing w:before="0" w:after="0"/>
              <w:ind w:left="0" w:right="0" w:hanging="0"/>
              <w:jc w:val="left"/>
              <w:rPr/>
            </w:pPr>
            <w:hyperlink w:anchor="msd">
              <w:r>
                <w:rPr>
                  <w:rStyle w:val="InternetLink"/>
                  <w:rFonts w:ascii="Times New Roman;Times;serif" w:hAnsi="Times New Roman;Times;serif"/>
                  <w:caps w:val="false"/>
                  <w:smallCaps w:val="false"/>
                  <w:sz w:val="20"/>
                </w:rPr>
                <w:t>ITEM 4. Mine Safety Disclosures</w:t>
              </w:r>
            </w:hyperlink>
          </w:p>
        </w:tc>
        <w:tc>
          <w:tcPr>
            <w:tcW w:w="245" w:type="dxa"/>
            <w:tcBorders/>
            <w:vAlign w:val="center"/>
          </w:tcPr>
          <w:p>
            <w:pPr>
              <w:pStyle w:val="TableContents"/>
              <w:bidi w:val="0"/>
              <w:spacing w:before="0" w:after="0"/>
              <w:ind w:left="0" w:right="0" w:hanging="0"/>
              <w:jc w:val="left"/>
              <w:rPr/>
            </w:pPr>
            <w:hyperlink w:anchor="msd">
              <w:r>
                <w:rPr>
                  <w:rStyle w:val="InternetLink"/>
                  <w:rFonts w:ascii="Times New Roman;Times;serif" w:hAnsi="Times New Roman;Times;serif"/>
                  <w:caps w:val="false"/>
                  <w:smallCaps w:val="false"/>
                  <w:sz w:val="20"/>
                </w:rPr>
                <w:t>48</w:t>
              </w:r>
            </w:hyperlink>
          </w:p>
        </w:tc>
      </w:tr>
      <w:tr>
        <w:trPr/>
        <w:tc>
          <w:tcPr>
            <w:tcW w:w="8014" w:type="dxa"/>
            <w:gridSpan w:val="2"/>
            <w:tcBorders/>
            <w:vAlign w:val="center"/>
          </w:tcPr>
          <w:p>
            <w:pPr>
              <w:pStyle w:val="TableContents"/>
              <w:bidi w:val="0"/>
              <w:spacing w:before="0" w:after="0"/>
              <w:ind w:left="0" w:right="0" w:hanging="0"/>
              <w:jc w:val="left"/>
              <w:rPr/>
            </w:pPr>
            <w:hyperlink w:anchor="otherinfo">
              <w:r>
                <w:rPr>
                  <w:rStyle w:val="InternetLink"/>
                  <w:rFonts w:ascii="Times New Roman;Times;serif" w:hAnsi="Times New Roman;Times;serif"/>
                  <w:caps w:val="false"/>
                  <w:smallCaps w:val="false"/>
                  <w:sz w:val="20"/>
                </w:rPr>
                <w:t>ITEM 5. Other Information</w:t>
              </w:r>
            </w:hyperlink>
          </w:p>
        </w:tc>
        <w:tc>
          <w:tcPr>
            <w:tcW w:w="245" w:type="dxa"/>
            <w:tcBorders/>
            <w:vAlign w:val="center"/>
          </w:tcPr>
          <w:p>
            <w:pPr>
              <w:pStyle w:val="TableContents"/>
              <w:bidi w:val="0"/>
              <w:spacing w:before="0" w:after="0"/>
              <w:ind w:left="0" w:right="0" w:hanging="0"/>
              <w:jc w:val="left"/>
              <w:rPr/>
            </w:pPr>
            <w:hyperlink w:anchor="otherinfo">
              <w:r>
                <w:rPr>
                  <w:rStyle w:val="InternetLink"/>
                  <w:rFonts w:ascii="Times New Roman;Times;serif" w:hAnsi="Times New Roman;Times;serif"/>
                  <w:caps w:val="false"/>
                  <w:smallCaps w:val="false"/>
                  <w:sz w:val="20"/>
                </w:rPr>
                <w:t>48</w:t>
              </w:r>
            </w:hyperlink>
          </w:p>
        </w:tc>
      </w:tr>
      <w:tr>
        <w:trPr/>
        <w:tc>
          <w:tcPr>
            <w:tcW w:w="8014" w:type="dxa"/>
            <w:gridSpan w:val="2"/>
            <w:tcBorders/>
            <w:vAlign w:val="center"/>
          </w:tcPr>
          <w:p>
            <w:pPr>
              <w:pStyle w:val="TableContents"/>
              <w:bidi w:val="0"/>
              <w:spacing w:before="0" w:after="0"/>
              <w:ind w:left="0" w:right="0" w:hanging="0"/>
              <w:jc w:val="left"/>
              <w:rPr/>
            </w:pPr>
            <w:hyperlink w:anchor="exs">
              <w:r>
                <w:rPr>
                  <w:rStyle w:val="InternetLink"/>
                  <w:rFonts w:ascii="Times New Roman;Times;serif" w:hAnsi="Times New Roman;Times;serif"/>
                  <w:caps w:val="false"/>
                  <w:smallCaps w:val="false"/>
                  <w:sz w:val="20"/>
                </w:rPr>
                <w:t>ITEM 6. Exhibits</w:t>
              </w:r>
            </w:hyperlink>
          </w:p>
        </w:tc>
        <w:tc>
          <w:tcPr>
            <w:tcW w:w="245" w:type="dxa"/>
            <w:tcBorders/>
            <w:vAlign w:val="center"/>
          </w:tcPr>
          <w:p>
            <w:pPr>
              <w:pStyle w:val="TableContents"/>
              <w:bidi w:val="0"/>
              <w:spacing w:before="0" w:after="0"/>
              <w:ind w:left="0" w:right="0" w:hanging="0"/>
              <w:jc w:val="left"/>
              <w:rPr/>
            </w:pPr>
            <w:hyperlink w:anchor="exs">
              <w:r>
                <w:rPr>
                  <w:rStyle w:val="InternetLink"/>
                  <w:rFonts w:ascii="Times New Roman;Times;serif" w:hAnsi="Times New Roman;Times;serif"/>
                  <w:caps w:val="false"/>
                  <w:smallCaps w:val="false"/>
                  <w:sz w:val="20"/>
                </w:rPr>
                <w:t>49</w:t>
              </w:r>
            </w:hyperlink>
          </w:p>
        </w:tc>
      </w:tr>
      <w:tr>
        <w:trPr/>
        <w:tc>
          <w:tcPr>
            <w:tcW w:w="8014" w:type="dxa"/>
            <w:gridSpan w:val="2"/>
            <w:tcBorders/>
            <w:vAlign w:val="center"/>
          </w:tcPr>
          <w:p>
            <w:pPr>
              <w:pStyle w:val="TableContents"/>
              <w:bidi w:val="0"/>
              <w:spacing w:before="0" w:after="0"/>
              <w:ind w:left="0" w:right="0" w:hanging="0"/>
              <w:jc w:val="left"/>
              <w:rPr/>
            </w:pPr>
            <w:hyperlink w:anchor="sigs">
              <w:r>
                <w:rPr>
                  <w:rStyle w:val="InternetLink"/>
                  <w:rFonts w:ascii="Times New Roman;Times;serif" w:hAnsi="Times New Roman;Times;serif"/>
                  <w:caps w:val="false"/>
                  <w:smallCaps w:val="false"/>
                  <w:sz w:val="20"/>
                </w:rPr>
                <w:t>SIGNATURES</w:t>
              </w:r>
            </w:hyperlink>
          </w:p>
        </w:tc>
        <w:tc>
          <w:tcPr>
            <w:tcW w:w="245" w:type="dxa"/>
            <w:tcBorders/>
            <w:vAlign w:val="center"/>
          </w:tcPr>
          <w:p>
            <w:pPr>
              <w:pStyle w:val="TableContents"/>
              <w:bidi w:val="0"/>
              <w:spacing w:before="0" w:after="0"/>
              <w:ind w:left="0" w:right="0" w:hanging="0"/>
              <w:jc w:val="left"/>
              <w:rPr/>
            </w:pPr>
            <w:hyperlink w:anchor="sigs">
              <w:r>
                <w:rPr>
                  <w:rStyle w:val="InternetLink"/>
                  <w:rFonts w:ascii="Times New Roman;Times;serif" w:hAnsi="Times New Roman;Times;serif"/>
                  <w:caps w:val="false"/>
                  <w:smallCaps w:val="false"/>
                  <w:sz w:val="20"/>
                </w:rPr>
                <w:t>50</w:t>
              </w:r>
            </w:hyperlink>
          </w:p>
        </w:tc>
      </w:tr>
    </w:tbl>
    <w:p>
      <w:pPr>
        <w:pStyle w:val="TextBody"/>
        <w:bidi w:val="0"/>
        <w:spacing w:before="0" w:after="0"/>
        <w:ind w:left="0" w:right="0" w:firstLine="180"/>
        <w:jc w:val="center"/>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firstLine="180"/>
        <w:jc w:val="center"/>
        <w:rPr>
          <w:rFonts w:ascii="Times New Roman" w:hAnsi="Times New Roman"/>
          <w:b/>
          <w:caps w:val="false"/>
          <w:smallCaps w:val="false"/>
          <w:sz w:val="20"/>
        </w:rPr>
      </w:pPr>
      <w:bookmarkStart w:id="3" w:name="parti"/>
      <w:bookmarkEnd w:id="3"/>
      <w:r>
        <w:rPr>
          <w:rFonts w:ascii="Times New Roman" w:hAnsi="Times New Roman"/>
          <w:b/>
          <w:caps w:val="false"/>
          <w:smallCaps w:val="false"/>
          <w:sz w:val="20"/>
        </w:rPr>
        <w:t>PART I.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300" w:before="0" w:after="0"/>
        <w:ind w:left="0" w:right="0" w:hanging="0"/>
        <w:jc w:val="center"/>
        <w:rPr>
          <w:rFonts w:ascii="Times New Roman" w:hAnsi="Times New Roman"/>
          <w:b/>
          <w:sz w:val="20"/>
        </w:rPr>
      </w:pPr>
      <w:r>
        <w:rPr>
          <w:rFonts w:ascii="Times New Roman" w:hAnsi="Times New Roman"/>
          <w:b/>
          <w:sz w:val="20"/>
        </w:rPr>
        <w:t>ORCHID ISLAND CAPITAL, INC.</w:t>
      </w:r>
    </w:p>
    <w:p>
      <w:pPr>
        <w:pStyle w:val="TextBody"/>
        <w:bidi w:val="0"/>
        <w:spacing w:lineRule="auto" w:line="300" w:before="0" w:after="0"/>
        <w:ind w:left="0" w:right="0" w:hanging="0"/>
        <w:jc w:val="center"/>
        <w:rPr>
          <w:rFonts w:ascii="Times New Roman" w:hAnsi="Times New Roman"/>
          <w:b/>
          <w:sz w:val="20"/>
        </w:rPr>
      </w:pPr>
      <w:r>
        <w:rPr>
          <w:rFonts w:ascii="Times New Roman" w:hAnsi="Times New Roman"/>
          <w:b/>
          <w:sz w:val="20"/>
        </w:rPr>
        <w:t>CONDENSED BALANCE SHEETS</w:t>
      </w:r>
    </w:p>
    <w:p>
      <w:pPr>
        <w:pStyle w:val="TextBody"/>
        <w:bidi w:val="0"/>
        <w:spacing w:lineRule="auto" w:line="300" w:before="0" w:after="0"/>
        <w:ind w:left="0" w:right="0" w:hanging="0"/>
        <w:jc w:val="center"/>
        <w:rPr>
          <w:rFonts w:ascii="Times New Roman" w:hAnsi="Times New Roman"/>
          <w:b/>
          <w:sz w:val="20"/>
        </w:rPr>
      </w:pPr>
      <w:r>
        <w:rPr>
          <w:rFonts w:ascii="Times New Roman" w:hAnsi="Times New Roman"/>
          <w:b/>
          <w:sz w:val="20"/>
        </w:rPr>
        <w:t>($ in thousands, except per share data)</w:t>
      </w:r>
    </w:p>
    <w:p>
      <w:pPr>
        <w:pStyle w:val="TextBody"/>
        <w:bidi w:val="0"/>
        <w:spacing w:before="0" w:after="0"/>
        <w:ind w:left="0" w:right="0" w:hanging="0"/>
        <w:jc w:val="left"/>
        <w:rPr/>
      </w:pPr>
      <w:r>
        <w:rPr/>
        <w:t> </w:t>
      </w:r>
    </w:p>
    <w:tbl>
      <w:tblPr>
        <w:tblW w:w="10205" w:type="dxa"/>
        <w:jc w:val="left"/>
        <w:tblInd w:w="0" w:type="dxa"/>
        <w:tblLayout w:type="fixed"/>
        <w:tblCellMar>
          <w:top w:w="28" w:type="dxa"/>
          <w:left w:w="0" w:type="dxa"/>
          <w:bottom w:w="0" w:type="dxa"/>
          <w:right w:w="0" w:type="dxa"/>
        </w:tblCellMar>
      </w:tblPr>
      <w:tblGrid>
        <w:gridCol w:w="7991"/>
        <w:gridCol w:w="60"/>
        <w:gridCol w:w="110"/>
        <w:gridCol w:w="840"/>
        <w:gridCol w:w="80"/>
        <w:gridCol w:w="60"/>
        <w:gridCol w:w="114"/>
        <w:gridCol w:w="867"/>
        <w:gridCol w:w="83"/>
      </w:tblGrid>
      <w:tr>
        <w:trPr/>
        <w:tc>
          <w:tcPr>
            <w:tcW w:w="7991" w:type="dxa"/>
            <w:tcBorders>
              <w:top w:val="single" w:sz="2" w:space="0" w:color="000000"/>
            </w:tcBorders>
            <w:shd w:fill="FFFFFF" w:val="clear"/>
            <w:vAlign w:val="center"/>
          </w:tcPr>
          <w:p>
            <w:pPr>
              <w:pStyle w:val="TableContents"/>
              <w:bidi w:val="0"/>
              <w:spacing w:before="0" w:after="283"/>
              <w:jc w:val="left"/>
              <w:rPr/>
            </w:pPr>
            <w:r>
              <w:rPr/>
              <w:t> </w:t>
            </w:r>
          </w:p>
        </w:tc>
        <w:tc>
          <w:tcPr>
            <w:tcW w:w="60" w:type="dxa"/>
            <w:tcBorders>
              <w:top w:val="single" w:sz="2" w:space="0" w:color="000000"/>
            </w:tcBorders>
            <w:shd w:fill="FFFFFF" w:val="clear"/>
            <w:vAlign w:val="center"/>
          </w:tcPr>
          <w:p>
            <w:pPr>
              <w:pStyle w:val="TableContents"/>
              <w:bidi w:val="0"/>
              <w:spacing w:before="0" w:after="283"/>
              <w:ind w:left="0" w:right="0" w:hanging="0"/>
              <w:jc w:val="left"/>
              <w:rPr/>
            </w:pPr>
            <w:r>
              <w:rPr/>
              <w:t> </w:t>
            </w:r>
          </w:p>
        </w:tc>
        <w:tc>
          <w:tcPr>
            <w:tcW w:w="950" w:type="dxa"/>
            <w:gridSpan w:val="2"/>
            <w:tcBorders>
              <w:top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(Unaudited)</w:t>
            </w:r>
          </w:p>
        </w:tc>
        <w:tc>
          <w:tcPr>
            <w:tcW w:w="80" w:type="dxa"/>
            <w:tcBorders>
              <w:top w:val="single" w:sz="2" w:space="0" w:color="000000"/>
            </w:tcBorders>
            <w:shd w:fill="FFFFFF" w:val="clear"/>
            <w:vAlign w:val="center"/>
          </w:tcPr>
          <w:p>
            <w:pPr>
              <w:pStyle w:val="TableContents"/>
              <w:bidi w:val="0"/>
              <w:spacing w:before="0" w:after="283"/>
              <w:jc w:val="left"/>
              <w:rPr/>
            </w:pPr>
            <w:r>
              <w:rPr/>
              <w:t> </w:t>
            </w:r>
          </w:p>
        </w:tc>
        <w:tc>
          <w:tcPr>
            <w:tcW w:w="60" w:type="dxa"/>
            <w:tcBorders>
              <w:top w:val="single" w:sz="2" w:space="0" w:color="000000"/>
            </w:tcBorders>
            <w:shd w:fill="FFFFFF" w:val="clear"/>
            <w:vAlign w:val="center"/>
          </w:tcPr>
          <w:p>
            <w:pPr>
              <w:pStyle w:val="TableContents"/>
              <w:bidi w:val="0"/>
              <w:spacing w:before="0" w:after="283"/>
              <w:jc w:val="left"/>
              <w:rPr/>
            </w:pPr>
            <w:r>
              <w:rPr/>
              <w:t> </w:t>
            </w:r>
          </w:p>
        </w:tc>
        <w:tc>
          <w:tcPr>
            <w:tcW w:w="114" w:type="dxa"/>
            <w:tcBorders>
              <w:top w:val="single" w:sz="2" w:space="0" w:color="000000"/>
            </w:tcBorders>
            <w:shd w:fill="FFFFFF" w:val="clear"/>
            <w:vAlign w:val="center"/>
          </w:tcPr>
          <w:p>
            <w:pPr>
              <w:pStyle w:val="TableContents"/>
              <w:bidi w:val="0"/>
              <w:spacing w:before="0" w:after="283"/>
              <w:jc w:val="left"/>
              <w:rPr/>
            </w:pPr>
            <w:r>
              <w:rPr/>
              <w:t> </w:t>
            </w:r>
          </w:p>
        </w:tc>
        <w:tc>
          <w:tcPr>
            <w:tcW w:w="867" w:type="dxa"/>
            <w:tcBorders>
              <w:top w:val="single" w:sz="2" w:space="0" w:color="000000"/>
            </w:tcBorders>
            <w:shd w:fill="FFFFFF" w:val="clear"/>
            <w:vAlign w:val="center"/>
          </w:tcPr>
          <w:p>
            <w:pPr>
              <w:pStyle w:val="TableContents"/>
              <w:bidi w:val="0"/>
              <w:spacing w:before="0" w:after="283"/>
              <w:jc w:val="center"/>
              <w:rPr/>
            </w:pPr>
            <w:r>
              <w:rPr/>
              <w:t> </w:t>
            </w:r>
          </w:p>
        </w:tc>
        <w:tc>
          <w:tcPr>
            <w:tcW w:w="83" w:type="dxa"/>
            <w:tcBorders>
              <w:top w:val="single" w:sz="2" w:space="0" w:color="000000"/>
            </w:tcBorders>
            <w:shd w:fill="FFFFFF" w:val="clear"/>
            <w:vAlign w:val="center"/>
          </w:tcPr>
          <w:p>
            <w:pPr>
              <w:pStyle w:val="TableContents"/>
              <w:bidi w:val="0"/>
              <w:spacing w:before="0" w:after="283"/>
              <w:jc w:val="left"/>
              <w:rPr/>
            </w:pPr>
            <w:r>
              <w:rPr/>
              <w:t> </w:t>
            </w:r>
          </w:p>
        </w:tc>
      </w:tr>
      <w:tr>
        <w:trPr/>
        <w:tc>
          <w:tcPr>
            <w:tcW w:w="7991"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950" w:type="dxa"/>
            <w:gridSpan w:val="2"/>
            <w:tcBorders/>
            <w:shd w:fill="FFFFFF" w:val="clear"/>
            <w:tcMar>
              <w:top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June 30,</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981" w:type="dxa"/>
            <w:gridSpan w:val="2"/>
            <w:tcBorders/>
            <w:shd w:fill="FFFFFF" w:val="clear"/>
            <w:tcMar>
              <w:top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December 31,</w:t>
            </w:r>
          </w:p>
        </w:tc>
        <w:tc>
          <w:tcPr>
            <w:tcW w:w="83" w:type="dxa"/>
            <w:tcBorders/>
            <w:shd w:fill="FFFFFF" w:val="clear"/>
            <w:tcMar>
              <w:top w:w="0" w:type="dxa"/>
            </w:tcMar>
            <w:vAlign w:val="center"/>
          </w:tcPr>
          <w:p>
            <w:pPr>
              <w:pStyle w:val="TableContents"/>
              <w:bidi w:val="0"/>
              <w:spacing w:before="0" w:after="283"/>
              <w:jc w:val="left"/>
              <w:rPr/>
            </w:pPr>
            <w:r>
              <w:rPr/>
              <w:t> </w:t>
            </w:r>
          </w:p>
        </w:tc>
      </w:tr>
      <w:tr>
        <w:trPr/>
        <w:tc>
          <w:tcPr>
            <w:tcW w:w="7991"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2026</w:t>
            </w:r>
          </w:p>
        </w:tc>
        <w:tc>
          <w:tcPr>
            <w:tcW w:w="8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981" w:type="dxa"/>
            <w:gridSpan w:val="2"/>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2025</w:t>
            </w:r>
          </w:p>
        </w:tc>
        <w:tc>
          <w:tcPr>
            <w:tcW w:w="83"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r>
      <w:tr>
        <w:trPr/>
        <w:tc>
          <w:tcPr>
            <w:tcW w:w="7991" w:type="dxa"/>
            <w:tcBorders/>
            <w:shd w:fill="CCEEFF" w:val="clear"/>
            <w:tcMar>
              <w:top w:w="0"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ASSETS:</w:t>
            </w:r>
          </w:p>
        </w:tc>
        <w:tc>
          <w:tcPr>
            <w:tcW w:w="60" w:type="dxa"/>
            <w:tcBorders/>
            <w:shd w:fill="CCEEFF" w:val="clear"/>
            <w:tcMar>
              <w:top w:w="0" w:type="dxa"/>
            </w:tcMar>
            <w:vAlign w:val="center"/>
          </w:tcPr>
          <w:p>
            <w:pPr>
              <w:pStyle w:val="TableContents"/>
              <w:bidi w:val="0"/>
              <w:spacing w:before="0" w:after="283"/>
              <w:jc w:val="left"/>
              <w:rPr/>
            </w:pPr>
            <w:r>
              <w:rPr/>
              <w:t> </w:t>
            </w:r>
          </w:p>
        </w:tc>
        <w:tc>
          <w:tcPr>
            <w:tcW w:w="110" w:type="dxa"/>
            <w:tcBorders/>
            <w:shd w:fill="CCEEFF" w:val="clear"/>
            <w:tcMar>
              <w:top w:w="0" w:type="dxa"/>
            </w:tcMar>
            <w:vAlign w:val="center"/>
          </w:tcPr>
          <w:p>
            <w:pPr>
              <w:pStyle w:val="TableContents"/>
              <w:bidi w:val="0"/>
              <w:spacing w:before="0" w:after="283"/>
              <w:jc w:val="left"/>
              <w:rPr/>
            </w:pPr>
            <w:r>
              <w:rPr/>
              <w:t> </w:t>
            </w:r>
          </w:p>
        </w:tc>
        <w:tc>
          <w:tcPr>
            <w:tcW w:w="840" w:type="dxa"/>
            <w:tcBorders/>
            <w:shd w:fill="CCEEFF" w:val="clear"/>
            <w:tcMar>
              <w:top w:w="0" w:type="dxa"/>
            </w:tcMar>
            <w:vAlign w:val="center"/>
          </w:tcPr>
          <w:p>
            <w:pPr>
              <w:pStyle w:val="TableContents"/>
              <w:bidi w:val="0"/>
              <w:spacing w:before="0" w:after="283"/>
              <w:jc w:val="left"/>
              <w:rPr/>
            </w:pPr>
            <w:r>
              <w:rPr/>
              <w:t> </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14" w:type="dxa"/>
            <w:tcBorders/>
            <w:shd w:fill="CCEEFF" w:val="clear"/>
            <w:tcMar>
              <w:top w:w="0" w:type="dxa"/>
            </w:tcMar>
            <w:vAlign w:val="center"/>
          </w:tcPr>
          <w:p>
            <w:pPr>
              <w:pStyle w:val="TableContents"/>
              <w:bidi w:val="0"/>
              <w:spacing w:before="0" w:after="283"/>
              <w:jc w:val="left"/>
              <w:rPr/>
            </w:pPr>
            <w:r>
              <w:rPr/>
              <w:t> </w:t>
            </w:r>
          </w:p>
        </w:tc>
        <w:tc>
          <w:tcPr>
            <w:tcW w:w="867" w:type="dxa"/>
            <w:tcBorders/>
            <w:shd w:fill="CCEEFF" w:val="clear"/>
            <w:tcMar>
              <w:top w:w="0" w:type="dxa"/>
            </w:tcMar>
            <w:vAlign w:val="center"/>
          </w:tcPr>
          <w:p>
            <w:pPr>
              <w:pStyle w:val="TableContents"/>
              <w:bidi w:val="0"/>
              <w:spacing w:before="0" w:after="283"/>
              <w:jc w:val="left"/>
              <w:rPr/>
            </w:pPr>
            <w:r>
              <w:rPr/>
              <w:t> </w:t>
            </w:r>
          </w:p>
        </w:tc>
        <w:tc>
          <w:tcPr>
            <w:tcW w:w="83" w:type="dxa"/>
            <w:tcBorders/>
            <w:shd w:fill="CCEEFF" w:val="clear"/>
            <w:tcMar>
              <w:top w:w="0" w:type="dxa"/>
            </w:tcMar>
            <w:vAlign w:val="center"/>
          </w:tcPr>
          <w:p>
            <w:pPr>
              <w:pStyle w:val="TableContents"/>
              <w:bidi w:val="0"/>
              <w:spacing w:before="0" w:after="283"/>
              <w:jc w:val="left"/>
              <w:rPr/>
            </w:pPr>
            <w:r>
              <w:rPr/>
              <w:t> </w:t>
            </w:r>
          </w:p>
        </w:tc>
      </w:tr>
      <w:tr>
        <w:trPr/>
        <w:tc>
          <w:tcPr>
            <w:tcW w:w="7991" w:type="dxa"/>
            <w:tcBorders/>
            <w:shd w:fill="FFFFFF" w:val="clear"/>
            <w:tcMar>
              <w:top w:w="0" w:type="dxa"/>
            </w:tcMar>
            <w:vAlign w:val="center"/>
          </w:tcPr>
          <w:p>
            <w:pPr>
              <w:pStyle w:val="TableContents"/>
              <w:bidi w:val="0"/>
              <w:spacing w:before="0" w:after="0"/>
              <w:ind w:left="180" w:right="0" w:hanging="180"/>
              <w:jc w:val="left"/>
              <w:rPr>
                <w:rFonts w:ascii="Times New Roman" w:hAnsi="Times New Roman"/>
                <w:caps w:val="false"/>
                <w:smallCaps w:val="false"/>
                <w:sz w:val="18"/>
              </w:rPr>
            </w:pPr>
            <w:r>
              <w:rPr>
                <w:rFonts w:ascii="Times New Roman" w:hAnsi="Times New Roman"/>
                <w:caps w:val="false"/>
                <w:smallCaps w:val="false"/>
                <w:sz w:val="18"/>
              </w:rPr>
              <w:t>Mortgage-backed securities, at fair value (includes pledged assets of $11,446,771 and $10,502,743, respectively)</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110" w:type="dxa"/>
            <w:tcBorders/>
            <w:shd w:fill="FFFFFF" w:val="clear"/>
            <w:tcMar>
              <w:top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40" w:type="dxa"/>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11,540,164</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114" w:type="dxa"/>
            <w:tcBorders/>
            <w:shd w:fill="FFFFFF" w:val="clear"/>
            <w:tcMar>
              <w:top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67" w:type="dxa"/>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10,628,658</w:t>
            </w:r>
          </w:p>
        </w:tc>
        <w:tc>
          <w:tcPr>
            <w:tcW w:w="83" w:type="dxa"/>
            <w:tcBorders/>
            <w:shd w:fill="FFFFFF" w:val="clear"/>
            <w:tcMar>
              <w:top w:w="0" w:type="dxa"/>
            </w:tcMar>
            <w:vAlign w:val="center"/>
          </w:tcPr>
          <w:p>
            <w:pPr>
              <w:pStyle w:val="TableContents"/>
              <w:bidi w:val="0"/>
              <w:spacing w:before="0" w:after="283"/>
              <w:jc w:val="left"/>
              <w:rPr/>
            </w:pPr>
            <w:r>
              <w:rPr/>
              <w:t> </w:t>
            </w:r>
          </w:p>
        </w:tc>
      </w:tr>
      <w:tr>
        <w:trPr/>
        <w:tc>
          <w:tcPr>
            <w:tcW w:w="7991" w:type="dxa"/>
            <w:tcBorders/>
            <w:shd w:fill="CCEEFF" w:val="clear"/>
            <w:tcMar>
              <w:top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U.S. Treasury securities, available-for-sale (amortized cost of $183,000 and $134,715; includes pledged assets of $182,862 and $135,133, respectively)</w:t>
            </w:r>
          </w:p>
        </w:tc>
        <w:tc>
          <w:tcPr>
            <w:tcW w:w="60" w:type="dxa"/>
            <w:tcBorders/>
            <w:shd w:fill="CCEEFF" w:val="clear"/>
            <w:tcMar>
              <w:top w:w="0" w:type="dxa"/>
            </w:tcMar>
            <w:vAlign w:val="center"/>
          </w:tcPr>
          <w:p>
            <w:pPr>
              <w:pStyle w:val="TableContents"/>
              <w:bidi w:val="0"/>
              <w:spacing w:before="0" w:after="283"/>
              <w:jc w:val="left"/>
              <w:rPr/>
            </w:pPr>
            <w:r>
              <w:rPr/>
              <w:t> </w:t>
            </w:r>
          </w:p>
        </w:tc>
        <w:tc>
          <w:tcPr>
            <w:tcW w:w="110" w:type="dxa"/>
            <w:tcBorders/>
            <w:shd w:fill="CCEEFF" w:val="clear"/>
            <w:tcMar>
              <w:top w:w="0" w:type="dxa"/>
            </w:tcMar>
            <w:vAlign w:val="center"/>
          </w:tcPr>
          <w:p>
            <w:pPr>
              <w:pStyle w:val="TableContents"/>
              <w:bidi w:val="0"/>
              <w:spacing w:before="0" w:after="283"/>
              <w:jc w:val="left"/>
              <w:rPr/>
            </w:pPr>
            <w:r>
              <w:rPr/>
              <w:t> </w:t>
            </w:r>
          </w:p>
        </w:tc>
        <w:tc>
          <w:tcPr>
            <w:tcW w:w="840"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182,862</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14" w:type="dxa"/>
            <w:tcBorders/>
            <w:shd w:fill="CCEEFF" w:val="clear"/>
            <w:tcMar>
              <w:top w:w="0" w:type="dxa"/>
            </w:tcMar>
            <w:vAlign w:val="center"/>
          </w:tcPr>
          <w:p>
            <w:pPr>
              <w:pStyle w:val="TableContents"/>
              <w:bidi w:val="0"/>
              <w:spacing w:before="0" w:after="283"/>
              <w:jc w:val="left"/>
              <w:rPr/>
            </w:pPr>
            <w:r>
              <w:rPr/>
              <w:t> </w:t>
            </w:r>
          </w:p>
        </w:tc>
        <w:tc>
          <w:tcPr>
            <w:tcW w:w="867"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135,133</w:t>
            </w:r>
          </w:p>
        </w:tc>
        <w:tc>
          <w:tcPr>
            <w:tcW w:w="83" w:type="dxa"/>
            <w:tcBorders/>
            <w:shd w:fill="CCEEFF" w:val="clear"/>
            <w:tcMar>
              <w:top w:w="0" w:type="dxa"/>
            </w:tcMar>
            <w:vAlign w:val="center"/>
          </w:tcPr>
          <w:p>
            <w:pPr>
              <w:pStyle w:val="TableContents"/>
              <w:bidi w:val="0"/>
              <w:spacing w:before="0" w:after="283"/>
              <w:jc w:val="left"/>
              <w:rPr/>
            </w:pPr>
            <w:r>
              <w:rPr/>
              <w:t> </w:t>
            </w:r>
          </w:p>
        </w:tc>
      </w:tr>
      <w:tr>
        <w:trPr/>
        <w:tc>
          <w:tcPr>
            <w:tcW w:w="7991" w:type="dxa"/>
            <w:tcBorders/>
            <w:shd w:fill="FFFF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Cash and cash equivalents</w:t>
            </w:r>
          </w:p>
        </w:tc>
        <w:tc>
          <w:tcPr>
            <w:tcW w:w="60" w:type="dxa"/>
            <w:tcBorders/>
            <w:shd w:fill="FFFFFF" w:val="clear"/>
            <w:tcMar>
              <w:top w:w="0" w:type="dxa"/>
            </w:tcMar>
            <w:vAlign w:val="center"/>
          </w:tcPr>
          <w:p>
            <w:pPr>
              <w:pStyle w:val="TableContents"/>
              <w:bidi w:val="0"/>
              <w:spacing w:before="0" w:after="283"/>
              <w:jc w:val="left"/>
              <w:rPr/>
            </w:pPr>
            <w:r>
              <w:rPr/>
              <w:t> </w:t>
            </w:r>
          </w:p>
        </w:tc>
        <w:tc>
          <w:tcPr>
            <w:tcW w:w="110" w:type="dxa"/>
            <w:tcBorders/>
            <w:shd w:fill="FFFFFF" w:val="clear"/>
            <w:tcMar>
              <w:top w:w="0" w:type="dxa"/>
            </w:tcMar>
            <w:vAlign w:val="center"/>
          </w:tcPr>
          <w:p>
            <w:pPr>
              <w:pStyle w:val="TableContents"/>
              <w:bidi w:val="0"/>
              <w:spacing w:before="0" w:after="283"/>
              <w:ind w:left="0" w:right="0" w:hanging="0"/>
              <w:jc w:val="left"/>
              <w:rPr/>
            </w:pPr>
            <w:r>
              <w:rPr/>
              <w:t> </w:t>
            </w:r>
          </w:p>
        </w:tc>
        <w:tc>
          <w:tcPr>
            <w:tcW w:w="840" w:type="dxa"/>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682,598</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14" w:type="dxa"/>
            <w:tcBorders/>
            <w:shd w:fill="FFFFFF" w:val="clear"/>
            <w:tcMar>
              <w:top w:w="0" w:type="dxa"/>
            </w:tcMar>
            <w:vAlign w:val="center"/>
          </w:tcPr>
          <w:p>
            <w:pPr>
              <w:pStyle w:val="TableContents"/>
              <w:bidi w:val="0"/>
              <w:spacing w:before="0" w:after="283"/>
              <w:ind w:left="0" w:right="0" w:hanging="0"/>
              <w:jc w:val="left"/>
              <w:rPr/>
            </w:pPr>
            <w:r>
              <w:rPr/>
              <w:t> </w:t>
            </w:r>
          </w:p>
        </w:tc>
        <w:tc>
          <w:tcPr>
            <w:tcW w:w="867" w:type="dxa"/>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665,865</w:t>
            </w:r>
          </w:p>
        </w:tc>
        <w:tc>
          <w:tcPr>
            <w:tcW w:w="83" w:type="dxa"/>
            <w:tcBorders/>
            <w:shd w:fill="FFFFFF" w:val="clear"/>
            <w:tcMar>
              <w:top w:w="0" w:type="dxa"/>
            </w:tcMar>
            <w:vAlign w:val="center"/>
          </w:tcPr>
          <w:p>
            <w:pPr>
              <w:pStyle w:val="TableContents"/>
              <w:bidi w:val="0"/>
              <w:spacing w:before="0" w:after="283"/>
              <w:jc w:val="left"/>
              <w:rPr/>
            </w:pPr>
            <w:r>
              <w:rPr/>
              <w:t> </w:t>
            </w:r>
          </w:p>
        </w:tc>
      </w:tr>
      <w:tr>
        <w:trPr/>
        <w:tc>
          <w:tcPr>
            <w:tcW w:w="7991" w:type="dxa"/>
            <w:tcBorders/>
            <w:shd w:fill="CCEE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Restricted cash</w:t>
            </w:r>
          </w:p>
        </w:tc>
        <w:tc>
          <w:tcPr>
            <w:tcW w:w="60" w:type="dxa"/>
            <w:tcBorders/>
            <w:shd w:fill="CCEEFF" w:val="clear"/>
            <w:tcMar>
              <w:top w:w="0" w:type="dxa"/>
            </w:tcMar>
            <w:vAlign w:val="center"/>
          </w:tcPr>
          <w:p>
            <w:pPr>
              <w:pStyle w:val="TableContents"/>
              <w:bidi w:val="0"/>
              <w:spacing w:before="0" w:after="283"/>
              <w:jc w:val="left"/>
              <w:rPr/>
            </w:pPr>
            <w:r>
              <w:rPr/>
              <w:t> </w:t>
            </w:r>
          </w:p>
        </w:tc>
        <w:tc>
          <w:tcPr>
            <w:tcW w:w="110" w:type="dxa"/>
            <w:tcBorders/>
            <w:shd w:fill="CCEEFF" w:val="clear"/>
            <w:tcMar>
              <w:top w:w="0" w:type="dxa"/>
            </w:tcMar>
            <w:vAlign w:val="center"/>
          </w:tcPr>
          <w:p>
            <w:pPr>
              <w:pStyle w:val="TableContents"/>
              <w:bidi w:val="0"/>
              <w:spacing w:before="0" w:after="283"/>
              <w:ind w:left="0" w:right="0" w:hanging="0"/>
              <w:jc w:val="left"/>
              <w:rPr/>
            </w:pPr>
            <w:r>
              <w:rPr/>
              <w:t> </w:t>
            </w:r>
          </w:p>
        </w:tc>
        <w:tc>
          <w:tcPr>
            <w:tcW w:w="840" w:type="dxa"/>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131,037</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14" w:type="dxa"/>
            <w:tcBorders/>
            <w:shd w:fill="CCEEFF" w:val="clear"/>
            <w:tcMar>
              <w:top w:w="0" w:type="dxa"/>
            </w:tcMar>
            <w:vAlign w:val="center"/>
          </w:tcPr>
          <w:p>
            <w:pPr>
              <w:pStyle w:val="TableContents"/>
              <w:bidi w:val="0"/>
              <w:spacing w:before="0" w:after="283"/>
              <w:ind w:left="0" w:right="0" w:hanging="0"/>
              <w:jc w:val="left"/>
              <w:rPr/>
            </w:pPr>
            <w:r>
              <w:rPr/>
              <w:t> </w:t>
            </w:r>
          </w:p>
        </w:tc>
        <w:tc>
          <w:tcPr>
            <w:tcW w:w="867" w:type="dxa"/>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58,696</w:t>
            </w:r>
          </w:p>
        </w:tc>
        <w:tc>
          <w:tcPr>
            <w:tcW w:w="83" w:type="dxa"/>
            <w:tcBorders/>
            <w:shd w:fill="CCEEFF" w:val="clear"/>
            <w:tcMar>
              <w:top w:w="0" w:type="dxa"/>
            </w:tcMar>
            <w:vAlign w:val="center"/>
          </w:tcPr>
          <w:p>
            <w:pPr>
              <w:pStyle w:val="TableContents"/>
              <w:bidi w:val="0"/>
              <w:spacing w:before="0" w:after="283"/>
              <w:jc w:val="left"/>
              <w:rPr/>
            </w:pPr>
            <w:r>
              <w:rPr/>
              <w:t> </w:t>
            </w:r>
          </w:p>
        </w:tc>
      </w:tr>
      <w:tr>
        <w:trPr/>
        <w:tc>
          <w:tcPr>
            <w:tcW w:w="7991" w:type="dxa"/>
            <w:tcBorders/>
            <w:shd w:fill="FFFF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Accrued interest receivable</w:t>
            </w:r>
          </w:p>
        </w:tc>
        <w:tc>
          <w:tcPr>
            <w:tcW w:w="60" w:type="dxa"/>
            <w:tcBorders/>
            <w:shd w:fill="FFFFFF" w:val="clear"/>
            <w:tcMar>
              <w:top w:w="0" w:type="dxa"/>
            </w:tcMar>
            <w:vAlign w:val="center"/>
          </w:tcPr>
          <w:p>
            <w:pPr>
              <w:pStyle w:val="TableContents"/>
              <w:bidi w:val="0"/>
              <w:spacing w:before="0" w:after="283"/>
              <w:jc w:val="left"/>
              <w:rPr/>
            </w:pPr>
            <w:r>
              <w:rPr/>
              <w:t> </w:t>
            </w:r>
          </w:p>
        </w:tc>
        <w:tc>
          <w:tcPr>
            <w:tcW w:w="110" w:type="dxa"/>
            <w:tcBorders/>
            <w:shd w:fill="FFFFFF" w:val="clear"/>
            <w:tcMar>
              <w:top w:w="0" w:type="dxa"/>
            </w:tcMar>
            <w:vAlign w:val="center"/>
          </w:tcPr>
          <w:p>
            <w:pPr>
              <w:pStyle w:val="TableContents"/>
              <w:bidi w:val="0"/>
              <w:spacing w:before="0" w:after="283"/>
              <w:ind w:left="0" w:right="0" w:hanging="0"/>
              <w:jc w:val="left"/>
              <w:rPr/>
            </w:pPr>
            <w:r>
              <w:rPr/>
              <w:t> </w:t>
            </w:r>
          </w:p>
        </w:tc>
        <w:tc>
          <w:tcPr>
            <w:tcW w:w="840" w:type="dxa"/>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53,411</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14" w:type="dxa"/>
            <w:tcBorders/>
            <w:shd w:fill="FFFFFF" w:val="clear"/>
            <w:tcMar>
              <w:top w:w="0" w:type="dxa"/>
            </w:tcMar>
            <w:vAlign w:val="center"/>
          </w:tcPr>
          <w:p>
            <w:pPr>
              <w:pStyle w:val="TableContents"/>
              <w:bidi w:val="0"/>
              <w:spacing w:before="0" w:after="283"/>
              <w:ind w:left="0" w:right="0" w:hanging="0"/>
              <w:jc w:val="left"/>
              <w:rPr/>
            </w:pPr>
            <w:r>
              <w:rPr/>
              <w:t> </w:t>
            </w:r>
          </w:p>
        </w:tc>
        <w:tc>
          <w:tcPr>
            <w:tcW w:w="867" w:type="dxa"/>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49,127</w:t>
            </w:r>
          </w:p>
        </w:tc>
        <w:tc>
          <w:tcPr>
            <w:tcW w:w="83" w:type="dxa"/>
            <w:tcBorders/>
            <w:shd w:fill="FFFFFF" w:val="clear"/>
            <w:tcMar>
              <w:top w:w="0" w:type="dxa"/>
            </w:tcMar>
            <w:vAlign w:val="center"/>
          </w:tcPr>
          <w:p>
            <w:pPr>
              <w:pStyle w:val="TableContents"/>
              <w:bidi w:val="0"/>
              <w:spacing w:before="0" w:after="283"/>
              <w:jc w:val="left"/>
              <w:rPr/>
            </w:pPr>
            <w:r>
              <w:rPr/>
              <w:t> </w:t>
            </w:r>
          </w:p>
        </w:tc>
      </w:tr>
      <w:tr>
        <w:trPr/>
        <w:tc>
          <w:tcPr>
            <w:tcW w:w="7991" w:type="dxa"/>
            <w:tcBorders/>
            <w:shd w:fill="CCEE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Derivative assets</w:t>
            </w:r>
          </w:p>
        </w:tc>
        <w:tc>
          <w:tcPr>
            <w:tcW w:w="60" w:type="dxa"/>
            <w:tcBorders/>
            <w:shd w:fill="CCEEFF" w:val="clear"/>
            <w:tcMar>
              <w:top w:w="0" w:type="dxa"/>
            </w:tcMar>
            <w:vAlign w:val="center"/>
          </w:tcPr>
          <w:p>
            <w:pPr>
              <w:pStyle w:val="TableContents"/>
              <w:bidi w:val="0"/>
              <w:spacing w:before="0" w:after="283"/>
              <w:jc w:val="left"/>
              <w:rPr/>
            </w:pPr>
            <w:r>
              <w:rPr/>
              <w:t> </w:t>
            </w:r>
          </w:p>
        </w:tc>
        <w:tc>
          <w:tcPr>
            <w:tcW w:w="110" w:type="dxa"/>
            <w:tcBorders/>
            <w:shd w:fill="CCEEFF" w:val="clear"/>
            <w:tcMar>
              <w:top w:w="0" w:type="dxa"/>
            </w:tcMar>
            <w:vAlign w:val="center"/>
          </w:tcPr>
          <w:p>
            <w:pPr>
              <w:pStyle w:val="TableContents"/>
              <w:bidi w:val="0"/>
              <w:spacing w:before="0" w:after="283"/>
              <w:ind w:left="0" w:right="0" w:hanging="0"/>
              <w:jc w:val="left"/>
              <w:rPr/>
            </w:pPr>
            <w:r>
              <w:rPr/>
              <w:t> </w:t>
            </w:r>
          </w:p>
        </w:tc>
        <w:tc>
          <w:tcPr>
            <w:tcW w:w="840" w:type="dxa"/>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15,062</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14" w:type="dxa"/>
            <w:tcBorders/>
            <w:shd w:fill="CCEEFF" w:val="clear"/>
            <w:tcMar>
              <w:top w:w="0" w:type="dxa"/>
            </w:tcMar>
            <w:vAlign w:val="center"/>
          </w:tcPr>
          <w:p>
            <w:pPr>
              <w:pStyle w:val="TableContents"/>
              <w:bidi w:val="0"/>
              <w:spacing w:before="0" w:after="283"/>
              <w:ind w:left="0" w:right="0" w:hanging="0"/>
              <w:jc w:val="left"/>
              <w:rPr/>
            </w:pPr>
            <w:r>
              <w:rPr/>
              <w:t> </w:t>
            </w:r>
          </w:p>
        </w:tc>
        <w:tc>
          <w:tcPr>
            <w:tcW w:w="867" w:type="dxa"/>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9,253</w:t>
            </w:r>
          </w:p>
        </w:tc>
        <w:tc>
          <w:tcPr>
            <w:tcW w:w="83" w:type="dxa"/>
            <w:tcBorders/>
            <w:shd w:fill="CCEEFF" w:val="clear"/>
            <w:tcMar>
              <w:top w:w="0" w:type="dxa"/>
            </w:tcMar>
            <w:vAlign w:val="center"/>
          </w:tcPr>
          <w:p>
            <w:pPr>
              <w:pStyle w:val="TableContents"/>
              <w:bidi w:val="0"/>
              <w:spacing w:before="0" w:after="283"/>
              <w:jc w:val="left"/>
              <w:rPr/>
            </w:pPr>
            <w:r>
              <w:rPr/>
              <w:t> </w:t>
            </w:r>
          </w:p>
        </w:tc>
      </w:tr>
      <w:tr>
        <w:trPr/>
        <w:tc>
          <w:tcPr>
            <w:tcW w:w="7991" w:type="dxa"/>
            <w:tcBorders/>
            <w:shd w:fill="FFFFFF" w:val="clear"/>
            <w:tcMar>
              <w:top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Reverse repurchase agreements</w:t>
            </w:r>
          </w:p>
        </w:tc>
        <w:tc>
          <w:tcPr>
            <w:tcW w:w="60" w:type="dxa"/>
            <w:tcBorders/>
            <w:shd w:fill="FFFFFF" w:val="clear"/>
            <w:tcMar>
              <w:top w:w="0" w:type="dxa"/>
            </w:tcMar>
            <w:vAlign w:val="center"/>
          </w:tcPr>
          <w:p>
            <w:pPr>
              <w:pStyle w:val="TableContents"/>
              <w:bidi w:val="0"/>
              <w:spacing w:before="0" w:after="283"/>
              <w:jc w:val="left"/>
              <w:rPr/>
            </w:pPr>
            <w:r>
              <w:rPr/>
              <w:t> </w:t>
            </w:r>
          </w:p>
        </w:tc>
        <w:tc>
          <w:tcPr>
            <w:tcW w:w="110" w:type="dxa"/>
            <w:tcBorders/>
            <w:shd w:fill="FFFFFF" w:val="clear"/>
            <w:tcMar>
              <w:top w:w="0" w:type="dxa"/>
            </w:tcMar>
            <w:vAlign w:val="center"/>
          </w:tcPr>
          <w:p>
            <w:pPr>
              <w:pStyle w:val="TableContents"/>
              <w:bidi w:val="0"/>
              <w:spacing w:before="0" w:after="283"/>
              <w:jc w:val="left"/>
              <w:rPr/>
            </w:pPr>
            <w:r>
              <w:rPr/>
              <w:t> </w:t>
            </w:r>
          </w:p>
        </w:tc>
        <w:tc>
          <w:tcPr>
            <w:tcW w:w="840"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495,828</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14" w:type="dxa"/>
            <w:tcBorders/>
            <w:shd w:fill="FFFFFF" w:val="clear"/>
            <w:tcMar>
              <w:top w:w="0" w:type="dxa"/>
            </w:tcMar>
            <w:vAlign w:val="center"/>
          </w:tcPr>
          <w:p>
            <w:pPr>
              <w:pStyle w:val="TableContents"/>
              <w:bidi w:val="0"/>
              <w:spacing w:before="0" w:after="283"/>
              <w:jc w:val="left"/>
              <w:rPr/>
            </w:pPr>
            <w:r>
              <w:rPr/>
              <w:t> </w:t>
            </w:r>
          </w:p>
        </w:tc>
        <w:tc>
          <w:tcPr>
            <w:tcW w:w="867"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128,613</w:t>
            </w:r>
          </w:p>
        </w:tc>
        <w:tc>
          <w:tcPr>
            <w:tcW w:w="83" w:type="dxa"/>
            <w:tcBorders/>
            <w:shd w:fill="FFFFFF" w:val="clear"/>
            <w:tcMar>
              <w:top w:w="0" w:type="dxa"/>
            </w:tcMar>
            <w:vAlign w:val="center"/>
          </w:tcPr>
          <w:p>
            <w:pPr>
              <w:pStyle w:val="TableContents"/>
              <w:bidi w:val="0"/>
              <w:spacing w:before="0" w:after="283"/>
              <w:jc w:val="left"/>
              <w:rPr/>
            </w:pPr>
            <w:r>
              <w:rPr/>
              <w:t> </w:t>
            </w:r>
          </w:p>
        </w:tc>
      </w:tr>
      <w:tr>
        <w:trPr/>
        <w:tc>
          <w:tcPr>
            <w:tcW w:w="7991" w:type="dxa"/>
            <w:tcBorders/>
            <w:shd w:fill="CCEEFF" w:val="clear"/>
            <w:tcMar>
              <w:top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Receivable for investment securities and TBA transactions</w:t>
            </w:r>
          </w:p>
        </w:tc>
        <w:tc>
          <w:tcPr>
            <w:tcW w:w="60" w:type="dxa"/>
            <w:tcBorders/>
            <w:shd w:fill="CCEEFF" w:val="clear"/>
            <w:tcMar>
              <w:top w:w="0" w:type="dxa"/>
            </w:tcMar>
            <w:vAlign w:val="center"/>
          </w:tcPr>
          <w:p>
            <w:pPr>
              <w:pStyle w:val="TableContents"/>
              <w:bidi w:val="0"/>
              <w:spacing w:before="0" w:after="283"/>
              <w:jc w:val="left"/>
              <w:rPr/>
            </w:pPr>
            <w:r>
              <w:rPr/>
              <w:t> </w:t>
            </w:r>
          </w:p>
        </w:tc>
        <w:tc>
          <w:tcPr>
            <w:tcW w:w="110" w:type="dxa"/>
            <w:tcBorders/>
            <w:shd w:fill="CCEEFF" w:val="clear"/>
            <w:tcMar>
              <w:top w:w="0" w:type="dxa"/>
            </w:tcMar>
            <w:vAlign w:val="center"/>
          </w:tcPr>
          <w:p>
            <w:pPr>
              <w:pStyle w:val="TableContents"/>
              <w:bidi w:val="0"/>
              <w:spacing w:before="0" w:after="283"/>
              <w:jc w:val="left"/>
              <w:rPr/>
            </w:pPr>
            <w:r>
              <w:rPr/>
              <w:t> </w:t>
            </w:r>
          </w:p>
        </w:tc>
        <w:tc>
          <w:tcPr>
            <w:tcW w:w="840"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2,017</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14" w:type="dxa"/>
            <w:tcBorders/>
            <w:shd w:fill="CCEEFF" w:val="clear"/>
            <w:tcMar>
              <w:top w:w="0" w:type="dxa"/>
            </w:tcMar>
            <w:vAlign w:val="center"/>
          </w:tcPr>
          <w:p>
            <w:pPr>
              <w:pStyle w:val="TableContents"/>
              <w:bidi w:val="0"/>
              <w:spacing w:before="0" w:after="283"/>
              <w:jc w:val="left"/>
              <w:rPr/>
            </w:pPr>
            <w:r>
              <w:rPr/>
              <w:t> </w:t>
            </w:r>
          </w:p>
        </w:tc>
        <w:tc>
          <w:tcPr>
            <w:tcW w:w="867"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w:t>
            </w:r>
          </w:p>
        </w:tc>
        <w:tc>
          <w:tcPr>
            <w:tcW w:w="83" w:type="dxa"/>
            <w:tcBorders/>
            <w:shd w:fill="CCEEFF" w:val="clear"/>
            <w:tcMar>
              <w:top w:w="0" w:type="dxa"/>
            </w:tcMar>
            <w:vAlign w:val="center"/>
          </w:tcPr>
          <w:p>
            <w:pPr>
              <w:pStyle w:val="TableContents"/>
              <w:bidi w:val="0"/>
              <w:spacing w:before="0" w:after="283"/>
              <w:jc w:val="left"/>
              <w:rPr/>
            </w:pPr>
            <w:r>
              <w:rPr/>
              <w:t> </w:t>
            </w:r>
          </w:p>
        </w:tc>
      </w:tr>
      <w:tr>
        <w:trPr/>
        <w:tc>
          <w:tcPr>
            <w:tcW w:w="7991"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Other assets</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84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1,133</w:t>
            </w:r>
          </w:p>
        </w:tc>
        <w:tc>
          <w:tcPr>
            <w:tcW w:w="8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114"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867"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648</w:t>
            </w:r>
          </w:p>
        </w:tc>
        <w:tc>
          <w:tcPr>
            <w:tcW w:w="83"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r>
      <w:tr>
        <w:trPr/>
        <w:tc>
          <w:tcPr>
            <w:tcW w:w="7991" w:type="dxa"/>
            <w:tcBorders>
              <w:bottom w:val="double" w:sz="6" w:space="0" w:color="000000"/>
            </w:tcBorders>
            <w:shd w:fill="CCEEFF" w:val="clear"/>
            <w:tcMar>
              <w:top w:w="0" w:type="dxa"/>
              <w:bottom w:w="28"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Total Assets</w:t>
            </w:r>
          </w:p>
        </w:tc>
        <w:tc>
          <w:tcPr>
            <w:tcW w:w="60" w:type="dxa"/>
            <w:tcBorders>
              <w:bottom w:val="double" w:sz="6" w:space="0" w:color="000000"/>
            </w:tcBorders>
            <w:shd w:fill="CCEEFF" w:val="clear"/>
            <w:tcMar>
              <w:top w:w="0" w:type="dxa"/>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top w:w="0" w:type="dxa"/>
              <w:bottom w:w="28"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40" w:type="dxa"/>
            <w:tcBorders>
              <w:bottom w:val="double" w:sz="6" w:space="0" w:color="000000"/>
            </w:tcBorders>
            <w:shd w:fill="CCEEFF" w:val="clear"/>
            <w:tcMar>
              <w:top w:w="0" w:type="dxa"/>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13,104,112</w:t>
            </w:r>
          </w:p>
        </w:tc>
        <w:tc>
          <w:tcPr>
            <w:tcW w:w="80" w:type="dxa"/>
            <w:tcBorders>
              <w:bottom w:val="double" w:sz="6" w:space="0" w:color="000000"/>
            </w:tcBorders>
            <w:shd w:fill="CCEEFF" w:val="clear"/>
            <w:tcMar>
              <w:top w:w="0" w:type="dxa"/>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top w:w="0" w:type="dxa"/>
              <w:bottom w:w="28" w:type="dxa"/>
            </w:tcMar>
            <w:vAlign w:val="center"/>
          </w:tcPr>
          <w:p>
            <w:pPr>
              <w:pStyle w:val="TableContents"/>
              <w:bidi w:val="0"/>
              <w:spacing w:before="0" w:after="283"/>
              <w:ind w:left="0" w:right="0" w:hanging="0"/>
              <w:jc w:val="left"/>
              <w:rPr/>
            </w:pPr>
            <w:r>
              <w:rPr/>
              <w:t> </w:t>
            </w:r>
          </w:p>
        </w:tc>
        <w:tc>
          <w:tcPr>
            <w:tcW w:w="114" w:type="dxa"/>
            <w:tcBorders>
              <w:bottom w:val="double" w:sz="6" w:space="0" w:color="000000"/>
            </w:tcBorders>
            <w:shd w:fill="CCEEFF" w:val="clear"/>
            <w:tcMar>
              <w:top w:w="0" w:type="dxa"/>
              <w:bottom w:w="28"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67" w:type="dxa"/>
            <w:tcBorders>
              <w:bottom w:val="double" w:sz="6" w:space="0" w:color="000000"/>
            </w:tcBorders>
            <w:shd w:fill="CCEEFF" w:val="clear"/>
            <w:tcMar>
              <w:top w:w="0" w:type="dxa"/>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11,675,993</w:t>
            </w:r>
          </w:p>
        </w:tc>
        <w:tc>
          <w:tcPr>
            <w:tcW w:w="83" w:type="dxa"/>
            <w:tcBorders>
              <w:bottom w:val="double" w:sz="6" w:space="0" w:color="000000"/>
            </w:tcBorders>
            <w:shd w:fill="CCEEFF" w:val="clear"/>
            <w:tcMar>
              <w:top w:w="0" w:type="dxa"/>
              <w:bottom w:w="28" w:type="dxa"/>
            </w:tcMar>
            <w:vAlign w:val="center"/>
          </w:tcPr>
          <w:p>
            <w:pPr>
              <w:pStyle w:val="TableContents"/>
              <w:bidi w:val="0"/>
              <w:spacing w:before="0" w:after="283"/>
              <w:jc w:val="left"/>
              <w:rPr/>
            </w:pPr>
            <w:r>
              <w:rPr/>
              <w:t> </w:t>
            </w:r>
          </w:p>
        </w:tc>
      </w:tr>
      <w:tr>
        <w:trPr/>
        <w:tc>
          <w:tcPr>
            <w:tcW w:w="7991"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10" w:type="dxa"/>
            <w:tcBorders/>
            <w:shd w:fill="FFFFFF" w:val="clear"/>
            <w:tcMar>
              <w:top w:w="0" w:type="dxa"/>
            </w:tcMar>
            <w:vAlign w:val="center"/>
          </w:tcPr>
          <w:p>
            <w:pPr>
              <w:pStyle w:val="TableContents"/>
              <w:bidi w:val="0"/>
              <w:spacing w:before="0" w:after="283"/>
              <w:jc w:val="left"/>
              <w:rPr/>
            </w:pPr>
            <w:r>
              <w:rPr/>
              <w:t> </w:t>
            </w:r>
          </w:p>
        </w:tc>
        <w:tc>
          <w:tcPr>
            <w:tcW w:w="840" w:type="dxa"/>
            <w:tcBorders/>
            <w:shd w:fill="FFFFFF" w:val="clear"/>
            <w:tcMar>
              <w:top w:w="0" w:type="dxa"/>
            </w:tcMar>
            <w:vAlign w:val="center"/>
          </w:tcPr>
          <w:p>
            <w:pPr>
              <w:pStyle w:val="TableContents"/>
              <w:bidi w:val="0"/>
              <w:spacing w:before="0" w:after="283"/>
              <w:jc w:val="left"/>
              <w:rPr/>
            </w:pPr>
            <w:r>
              <w:rPr/>
              <w:t> </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14" w:type="dxa"/>
            <w:tcBorders/>
            <w:shd w:fill="FFFFFF" w:val="clear"/>
            <w:tcMar>
              <w:top w:w="0" w:type="dxa"/>
            </w:tcMar>
            <w:vAlign w:val="center"/>
          </w:tcPr>
          <w:p>
            <w:pPr>
              <w:pStyle w:val="TableContents"/>
              <w:bidi w:val="0"/>
              <w:spacing w:before="0" w:after="283"/>
              <w:jc w:val="left"/>
              <w:rPr/>
            </w:pPr>
            <w:r>
              <w:rPr/>
              <w:t> </w:t>
            </w:r>
          </w:p>
        </w:tc>
        <w:tc>
          <w:tcPr>
            <w:tcW w:w="867" w:type="dxa"/>
            <w:tcBorders/>
            <w:shd w:fill="FFFFFF" w:val="clear"/>
            <w:tcMar>
              <w:top w:w="0" w:type="dxa"/>
            </w:tcMar>
            <w:vAlign w:val="center"/>
          </w:tcPr>
          <w:p>
            <w:pPr>
              <w:pStyle w:val="TableContents"/>
              <w:bidi w:val="0"/>
              <w:spacing w:before="0" w:after="283"/>
              <w:jc w:val="left"/>
              <w:rPr/>
            </w:pPr>
            <w:r>
              <w:rPr/>
              <w:t> </w:t>
            </w:r>
          </w:p>
        </w:tc>
        <w:tc>
          <w:tcPr>
            <w:tcW w:w="83" w:type="dxa"/>
            <w:tcBorders/>
            <w:shd w:fill="FFFFFF" w:val="clear"/>
            <w:tcMar>
              <w:top w:w="0" w:type="dxa"/>
            </w:tcMar>
            <w:vAlign w:val="center"/>
          </w:tcPr>
          <w:p>
            <w:pPr>
              <w:pStyle w:val="TableContents"/>
              <w:bidi w:val="0"/>
              <w:spacing w:before="0" w:after="283"/>
              <w:jc w:val="left"/>
              <w:rPr/>
            </w:pPr>
            <w:r>
              <w:rPr/>
              <w:t> </w:t>
            </w:r>
          </w:p>
        </w:tc>
      </w:tr>
      <w:tr>
        <w:trPr/>
        <w:tc>
          <w:tcPr>
            <w:tcW w:w="7991" w:type="dxa"/>
            <w:tcBorders/>
            <w:shd w:fill="CCEEFF" w:val="clear"/>
            <w:tcMar>
              <w:top w:w="0"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LIABILITIES AND STOCKHOLDERS' EQUITY</w:t>
            </w:r>
          </w:p>
        </w:tc>
        <w:tc>
          <w:tcPr>
            <w:tcW w:w="60" w:type="dxa"/>
            <w:tcBorders/>
            <w:shd w:fill="CCEEFF" w:val="clear"/>
            <w:tcMar>
              <w:top w:w="0" w:type="dxa"/>
            </w:tcMar>
            <w:vAlign w:val="center"/>
          </w:tcPr>
          <w:p>
            <w:pPr>
              <w:pStyle w:val="TableContents"/>
              <w:bidi w:val="0"/>
              <w:spacing w:before="0" w:after="283"/>
              <w:jc w:val="left"/>
              <w:rPr/>
            </w:pPr>
            <w:r>
              <w:rPr/>
              <w:t> </w:t>
            </w:r>
          </w:p>
        </w:tc>
        <w:tc>
          <w:tcPr>
            <w:tcW w:w="110" w:type="dxa"/>
            <w:tcBorders/>
            <w:shd w:fill="CCEEFF" w:val="clear"/>
            <w:tcMar>
              <w:top w:w="0" w:type="dxa"/>
            </w:tcMar>
            <w:vAlign w:val="center"/>
          </w:tcPr>
          <w:p>
            <w:pPr>
              <w:pStyle w:val="TableContents"/>
              <w:bidi w:val="0"/>
              <w:spacing w:before="0" w:after="283"/>
              <w:jc w:val="left"/>
              <w:rPr/>
            </w:pPr>
            <w:r>
              <w:rPr/>
              <w:t> </w:t>
            </w:r>
          </w:p>
        </w:tc>
        <w:tc>
          <w:tcPr>
            <w:tcW w:w="840" w:type="dxa"/>
            <w:tcBorders/>
            <w:shd w:fill="CCEEFF" w:val="clear"/>
            <w:tcMar>
              <w:top w:w="0" w:type="dxa"/>
            </w:tcMar>
            <w:vAlign w:val="center"/>
          </w:tcPr>
          <w:p>
            <w:pPr>
              <w:pStyle w:val="TableContents"/>
              <w:bidi w:val="0"/>
              <w:spacing w:before="0" w:after="283"/>
              <w:jc w:val="left"/>
              <w:rPr/>
            </w:pPr>
            <w:r>
              <w:rPr/>
              <w:t> </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14" w:type="dxa"/>
            <w:tcBorders/>
            <w:shd w:fill="CCEEFF" w:val="clear"/>
            <w:tcMar>
              <w:top w:w="0" w:type="dxa"/>
            </w:tcMar>
            <w:vAlign w:val="center"/>
          </w:tcPr>
          <w:p>
            <w:pPr>
              <w:pStyle w:val="TableContents"/>
              <w:bidi w:val="0"/>
              <w:spacing w:before="0" w:after="283"/>
              <w:jc w:val="left"/>
              <w:rPr/>
            </w:pPr>
            <w:r>
              <w:rPr/>
              <w:t> </w:t>
            </w:r>
          </w:p>
        </w:tc>
        <w:tc>
          <w:tcPr>
            <w:tcW w:w="867" w:type="dxa"/>
            <w:tcBorders/>
            <w:shd w:fill="CCEEFF" w:val="clear"/>
            <w:tcMar>
              <w:top w:w="0" w:type="dxa"/>
            </w:tcMar>
            <w:vAlign w:val="center"/>
          </w:tcPr>
          <w:p>
            <w:pPr>
              <w:pStyle w:val="TableContents"/>
              <w:bidi w:val="0"/>
              <w:spacing w:before="0" w:after="283"/>
              <w:jc w:val="left"/>
              <w:rPr/>
            </w:pPr>
            <w:r>
              <w:rPr/>
              <w:t> </w:t>
            </w:r>
          </w:p>
        </w:tc>
        <w:tc>
          <w:tcPr>
            <w:tcW w:w="83" w:type="dxa"/>
            <w:tcBorders/>
            <w:shd w:fill="CCEEFF" w:val="clear"/>
            <w:tcMar>
              <w:top w:w="0" w:type="dxa"/>
            </w:tcMar>
            <w:vAlign w:val="center"/>
          </w:tcPr>
          <w:p>
            <w:pPr>
              <w:pStyle w:val="TableContents"/>
              <w:bidi w:val="0"/>
              <w:spacing w:before="0" w:after="283"/>
              <w:jc w:val="left"/>
              <w:rPr/>
            </w:pPr>
            <w:r>
              <w:rPr/>
              <w:t> </w:t>
            </w:r>
          </w:p>
        </w:tc>
      </w:tr>
      <w:tr>
        <w:trPr/>
        <w:tc>
          <w:tcPr>
            <w:tcW w:w="7991"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10" w:type="dxa"/>
            <w:tcBorders/>
            <w:shd w:fill="FFFFFF" w:val="clear"/>
            <w:tcMar>
              <w:top w:w="0" w:type="dxa"/>
            </w:tcMar>
            <w:vAlign w:val="center"/>
          </w:tcPr>
          <w:p>
            <w:pPr>
              <w:pStyle w:val="TableContents"/>
              <w:bidi w:val="0"/>
              <w:spacing w:before="0" w:after="283"/>
              <w:jc w:val="left"/>
              <w:rPr/>
            </w:pPr>
            <w:r>
              <w:rPr/>
              <w:t> </w:t>
            </w:r>
          </w:p>
        </w:tc>
        <w:tc>
          <w:tcPr>
            <w:tcW w:w="840" w:type="dxa"/>
            <w:tcBorders/>
            <w:shd w:fill="FFFFFF" w:val="clear"/>
            <w:tcMar>
              <w:top w:w="0" w:type="dxa"/>
            </w:tcMar>
            <w:vAlign w:val="center"/>
          </w:tcPr>
          <w:p>
            <w:pPr>
              <w:pStyle w:val="TableContents"/>
              <w:bidi w:val="0"/>
              <w:spacing w:before="0" w:after="283"/>
              <w:jc w:val="left"/>
              <w:rPr/>
            </w:pPr>
            <w:r>
              <w:rPr/>
              <w:t> </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14" w:type="dxa"/>
            <w:tcBorders/>
            <w:shd w:fill="FFFFFF" w:val="clear"/>
            <w:tcMar>
              <w:top w:w="0" w:type="dxa"/>
            </w:tcMar>
            <w:vAlign w:val="center"/>
          </w:tcPr>
          <w:p>
            <w:pPr>
              <w:pStyle w:val="TableContents"/>
              <w:bidi w:val="0"/>
              <w:spacing w:before="0" w:after="283"/>
              <w:jc w:val="left"/>
              <w:rPr/>
            </w:pPr>
            <w:r>
              <w:rPr/>
              <w:t> </w:t>
            </w:r>
          </w:p>
        </w:tc>
        <w:tc>
          <w:tcPr>
            <w:tcW w:w="867" w:type="dxa"/>
            <w:tcBorders/>
            <w:shd w:fill="FFFFFF" w:val="clear"/>
            <w:tcMar>
              <w:top w:w="0" w:type="dxa"/>
            </w:tcMar>
            <w:vAlign w:val="center"/>
          </w:tcPr>
          <w:p>
            <w:pPr>
              <w:pStyle w:val="TableContents"/>
              <w:bidi w:val="0"/>
              <w:spacing w:before="0" w:after="283"/>
              <w:jc w:val="left"/>
              <w:rPr/>
            </w:pPr>
            <w:r>
              <w:rPr/>
              <w:t> </w:t>
            </w:r>
          </w:p>
        </w:tc>
        <w:tc>
          <w:tcPr>
            <w:tcW w:w="83" w:type="dxa"/>
            <w:tcBorders/>
            <w:shd w:fill="FFFFFF" w:val="clear"/>
            <w:tcMar>
              <w:top w:w="0" w:type="dxa"/>
            </w:tcMar>
            <w:vAlign w:val="center"/>
          </w:tcPr>
          <w:p>
            <w:pPr>
              <w:pStyle w:val="TableContents"/>
              <w:bidi w:val="0"/>
              <w:spacing w:before="0" w:after="283"/>
              <w:jc w:val="left"/>
              <w:rPr/>
            </w:pPr>
            <w:r>
              <w:rPr/>
              <w:t> </w:t>
            </w:r>
          </w:p>
        </w:tc>
      </w:tr>
      <w:tr>
        <w:trPr/>
        <w:tc>
          <w:tcPr>
            <w:tcW w:w="7991" w:type="dxa"/>
            <w:tcBorders/>
            <w:shd w:fill="CCEEFF" w:val="clear"/>
            <w:tcMar>
              <w:top w:w="0"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LIABILITIES:</w:t>
            </w:r>
          </w:p>
        </w:tc>
        <w:tc>
          <w:tcPr>
            <w:tcW w:w="60" w:type="dxa"/>
            <w:tcBorders/>
            <w:shd w:fill="CCEEFF" w:val="clear"/>
            <w:tcMar>
              <w:top w:w="0" w:type="dxa"/>
            </w:tcMar>
            <w:vAlign w:val="center"/>
          </w:tcPr>
          <w:p>
            <w:pPr>
              <w:pStyle w:val="TableContents"/>
              <w:bidi w:val="0"/>
              <w:spacing w:before="0" w:after="283"/>
              <w:jc w:val="left"/>
              <w:rPr/>
            </w:pPr>
            <w:r>
              <w:rPr/>
              <w:t> </w:t>
            </w:r>
          </w:p>
        </w:tc>
        <w:tc>
          <w:tcPr>
            <w:tcW w:w="110" w:type="dxa"/>
            <w:tcBorders/>
            <w:shd w:fill="CCEEFF" w:val="clear"/>
            <w:tcMar>
              <w:top w:w="0" w:type="dxa"/>
            </w:tcMar>
            <w:vAlign w:val="center"/>
          </w:tcPr>
          <w:p>
            <w:pPr>
              <w:pStyle w:val="TableContents"/>
              <w:bidi w:val="0"/>
              <w:spacing w:before="0" w:after="283"/>
              <w:jc w:val="left"/>
              <w:rPr/>
            </w:pPr>
            <w:r>
              <w:rPr/>
              <w:t> </w:t>
            </w:r>
          </w:p>
        </w:tc>
        <w:tc>
          <w:tcPr>
            <w:tcW w:w="840" w:type="dxa"/>
            <w:tcBorders/>
            <w:shd w:fill="CCEEFF" w:val="clear"/>
            <w:tcMar>
              <w:top w:w="0" w:type="dxa"/>
            </w:tcMar>
            <w:vAlign w:val="center"/>
          </w:tcPr>
          <w:p>
            <w:pPr>
              <w:pStyle w:val="TableContents"/>
              <w:bidi w:val="0"/>
              <w:spacing w:before="0" w:after="283"/>
              <w:jc w:val="left"/>
              <w:rPr/>
            </w:pPr>
            <w:r>
              <w:rPr/>
              <w:t> </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14" w:type="dxa"/>
            <w:tcBorders/>
            <w:shd w:fill="CCEEFF" w:val="clear"/>
            <w:tcMar>
              <w:top w:w="0" w:type="dxa"/>
            </w:tcMar>
            <w:vAlign w:val="center"/>
          </w:tcPr>
          <w:p>
            <w:pPr>
              <w:pStyle w:val="TableContents"/>
              <w:bidi w:val="0"/>
              <w:spacing w:before="0" w:after="283"/>
              <w:jc w:val="left"/>
              <w:rPr/>
            </w:pPr>
            <w:r>
              <w:rPr/>
              <w:t> </w:t>
            </w:r>
          </w:p>
        </w:tc>
        <w:tc>
          <w:tcPr>
            <w:tcW w:w="867" w:type="dxa"/>
            <w:tcBorders/>
            <w:shd w:fill="CCEEFF" w:val="clear"/>
            <w:tcMar>
              <w:top w:w="0" w:type="dxa"/>
            </w:tcMar>
            <w:vAlign w:val="center"/>
          </w:tcPr>
          <w:p>
            <w:pPr>
              <w:pStyle w:val="TableContents"/>
              <w:bidi w:val="0"/>
              <w:spacing w:before="0" w:after="283"/>
              <w:jc w:val="left"/>
              <w:rPr/>
            </w:pPr>
            <w:r>
              <w:rPr/>
              <w:t> </w:t>
            </w:r>
          </w:p>
        </w:tc>
        <w:tc>
          <w:tcPr>
            <w:tcW w:w="83" w:type="dxa"/>
            <w:tcBorders/>
            <w:shd w:fill="CCEEFF" w:val="clear"/>
            <w:tcMar>
              <w:top w:w="0" w:type="dxa"/>
            </w:tcMar>
            <w:vAlign w:val="center"/>
          </w:tcPr>
          <w:p>
            <w:pPr>
              <w:pStyle w:val="TableContents"/>
              <w:bidi w:val="0"/>
              <w:spacing w:before="0" w:after="283"/>
              <w:jc w:val="left"/>
              <w:rPr/>
            </w:pPr>
            <w:r>
              <w:rPr/>
              <w:t> </w:t>
            </w:r>
          </w:p>
        </w:tc>
      </w:tr>
      <w:tr>
        <w:trPr/>
        <w:tc>
          <w:tcPr>
            <w:tcW w:w="7991" w:type="dxa"/>
            <w:tcBorders/>
            <w:shd w:fill="FFFF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Repurchase agreements</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110" w:type="dxa"/>
            <w:tcBorders/>
            <w:shd w:fill="FFFFFF" w:val="clear"/>
            <w:tcMar>
              <w:top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40" w:type="dxa"/>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11,086,915</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114" w:type="dxa"/>
            <w:tcBorders/>
            <w:shd w:fill="FFFFFF" w:val="clear"/>
            <w:tcMar>
              <w:top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67" w:type="dxa"/>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10,115,466</w:t>
            </w:r>
          </w:p>
        </w:tc>
        <w:tc>
          <w:tcPr>
            <w:tcW w:w="83" w:type="dxa"/>
            <w:tcBorders/>
            <w:shd w:fill="FFFFFF" w:val="clear"/>
            <w:tcMar>
              <w:top w:w="0" w:type="dxa"/>
            </w:tcMar>
            <w:vAlign w:val="center"/>
          </w:tcPr>
          <w:p>
            <w:pPr>
              <w:pStyle w:val="TableContents"/>
              <w:bidi w:val="0"/>
              <w:spacing w:before="0" w:after="283"/>
              <w:jc w:val="left"/>
              <w:rPr/>
            </w:pPr>
            <w:r>
              <w:rPr/>
              <w:t> </w:t>
            </w:r>
          </w:p>
        </w:tc>
      </w:tr>
      <w:tr>
        <w:trPr/>
        <w:tc>
          <w:tcPr>
            <w:tcW w:w="7991" w:type="dxa"/>
            <w:tcBorders/>
            <w:shd w:fill="CCEEFF" w:val="clear"/>
            <w:tcMar>
              <w:top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Payable for investment securities and TBA transactions</w:t>
            </w:r>
          </w:p>
        </w:tc>
        <w:tc>
          <w:tcPr>
            <w:tcW w:w="60" w:type="dxa"/>
            <w:tcBorders/>
            <w:shd w:fill="CCEEFF" w:val="clear"/>
            <w:tcMar>
              <w:top w:w="0" w:type="dxa"/>
            </w:tcMar>
            <w:vAlign w:val="center"/>
          </w:tcPr>
          <w:p>
            <w:pPr>
              <w:pStyle w:val="TableContents"/>
              <w:bidi w:val="0"/>
              <w:spacing w:before="0" w:after="283"/>
              <w:jc w:val="left"/>
              <w:rPr/>
            </w:pPr>
            <w:r>
              <w:rPr/>
              <w:t> </w:t>
            </w:r>
          </w:p>
        </w:tc>
        <w:tc>
          <w:tcPr>
            <w:tcW w:w="110" w:type="dxa"/>
            <w:tcBorders/>
            <w:shd w:fill="CCEEFF" w:val="clear"/>
            <w:tcMar>
              <w:top w:w="0" w:type="dxa"/>
            </w:tcMar>
            <w:vAlign w:val="center"/>
          </w:tcPr>
          <w:p>
            <w:pPr>
              <w:pStyle w:val="TableContents"/>
              <w:bidi w:val="0"/>
              <w:spacing w:before="0" w:after="283"/>
              <w:jc w:val="left"/>
              <w:rPr/>
            </w:pPr>
            <w:r>
              <w:rPr/>
              <w:t> </w:t>
            </w:r>
          </w:p>
        </w:tc>
        <w:tc>
          <w:tcPr>
            <w:tcW w:w="840"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14" w:type="dxa"/>
            <w:tcBorders/>
            <w:shd w:fill="CCEEFF" w:val="clear"/>
            <w:tcMar>
              <w:top w:w="0" w:type="dxa"/>
            </w:tcMar>
            <w:vAlign w:val="center"/>
          </w:tcPr>
          <w:p>
            <w:pPr>
              <w:pStyle w:val="TableContents"/>
              <w:bidi w:val="0"/>
              <w:spacing w:before="0" w:after="283"/>
              <w:jc w:val="left"/>
              <w:rPr/>
            </w:pPr>
            <w:r>
              <w:rPr/>
              <w:t> </w:t>
            </w:r>
          </w:p>
        </w:tc>
        <w:tc>
          <w:tcPr>
            <w:tcW w:w="867"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1,519</w:t>
            </w:r>
          </w:p>
        </w:tc>
        <w:tc>
          <w:tcPr>
            <w:tcW w:w="83" w:type="dxa"/>
            <w:tcBorders/>
            <w:shd w:fill="CCEEFF" w:val="clear"/>
            <w:tcMar>
              <w:top w:w="0" w:type="dxa"/>
            </w:tcMar>
            <w:vAlign w:val="center"/>
          </w:tcPr>
          <w:p>
            <w:pPr>
              <w:pStyle w:val="TableContents"/>
              <w:bidi w:val="0"/>
              <w:spacing w:before="0" w:after="283"/>
              <w:jc w:val="left"/>
              <w:rPr/>
            </w:pPr>
            <w:r>
              <w:rPr/>
              <w:t> </w:t>
            </w:r>
          </w:p>
        </w:tc>
      </w:tr>
      <w:tr>
        <w:trPr/>
        <w:tc>
          <w:tcPr>
            <w:tcW w:w="7991" w:type="dxa"/>
            <w:tcBorders/>
            <w:shd w:fill="FFFF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Dividends payable</w:t>
            </w:r>
          </w:p>
        </w:tc>
        <w:tc>
          <w:tcPr>
            <w:tcW w:w="60" w:type="dxa"/>
            <w:tcBorders/>
            <w:shd w:fill="FFFFFF" w:val="clear"/>
            <w:tcMar>
              <w:top w:w="0" w:type="dxa"/>
            </w:tcMar>
            <w:vAlign w:val="center"/>
          </w:tcPr>
          <w:p>
            <w:pPr>
              <w:pStyle w:val="TableContents"/>
              <w:bidi w:val="0"/>
              <w:spacing w:before="0" w:after="283"/>
              <w:jc w:val="left"/>
              <w:rPr/>
            </w:pPr>
            <w:r>
              <w:rPr/>
              <w:t> </w:t>
            </w:r>
          </w:p>
        </w:tc>
        <w:tc>
          <w:tcPr>
            <w:tcW w:w="110" w:type="dxa"/>
            <w:tcBorders/>
            <w:shd w:fill="FFFFFF" w:val="clear"/>
            <w:tcMar>
              <w:top w:w="0" w:type="dxa"/>
            </w:tcMar>
            <w:vAlign w:val="center"/>
          </w:tcPr>
          <w:p>
            <w:pPr>
              <w:pStyle w:val="TableContents"/>
              <w:bidi w:val="0"/>
              <w:spacing w:before="0" w:after="283"/>
              <w:ind w:left="0" w:right="0" w:hanging="0"/>
              <w:jc w:val="left"/>
              <w:rPr/>
            </w:pPr>
            <w:r>
              <w:rPr/>
              <w:t> </w:t>
            </w:r>
          </w:p>
        </w:tc>
        <w:tc>
          <w:tcPr>
            <w:tcW w:w="840" w:type="dxa"/>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19,986</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14" w:type="dxa"/>
            <w:tcBorders/>
            <w:shd w:fill="FFFFFF" w:val="clear"/>
            <w:tcMar>
              <w:top w:w="0" w:type="dxa"/>
            </w:tcMar>
            <w:vAlign w:val="center"/>
          </w:tcPr>
          <w:p>
            <w:pPr>
              <w:pStyle w:val="TableContents"/>
              <w:bidi w:val="0"/>
              <w:spacing w:before="0" w:after="283"/>
              <w:ind w:left="0" w:right="0" w:hanging="0"/>
              <w:jc w:val="left"/>
              <w:rPr/>
            </w:pPr>
            <w:r>
              <w:rPr/>
              <w:t> </w:t>
            </w:r>
          </w:p>
        </w:tc>
        <w:tc>
          <w:tcPr>
            <w:tcW w:w="867" w:type="dxa"/>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21,865</w:t>
            </w:r>
          </w:p>
        </w:tc>
        <w:tc>
          <w:tcPr>
            <w:tcW w:w="83" w:type="dxa"/>
            <w:tcBorders/>
            <w:shd w:fill="FFFFFF" w:val="clear"/>
            <w:tcMar>
              <w:top w:w="0" w:type="dxa"/>
            </w:tcMar>
            <w:vAlign w:val="center"/>
          </w:tcPr>
          <w:p>
            <w:pPr>
              <w:pStyle w:val="TableContents"/>
              <w:bidi w:val="0"/>
              <w:spacing w:before="0" w:after="283"/>
              <w:jc w:val="left"/>
              <w:rPr/>
            </w:pPr>
            <w:r>
              <w:rPr/>
              <w:t> </w:t>
            </w:r>
          </w:p>
        </w:tc>
      </w:tr>
      <w:tr>
        <w:trPr/>
        <w:tc>
          <w:tcPr>
            <w:tcW w:w="7991" w:type="dxa"/>
            <w:tcBorders/>
            <w:shd w:fill="CCEE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Derivative liabilities</w:t>
            </w:r>
          </w:p>
        </w:tc>
        <w:tc>
          <w:tcPr>
            <w:tcW w:w="60" w:type="dxa"/>
            <w:tcBorders/>
            <w:shd w:fill="CCEEFF" w:val="clear"/>
            <w:tcMar>
              <w:top w:w="0" w:type="dxa"/>
            </w:tcMar>
            <w:vAlign w:val="center"/>
          </w:tcPr>
          <w:p>
            <w:pPr>
              <w:pStyle w:val="TableContents"/>
              <w:bidi w:val="0"/>
              <w:spacing w:before="0" w:after="283"/>
              <w:jc w:val="left"/>
              <w:rPr/>
            </w:pPr>
            <w:r>
              <w:rPr/>
              <w:t> </w:t>
            </w:r>
          </w:p>
        </w:tc>
        <w:tc>
          <w:tcPr>
            <w:tcW w:w="110" w:type="dxa"/>
            <w:tcBorders/>
            <w:shd w:fill="CCEEFF" w:val="clear"/>
            <w:tcMar>
              <w:top w:w="0" w:type="dxa"/>
            </w:tcMar>
            <w:vAlign w:val="center"/>
          </w:tcPr>
          <w:p>
            <w:pPr>
              <w:pStyle w:val="TableContents"/>
              <w:bidi w:val="0"/>
              <w:spacing w:before="0" w:after="283"/>
              <w:ind w:left="0" w:right="0" w:hanging="0"/>
              <w:jc w:val="left"/>
              <w:rPr/>
            </w:pPr>
            <w:r>
              <w:rPr/>
              <w:t> </w:t>
            </w:r>
          </w:p>
        </w:tc>
        <w:tc>
          <w:tcPr>
            <w:tcW w:w="840" w:type="dxa"/>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4,723</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14" w:type="dxa"/>
            <w:tcBorders/>
            <w:shd w:fill="CCEEFF" w:val="clear"/>
            <w:tcMar>
              <w:top w:w="0" w:type="dxa"/>
            </w:tcMar>
            <w:vAlign w:val="center"/>
          </w:tcPr>
          <w:p>
            <w:pPr>
              <w:pStyle w:val="TableContents"/>
              <w:bidi w:val="0"/>
              <w:spacing w:before="0" w:after="283"/>
              <w:ind w:left="0" w:right="0" w:hanging="0"/>
              <w:jc w:val="left"/>
              <w:rPr/>
            </w:pPr>
            <w:r>
              <w:rPr/>
              <w:t> </w:t>
            </w:r>
          </w:p>
        </w:tc>
        <w:tc>
          <w:tcPr>
            <w:tcW w:w="867" w:type="dxa"/>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1,846</w:t>
            </w:r>
          </w:p>
        </w:tc>
        <w:tc>
          <w:tcPr>
            <w:tcW w:w="83" w:type="dxa"/>
            <w:tcBorders/>
            <w:shd w:fill="CCEEFF" w:val="clear"/>
            <w:tcMar>
              <w:top w:w="0" w:type="dxa"/>
            </w:tcMar>
            <w:vAlign w:val="center"/>
          </w:tcPr>
          <w:p>
            <w:pPr>
              <w:pStyle w:val="TableContents"/>
              <w:bidi w:val="0"/>
              <w:spacing w:before="0" w:after="283"/>
              <w:jc w:val="left"/>
              <w:rPr/>
            </w:pPr>
            <w:r>
              <w:rPr/>
              <w:t> </w:t>
            </w:r>
          </w:p>
        </w:tc>
      </w:tr>
      <w:tr>
        <w:trPr/>
        <w:tc>
          <w:tcPr>
            <w:tcW w:w="7991" w:type="dxa"/>
            <w:tcBorders/>
            <w:shd w:fill="FFFF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Accrued interest payable</w:t>
            </w:r>
          </w:p>
        </w:tc>
        <w:tc>
          <w:tcPr>
            <w:tcW w:w="60" w:type="dxa"/>
            <w:tcBorders/>
            <w:shd w:fill="FFFFFF" w:val="clear"/>
            <w:tcMar>
              <w:top w:w="0" w:type="dxa"/>
            </w:tcMar>
            <w:vAlign w:val="center"/>
          </w:tcPr>
          <w:p>
            <w:pPr>
              <w:pStyle w:val="TableContents"/>
              <w:bidi w:val="0"/>
              <w:spacing w:before="0" w:after="283"/>
              <w:jc w:val="left"/>
              <w:rPr/>
            </w:pPr>
            <w:r>
              <w:rPr/>
              <w:t> </w:t>
            </w:r>
          </w:p>
        </w:tc>
        <w:tc>
          <w:tcPr>
            <w:tcW w:w="110" w:type="dxa"/>
            <w:tcBorders/>
            <w:shd w:fill="FFFFFF" w:val="clear"/>
            <w:tcMar>
              <w:top w:w="0" w:type="dxa"/>
            </w:tcMar>
            <w:vAlign w:val="center"/>
          </w:tcPr>
          <w:p>
            <w:pPr>
              <w:pStyle w:val="TableContents"/>
              <w:bidi w:val="0"/>
              <w:spacing w:before="0" w:after="283"/>
              <w:ind w:left="0" w:right="0" w:hanging="0"/>
              <w:jc w:val="left"/>
              <w:rPr/>
            </w:pPr>
            <w:r>
              <w:rPr/>
              <w:t> </w:t>
            </w:r>
          </w:p>
        </w:tc>
        <w:tc>
          <w:tcPr>
            <w:tcW w:w="840" w:type="dxa"/>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49,275</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14" w:type="dxa"/>
            <w:tcBorders/>
            <w:shd w:fill="FFFFFF" w:val="clear"/>
            <w:tcMar>
              <w:top w:w="0" w:type="dxa"/>
            </w:tcMar>
            <w:vAlign w:val="center"/>
          </w:tcPr>
          <w:p>
            <w:pPr>
              <w:pStyle w:val="TableContents"/>
              <w:bidi w:val="0"/>
              <w:spacing w:before="0" w:after="283"/>
              <w:ind w:left="0" w:right="0" w:hanging="0"/>
              <w:jc w:val="left"/>
              <w:rPr/>
            </w:pPr>
            <w:r>
              <w:rPr/>
              <w:t> </w:t>
            </w:r>
          </w:p>
        </w:tc>
        <w:tc>
          <w:tcPr>
            <w:tcW w:w="867" w:type="dxa"/>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31,397</w:t>
            </w:r>
          </w:p>
        </w:tc>
        <w:tc>
          <w:tcPr>
            <w:tcW w:w="83" w:type="dxa"/>
            <w:tcBorders/>
            <w:shd w:fill="FFFFFF" w:val="clear"/>
            <w:tcMar>
              <w:top w:w="0" w:type="dxa"/>
            </w:tcMar>
            <w:vAlign w:val="center"/>
          </w:tcPr>
          <w:p>
            <w:pPr>
              <w:pStyle w:val="TableContents"/>
              <w:bidi w:val="0"/>
              <w:spacing w:before="0" w:after="283"/>
              <w:jc w:val="left"/>
              <w:rPr/>
            </w:pPr>
            <w:r>
              <w:rPr/>
              <w:t> </w:t>
            </w:r>
          </w:p>
        </w:tc>
      </w:tr>
      <w:tr>
        <w:trPr/>
        <w:tc>
          <w:tcPr>
            <w:tcW w:w="7991" w:type="dxa"/>
            <w:tcBorders/>
            <w:shd w:fill="CCEE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Due to affiliates</w:t>
            </w:r>
          </w:p>
        </w:tc>
        <w:tc>
          <w:tcPr>
            <w:tcW w:w="60" w:type="dxa"/>
            <w:tcBorders/>
            <w:shd w:fill="CCEEFF" w:val="clear"/>
            <w:tcMar>
              <w:top w:w="0" w:type="dxa"/>
            </w:tcMar>
            <w:vAlign w:val="center"/>
          </w:tcPr>
          <w:p>
            <w:pPr>
              <w:pStyle w:val="TableContents"/>
              <w:bidi w:val="0"/>
              <w:spacing w:before="0" w:after="283"/>
              <w:jc w:val="left"/>
              <w:rPr/>
            </w:pPr>
            <w:r>
              <w:rPr/>
              <w:t> </w:t>
            </w:r>
          </w:p>
        </w:tc>
        <w:tc>
          <w:tcPr>
            <w:tcW w:w="110" w:type="dxa"/>
            <w:tcBorders/>
            <w:shd w:fill="CCEEFF" w:val="clear"/>
            <w:tcMar>
              <w:top w:w="0" w:type="dxa"/>
            </w:tcMar>
            <w:vAlign w:val="center"/>
          </w:tcPr>
          <w:p>
            <w:pPr>
              <w:pStyle w:val="TableContents"/>
              <w:bidi w:val="0"/>
              <w:spacing w:before="0" w:after="283"/>
              <w:ind w:left="0" w:right="0" w:hanging="0"/>
              <w:jc w:val="left"/>
              <w:rPr/>
            </w:pPr>
            <w:r>
              <w:rPr/>
              <w:t> </w:t>
            </w:r>
          </w:p>
        </w:tc>
        <w:tc>
          <w:tcPr>
            <w:tcW w:w="840" w:type="dxa"/>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1,802</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14" w:type="dxa"/>
            <w:tcBorders/>
            <w:shd w:fill="CCEEFF" w:val="clear"/>
            <w:tcMar>
              <w:top w:w="0" w:type="dxa"/>
            </w:tcMar>
            <w:vAlign w:val="center"/>
          </w:tcPr>
          <w:p>
            <w:pPr>
              <w:pStyle w:val="TableContents"/>
              <w:bidi w:val="0"/>
              <w:spacing w:before="0" w:after="283"/>
              <w:ind w:left="0" w:right="0" w:hanging="0"/>
              <w:jc w:val="left"/>
              <w:rPr/>
            </w:pPr>
            <w:r>
              <w:rPr/>
              <w:t> </w:t>
            </w:r>
          </w:p>
        </w:tc>
        <w:tc>
          <w:tcPr>
            <w:tcW w:w="867" w:type="dxa"/>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1,661</w:t>
            </w:r>
          </w:p>
        </w:tc>
        <w:tc>
          <w:tcPr>
            <w:tcW w:w="83" w:type="dxa"/>
            <w:tcBorders/>
            <w:shd w:fill="CCEEFF" w:val="clear"/>
            <w:tcMar>
              <w:top w:w="0" w:type="dxa"/>
            </w:tcMar>
            <w:vAlign w:val="center"/>
          </w:tcPr>
          <w:p>
            <w:pPr>
              <w:pStyle w:val="TableContents"/>
              <w:bidi w:val="0"/>
              <w:spacing w:before="0" w:after="283"/>
              <w:jc w:val="left"/>
              <w:rPr/>
            </w:pPr>
            <w:r>
              <w:rPr/>
              <w:t> </w:t>
            </w:r>
          </w:p>
        </w:tc>
      </w:tr>
      <w:tr>
        <w:trPr/>
        <w:tc>
          <w:tcPr>
            <w:tcW w:w="7991" w:type="dxa"/>
            <w:tcBorders/>
            <w:shd w:fill="FFFFFF" w:val="clear"/>
            <w:tcMar>
              <w:top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Obligation to return securities borrowed under reverse repurchase agreements, at fair value</w:t>
            </w:r>
          </w:p>
        </w:tc>
        <w:tc>
          <w:tcPr>
            <w:tcW w:w="60" w:type="dxa"/>
            <w:tcBorders/>
            <w:shd w:fill="FFFFFF" w:val="clear"/>
            <w:tcMar>
              <w:top w:w="0" w:type="dxa"/>
            </w:tcMar>
            <w:vAlign w:val="center"/>
          </w:tcPr>
          <w:p>
            <w:pPr>
              <w:pStyle w:val="TableContents"/>
              <w:bidi w:val="0"/>
              <w:spacing w:before="0" w:after="283"/>
              <w:jc w:val="left"/>
              <w:rPr/>
            </w:pPr>
            <w:r>
              <w:rPr/>
              <w:t> </w:t>
            </w:r>
          </w:p>
        </w:tc>
        <w:tc>
          <w:tcPr>
            <w:tcW w:w="110" w:type="dxa"/>
            <w:tcBorders/>
            <w:shd w:fill="FFFFFF" w:val="clear"/>
            <w:tcMar>
              <w:top w:w="0" w:type="dxa"/>
            </w:tcMar>
            <w:vAlign w:val="center"/>
          </w:tcPr>
          <w:p>
            <w:pPr>
              <w:pStyle w:val="TableContents"/>
              <w:bidi w:val="0"/>
              <w:spacing w:before="0" w:after="283"/>
              <w:jc w:val="left"/>
              <w:rPr/>
            </w:pPr>
            <w:r>
              <w:rPr/>
              <w:t> </w:t>
            </w:r>
          </w:p>
        </w:tc>
        <w:tc>
          <w:tcPr>
            <w:tcW w:w="840"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496,036</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14" w:type="dxa"/>
            <w:tcBorders/>
            <w:shd w:fill="FFFFFF" w:val="clear"/>
            <w:tcMar>
              <w:top w:w="0" w:type="dxa"/>
            </w:tcMar>
            <w:vAlign w:val="center"/>
          </w:tcPr>
          <w:p>
            <w:pPr>
              <w:pStyle w:val="TableContents"/>
              <w:bidi w:val="0"/>
              <w:spacing w:before="0" w:after="283"/>
              <w:jc w:val="left"/>
              <w:rPr/>
            </w:pPr>
            <w:r>
              <w:rPr/>
              <w:t> </w:t>
            </w:r>
          </w:p>
        </w:tc>
        <w:tc>
          <w:tcPr>
            <w:tcW w:w="867"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128,724</w:t>
            </w:r>
          </w:p>
        </w:tc>
        <w:tc>
          <w:tcPr>
            <w:tcW w:w="83" w:type="dxa"/>
            <w:tcBorders/>
            <w:shd w:fill="FFFFFF" w:val="clear"/>
            <w:tcMar>
              <w:top w:w="0" w:type="dxa"/>
            </w:tcMar>
            <w:vAlign w:val="center"/>
          </w:tcPr>
          <w:p>
            <w:pPr>
              <w:pStyle w:val="TableContents"/>
              <w:bidi w:val="0"/>
              <w:spacing w:before="0" w:after="283"/>
              <w:jc w:val="left"/>
              <w:rPr/>
            </w:pPr>
            <w:r>
              <w:rPr/>
              <w:t> </w:t>
            </w:r>
          </w:p>
        </w:tc>
      </w:tr>
      <w:tr>
        <w:trPr/>
        <w:tc>
          <w:tcPr>
            <w:tcW w:w="7991"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Other liabilities</w:t>
            </w:r>
          </w:p>
        </w:tc>
        <w:tc>
          <w:tcPr>
            <w:tcW w:w="60" w:type="dxa"/>
            <w:tcBorders>
              <w:bottom w:val="single" w:sz="2" w:space="0" w:color="000000"/>
            </w:tcBorders>
            <w:shd w:fill="CCEEFF" w:val="clear"/>
            <w:tcMar>
              <w:top w:w="0" w:type="dxa"/>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top w:w="0" w:type="dxa"/>
              <w:bottom w:w="28" w:type="dxa"/>
            </w:tcMar>
            <w:vAlign w:val="center"/>
          </w:tcPr>
          <w:p>
            <w:pPr>
              <w:pStyle w:val="TableContents"/>
              <w:bidi w:val="0"/>
              <w:spacing w:before="0" w:after="283"/>
              <w:ind w:left="0" w:right="0" w:hanging="0"/>
              <w:jc w:val="left"/>
              <w:rPr/>
            </w:pPr>
            <w:r>
              <w:rPr/>
              <w:t> </w:t>
            </w:r>
          </w:p>
        </w:tc>
        <w:tc>
          <w:tcPr>
            <w:tcW w:w="840" w:type="dxa"/>
            <w:tcBorders>
              <w:bottom w:val="single" w:sz="2" w:space="0" w:color="000000"/>
            </w:tcBorders>
            <w:shd w:fill="CCEEFF" w:val="clear"/>
            <w:tcMar>
              <w:top w:w="0" w:type="dxa"/>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4,117</w:t>
            </w:r>
          </w:p>
        </w:tc>
        <w:tc>
          <w:tcPr>
            <w:tcW w:w="80" w:type="dxa"/>
            <w:tcBorders>
              <w:bottom w:val="single" w:sz="2" w:space="0" w:color="000000"/>
            </w:tcBorders>
            <w:shd w:fill="CCEEFF" w:val="clear"/>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bottom w:w="28" w:type="dxa"/>
            </w:tcMar>
            <w:vAlign w:val="center"/>
          </w:tcPr>
          <w:p>
            <w:pPr>
              <w:pStyle w:val="TableContents"/>
              <w:bidi w:val="0"/>
              <w:spacing w:before="0" w:after="283"/>
              <w:jc w:val="left"/>
              <w:rPr/>
            </w:pPr>
            <w:r>
              <w:rPr/>
              <w:t> </w:t>
            </w:r>
          </w:p>
        </w:tc>
        <w:tc>
          <w:tcPr>
            <w:tcW w:w="114" w:type="dxa"/>
            <w:tcBorders>
              <w:bottom w:val="single" w:sz="2" w:space="0" w:color="000000"/>
            </w:tcBorders>
            <w:shd w:fill="CCEEFF" w:val="clear"/>
            <w:tcMar>
              <w:top w:w="0" w:type="dxa"/>
              <w:bottom w:w="28" w:type="dxa"/>
            </w:tcMar>
            <w:vAlign w:val="center"/>
          </w:tcPr>
          <w:p>
            <w:pPr>
              <w:pStyle w:val="TableContents"/>
              <w:bidi w:val="0"/>
              <w:spacing w:before="0" w:after="283"/>
              <w:ind w:left="0" w:right="0" w:hanging="0"/>
              <w:jc w:val="left"/>
              <w:rPr/>
            </w:pPr>
            <w:r>
              <w:rPr/>
              <w:t> </w:t>
            </w:r>
          </w:p>
        </w:tc>
        <w:tc>
          <w:tcPr>
            <w:tcW w:w="867" w:type="dxa"/>
            <w:tcBorders>
              <w:bottom w:val="single" w:sz="2" w:space="0" w:color="000000"/>
            </w:tcBorders>
            <w:shd w:fill="CCEEFF" w:val="clear"/>
            <w:tcMar>
              <w:top w:w="0" w:type="dxa"/>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1,567</w:t>
            </w:r>
          </w:p>
        </w:tc>
        <w:tc>
          <w:tcPr>
            <w:tcW w:w="83" w:type="dxa"/>
            <w:tcBorders>
              <w:bottom w:val="single" w:sz="2" w:space="0" w:color="000000"/>
            </w:tcBorders>
            <w:shd w:fill="CCEEFF" w:val="clear"/>
            <w:tcMar>
              <w:top w:w="0" w:type="dxa"/>
              <w:bottom w:w="28" w:type="dxa"/>
            </w:tcMar>
            <w:vAlign w:val="center"/>
          </w:tcPr>
          <w:p>
            <w:pPr>
              <w:pStyle w:val="TableContents"/>
              <w:bidi w:val="0"/>
              <w:spacing w:before="0" w:after="283"/>
              <w:jc w:val="left"/>
              <w:rPr/>
            </w:pPr>
            <w:r>
              <w:rPr/>
              <w:t> </w:t>
            </w:r>
          </w:p>
        </w:tc>
      </w:tr>
      <w:tr>
        <w:trPr/>
        <w:tc>
          <w:tcPr>
            <w:tcW w:w="7991"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Total Liabilities</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84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11,662,854</w:t>
            </w:r>
          </w:p>
        </w:tc>
        <w:tc>
          <w:tcPr>
            <w:tcW w:w="8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114"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867"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10,304,045</w:t>
            </w:r>
          </w:p>
        </w:tc>
        <w:tc>
          <w:tcPr>
            <w:tcW w:w="83"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r>
      <w:tr>
        <w:trPr/>
        <w:tc>
          <w:tcPr>
            <w:tcW w:w="7991"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10" w:type="dxa"/>
            <w:tcBorders/>
            <w:shd w:fill="CCEEFF" w:val="clear"/>
            <w:tcMar>
              <w:top w:w="0" w:type="dxa"/>
            </w:tcMar>
            <w:vAlign w:val="center"/>
          </w:tcPr>
          <w:p>
            <w:pPr>
              <w:pStyle w:val="TableContents"/>
              <w:bidi w:val="0"/>
              <w:spacing w:before="0" w:after="283"/>
              <w:jc w:val="left"/>
              <w:rPr/>
            </w:pPr>
            <w:r>
              <w:rPr/>
              <w:t> </w:t>
            </w:r>
          </w:p>
        </w:tc>
        <w:tc>
          <w:tcPr>
            <w:tcW w:w="840" w:type="dxa"/>
            <w:tcBorders/>
            <w:shd w:fill="CCEEFF" w:val="clear"/>
            <w:tcMar>
              <w:top w:w="0" w:type="dxa"/>
            </w:tcMar>
            <w:vAlign w:val="center"/>
          </w:tcPr>
          <w:p>
            <w:pPr>
              <w:pStyle w:val="TableContents"/>
              <w:bidi w:val="0"/>
              <w:spacing w:before="0" w:after="283"/>
              <w:jc w:val="left"/>
              <w:rPr/>
            </w:pPr>
            <w:r>
              <w:rPr/>
              <w:t> </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14" w:type="dxa"/>
            <w:tcBorders/>
            <w:shd w:fill="CCEEFF" w:val="clear"/>
            <w:tcMar>
              <w:top w:w="0" w:type="dxa"/>
            </w:tcMar>
            <w:vAlign w:val="center"/>
          </w:tcPr>
          <w:p>
            <w:pPr>
              <w:pStyle w:val="TableContents"/>
              <w:bidi w:val="0"/>
              <w:spacing w:before="0" w:after="283"/>
              <w:jc w:val="left"/>
              <w:rPr/>
            </w:pPr>
            <w:r>
              <w:rPr/>
              <w:t> </w:t>
            </w:r>
          </w:p>
        </w:tc>
        <w:tc>
          <w:tcPr>
            <w:tcW w:w="867" w:type="dxa"/>
            <w:tcBorders/>
            <w:shd w:fill="CCEEFF" w:val="clear"/>
            <w:tcMar>
              <w:top w:w="0" w:type="dxa"/>
            </w:tcMar>
            <w:vAlign w:val="center"/>
          </w:tcPr>
          <w:p>
            <w:pPr>
              <w:pStyle w:val="TableContents"/>
              <w:bidi w:val="0"/>
              <w:spacing w:before="0" w:after="283"/>
              <w:jc w:val="left"/>
              <w:rPr/>
            </w:pPr>
            <w:r>
              <w:rPr/>
              <w:t> </w:t>
            </w:r>
          </w:p>
        </w:tc>
        <w:tc>
          <w:tcPr>
            <w:tcW w:w="83" w:type="dxa"/>
            <w:tcBorders/>
            <w:shd w:fill="CCEEFF" w:val="clear"/>
            <w:tcMar>
              <w:top w:w="0" w:type="dxa"/>
            </w:tcMar>
            <w:vAlign w:val="center"/>
          </w:tcPr>
          <w:p>
            <w:pPr>
              <w:pStyle w:val="TableContents"/>
              <w:bidi w:val="0"/>
              <w:spacing w:before="0" w:after="283"/>
              <w:jc w:val="left"/>
              <w:rPr/>
            </w:pPr>
            <w:r>
              <w:rPr/>
              <w:t> </w:t>
            </w:r>
          </w:p>
        </w:tc>
      </w:tr>
      <w:tr>
        <w:trPr/>
        <w:tc>
          <w:tcPr>
            <w:tcW w:w="7991" w:type="dxa"/>
            <w:tcBorders/>
            <w:shd w:fill="FFFFFF" w:val="clear"/>
            <w:tcMar>
              <w:top w:w="0"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COMMITMENTS AND CONTINGENCIES</w:t>
            </w:r>
          </w:p>
        </w:tc>
        <w:tc>
          <w:tcPr>
            <w:tcW w:w="60" w:type="dxa"/>
            <w:tcBorders/>
            <w:shd w:fill="FFFFFF" w:val="clear"/>
            <w:tcMar>
              <w:top w:w="0" w:type="dxa"/>
            </w:tcMar>
            <w:vAlign w:val="center"/>
          </w:tcPr>
          <w:p>
            <w:pPr>
              <w:pStyle w:val="TableContents"/>
              <w:bidi w:val="0"/>
              <w:spacing w:before="0" w:after="283"/>
              <w:jc w:val="left"/>
              <w:rPr/>
            </w:pPr>
            <w:r>
              <w:rPr/>
              <w:t> </w:t>
            </w:r>
          </w:p>
        </w:tc>
        <w:tc>
          <w:tcPr>
            <w:tcW w:w="110" w:type="dxa"/>
            <w:tcBorders/>
            <w:shd w:fill="FFFFFF" w:val="clear"/>
            <w:tcMar>
              <w:top w:w="0" w:type="dxa"/>
            </w:tcMar>
            <w:vAlign w:val="center"/>
          </w:tcPr>
          <w:p>
            <w:pPr>
              <w:pStyle w:val="TableContents"/>
              <w:bidi w:val="0"/>
              <w:spacing w:before="0" w:after="283"/>
              <w:jc w:val="left"/>
              <w:rPr/>
            </w:pPr>
            <w:r>
              <w:rPr/>
              <w:t> </w:t>
            </w:r>
          </w:p>
        </w:tc>
        <w:tc>
          <w:tcPr>
            <w:tcW w:w="840" w:type="dxa"/>
            <w:tcBorders/>
            <w:shd w:fill="FFFFFF" w:val="clear"/>
            <w:tcMar>
              <w:top w:w="0" w:type="dxa"/>
            </w:tcMar>
            <w:vAlign w:val="center"/>
          </w:tcPr>
          <w:p>
            <w:pPr>
              <w:pStyle w:val="TableContents"/>
              <w:bidi w:val="0"/>
              <w:spacing w:before="0" w:after="283"/>
              <w:jc w:val="left"/>
              <w:rPr/>
            </w:pPr>
            <w:r>
              <w:rPr/>
              <w:t>  </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14" w:type="dxa"/>
            <w:tcBorders/>
            <w:shd w:fill="FFFFFF" w:val="clear"/>
            <w:tcMar>
              <w:top w:w="0" w:type="dxa"/>
            </w:tcMar>
            <w:vAlign w:val="center"/>
          </w:tcPr>
          <w:p>
            <w:pPr>
              <w:pStyle w:val="TableContents"/>
              <w:bidi w:val="0"/>
              <w:spacing w:before="0" w:after="283"/>
              <w:jc w:val="left"/>
              <w:rPr/>
            </w:pPr>
            <w:r>
              <w:rPr/>
              <w:t> </w:t>
            </w:r>
          </w:p>
        </w:tc>
        <w:tc>
          <w:tcPr>
            <w:tcW w:w="867" w:type="dxa"/>
            <w:tcBorders/>
            <w:shd w:fill="FFFFFF" w:val="clear"/>
            <w:tcMar>
              <w:top w:w="0" w:type="dxa"/>
            </w:tcMar>
            <w:vAlign w:val="center"/>
          </w:tcPr>
          <w:p>
            <w:pPr>
              <w:pStyle w:val="TableContents"/>
              <w:bidi w:val="0"/>
              <w:spacing w:before="0" w:after="283"/>
              <w:jc w:val="left"/>
              <w:rPr/>
            </w:pPr>
            <w:r>
              <w:rPr/>
              <w:t>  </w:t>
            </w:r>
          </w:p>
        </w:tc>
        <w:tc>
          <w:tcPr>
            <w:tcW w:w="83" w:type="dxa"/>
            <w:tcBorders/>
            <w:shd w:fill="FFFFFF" w:val="clear"/>
            <w:tcMar>
              <w:top w:w="0" w:type="dxa"/>
            </w:tcMar>
            <w:vAlign w:val="center"/>
          </w:tcPr>
          <w:p>
            <w:pPr>
              <w:pStyle w:val="TableContents"/>
              <w:bidi w:val="0"/>
              <w:spacing w:before="0" w:after="283"/>
              <w:jc w:val="left"/>
              <w:rPr/>
            </w:pPr>
            <w:r>
              <w:rPr/>
              <w:t> </w:t>
            </w:r>
          </w:p>
        </w:tc>
      </w:tr>
      <w:tr>
        <w:trPr/>
        <w:tc>
          <w:tcPr>
            <w:tcW w:w="7991"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10" w:type="dxa"/>
            <w:tcBorders/>
            <w:shd w:fill="CCEEFF" w:val="clear"/>
            <w:tcMar>
              <w:top w:w="0" w:type="dxa"/>
            </w:tcMar>
            <w:vAlign w:val="center"/>
          </w:tcPr>
          <w:p>
            <w:pPr>
              <w:pStyle w:val="TableContents"/>
              <w:bidi w:val="0"/>
              <w:spacing w:before="0" w:after="283"/>
              <w:jc w:val="left"/>
              <w:rPr/>
            </w:pPr>
            <w:r>
              <w:rPr/>
              <w:t> </w:t>
            </w:r>
          </w:p>
        </w:tc>
        <w:tc>
          <w:tcPr>
            <w:tcW w:w="840" w:type="dxa"/>
            <w:tcBorders/>
            <w:shd w:fill="CCEEFF" w:val="clear"/>
            <w:tcMar>
              <w:top w:w="0" w:type="dxa"/>
            </w:tcMar>
            <w:vAlign w:val="center"/>
          </w:tcPr>
          <w:p>
            <w:pPr>
              <w:pStyle w:val="TableContents"/>
              <w:bidi w:val="0"/>
              <w:spacing w:before="0" w:after="283"/>
              <w:jc w:val="left"/>
              <w:rPr/>
            </w:pPr>
            <w:r>
              <w:rPr/>
              <w:t> </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14" w:type="dxa"/>
            <w:tcBorders/>
            <w:shd w:fill="CCEEFF" w:val="clear"/>
            <w:tcMar>
              <w:top w:w="0" w:type="dxa"/>
            </w:tcMar>
            <w:vAlign w:val="center"/>
          </w:tcPr>
          <w:p>
            <w:pPr>
              <w:pStyle w:val="TableContents"/>
              <w:bidi w:val="0"/>
              <w:spacing w:before="0" w:after="283"/>
              <w:jc w:val="left"/>
              <w:rPr/>
            </w:pPr>
            <w:r>
              <w:rPr/>
              <w:t> </w:t>
            </w:r>
          </w:p>
        </w:tc>
        <w:tc>
          <w:tcPr>
            <w:tcW w:w="867" w:type="dxa"/>
            <w:tcBorders/>
            <w:shd w:fill="CCEEFF" w:val="clear"/>
            <w:tcMar>
              <w:top w:w="0" w:type="dxa"/>
            </w:tcMar>
            <w:vAlign w:val="center"/>
          </w:tcPr>
          <w:p>
            <w:pPr>
              <w:pStyle w:val="TableContents"/>
              <w:bidi w:val="0"/>
              <w:spacing w:before="0" w:after="283"/>
              <w:jc w:val="left"/>
              <w:rPr/>
            </w:pPr>
            <w:r>
              <w:rPr/>
              <w:t> </w:t>
            </w:r>
          </w:p>
        </w:tc>
        <w:tc>
          <w:tcPr>
            <w:tcW w:w="83" w:type="dxa"/>
            <w:tcBorders/>
            <w:shd w:fill="CCEEFF" w:val="clear"/>
            <w:tcMar>
              <w:top w:w="0" w:type="dxa"/>
            </w:tcMar>
            <w:vAlign w:val="center"/>
          </w:tcPr>
          <w:p>
            <w:pPr>
              <w:pStyle w:val="TableContents"/>
              <w:bidi w:val="0"/>
              <w:spacing w:before="0" w:after="283"/>
              <w:jc w:val="left"/>
              <w:rPr/>
            </w:pPr>
            <w:r>
              <w:rPr/>
              <w:t> </w:t>
            </w:r>
          </w:p>
        </w:tc>
      </w:tr>
      <w:tr>
        <w:trPr/>
        <w:tc>
          <w:tcPr>
            <w:tcW w:w="7991" w:type="dxa"/>
            <w:tcBorders/>
            <w:shd w:fill="FFFFFF" w:val="clear"/>
            <w:tcMar>
              <w:top w:w="0"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STOCKHOLDERS' EQUITY:</w:t>
            </w:r>
          </w:p>
        </w:tc>
        <w:tc>
          <w:tcPr>
            <w:tcW w:w="60" w:type="dxa"/>
            <w:tcBorders/>
            <w:shd w:fill="FFFFFF" w:val="clear"/>
            <w:tcMar>
              <w:top w:w="0" w:type="dxa"/>
            </w:tcMar>
            <w:vAlign w:val="center"/>
          </w:tcPr>
          <w:p>
            <w:pPr>
              <w:pStyle w:val="TableContents"/>
              <w:bidi w:val="0"/>
              <w:spacing w:before="0" w:after="283"/>
              <w:jc w:val="left"/>
              <w:rPr/>
            </w:pPr>
            <w:r>
              <w:rPr/>
              <w:t> </w:t>
            </w:r>
          </w:p>
        </w:tc>
        <w:tc>
          <w:tcPr>
            <w:tcW w:w="110" w:type="dxa"/>
            <w:tcBorders/>
            <w:shd w:fill="FFFFFF" w:val="clear"/>
            <w:tcMar>
              <w:top w:w="0" w:type="dxa"/>
            </w:tcMar>
            <w:vAlign w:val="center"/>
          </w:tcPr>
          <w:p>
            <w:pPr>
              <w:pStyle w:val="TableContents"/>
              <w:bidi w:val="0"/>
              <w:spacing w:before="0" w:after="283"/>
              <w:jc w:val="left"/>
              <w:rPr/>
            </w:pPr>
            <w:r>
              <w:rPr/>
              <w:t> </w:t>
            </w:r>
          </w:p>
        </w:tc>
        <w:tc>
          <w:tcPr>
            <w:tcW w:w="840" w:type="dxa"/>
            <w:tcBorders/>
            <w:shd w:fill="FFFFFF" w:val="clear"/>
            <w:tcMar>
              <w:top w:w="0" w:type="dxa"/>
            </w:tcMar>
            <w:vAlign w:val="center"/>
          </w:tcPr>
          <w:p>
            <w:pPr>
              <w:pStyle w:val="TableContents"/>
              <w:bidi w:val="0"/>
              <w:spacing w:before="0" w:after="283"/>
              <w:jc w:val="left"/>
              <w:rPr/>
            </w:pPr>
            <w:r>
              <w:rPr/>
              <w:t> </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14" w:type="dxa"/>
            <w:tcBorders/>
            <w:shd w:fill="FFFFFF" w:val="clear"/>
            <w:tcMar>
              <w:top w:w="0" w:type="dxa"/>
            </w:tcMar>
            <w:vAlign w:val="center"/>
          </w:tcPr>
          <w:p>
            <w:pPr>
              <w:pStyle w:val="TableContents"/>
              <w:bidi w:val="0"/>
              <w:spacing w:before="0" w:after="283"/>
              <w:jc w:val="left"/>
              <w:rPr/>
            </w:pPr>
            <w:r>
              <w:rPr/>
              <w:t> </w:t>
            </w:r>
          </w:p>
        </w:tc>
        <w:tc>
          <w:tcPr>
            <w:tcW w:w="867" w:type="dxa"/>
            <w:tcBorders/>
            <w:shd w:fill="FFFFFF" w:val="clear"/>
            <w:tcMar>
              <w:top w:w="0" w:type="dxa"/>
            </w:tcMar>
            <w:vAlign w:val="center"/>
          </w:tcPr>
          <w:p>
            <w:pPr>
              <w:pStyle w:val="TableContents"/>
              <w:bidi w:val="0"/>
              <w:spacing w:before="0" w:after="283"/>
              <w:jc w:val="left"/>
              <w:rPr/>
            </w:pPr>
            <w:r>
              <w:rPr/>
              <w:t> </w:t>
            </w:r>
          </w:p>
        </w:tc>
        <w:tc>
          <w:tcPr>
            <w:tcW w:w="83" w:type="dxa"/>
            <w:tcBorders/>
            <w:shd w:fill="FFFFFF" w:val="clear"/>
            <w:tcMar>
              <w:top w:w="0" w:type="dxa"/>
            </w:tcMar>
            <w:vAlign w:val="center"/>
          </w:tcPr>
          <w:p>
            <w:pPr>
              <w:pStyle w:val="TableContents"/>
              <w:bidi w:val="0"/>
              <w:spacing w:before="0" w:after="283"/>
              <w:jc w:val="left"/>
              <w:rPr/>
            </w:pPr>
            <w:r>
              <w:rPr/>
              <w:t> </w:t>
            </w:r>
          </w:p>
        </w:tc>
      </w:tr>
      <w:tr>
        <w:trPr/>
        <w:tc>
          <w:tcPr>
            <w:tcW w:w="7991" w:type="dxa"/>
            <w:tcBorders/>
            <w:shd w:fill="CCEEFF" w:val="clear"/>
            <w:tcMar>
              <w:top w:w="0" w:type="dxa"/>
            </w:tcMar>
            <w:vAlign w:val="center"/>
          </w:tcPr>
          <w:p>
            <w:pPr>
              <w:pStyle w:val="TableContents"/>
              <w:bidi w:val="0"/>
              <w:spacing w:before="0" w:after="0"/>
              <w:ind w:left="180" w:right="0" w:hanging="180"/>
              <w:jc w:val="left"/>
              <w:rPr>
                <w:rFonts w:ascii="Times New Roman" w:hAnsi="Times New Roman"/>
                <w:caps w:val="false"/>
                <w:smallCaps w:val="false"/>
                <w:sz w:val="18"/>
              </w:rPr>
            </w:pPr>
            <w:r>
              <w:rPr>
                <w:rFonts w:ascii="Times New Roman" w:hAnsi="Times New Roman"/>
                <w:caps w:val="false"/>
                <w:smallCaps w:val="false"/>
                <w:sz w:val="18"/>
              </w:rPr>
              <w:t>Preferred stock, $0.01 par value; 20,000,000 shares authorized; no shares issued and outstanding as of June 30, 2026 and December 31, 2025</w:t>
            </w:r>
          </w:p>
        </w:tc>
        <w:tc>
          <w:tcPr>
            <w:tcW w:w="60" w:type="dxa"/>
            <w:tcBorders/>
            <w:shd w:fill="CCEEFF" w:val="clear"/>
            <w:tcMar>
              <w:top w:w="0" w:type="dxa"/>
            </w:tcMar>
            <w:vAlign w:val="center"/>
          </w:tcPr>
          <w:p>
            <w:pPr>
              <w:pStyle w:val="TableContents"/>
              <w:bidi w:val="0"/>
              <w:spacing w:before="0" w:after="283"/>
              <w:jc w:val="left"/>
              <w:rPr/>
            </w:pPr>
            <w:r>
              <w:rPr/>
              <w:t> </w:t>
            </w:r>
          </w:p>
        </w:tc>
        <w:tc>
          <w:tcPr>
            <w:tcW w:w="110" w:type="dxa"/>
            <w:tcBorders/>
            <w:shd w:fill="CCEEFF" w:val="clear"/>
            <w:tcMar>
              <w:top w:w="0" w:type="dxa"/>
            </w:tcMar>
            <w:vAlign w:val="center"/>
          </w:tcPr>
          <w:p>
            <w:pPr>
              <w:pStyle w:val="TableContents"/>
              <w:bidi w:val="0"/>
              <w:spacing w:before="0" w:after="283"/>
              <w:ind w:left="0" w:right="0" w:hanging="0"/>
              <w:jc w:val="left"/>
              <w:rPr/>
            </w:pPr>
            <w:r>
              <w:rPr/>
              <w:t> </w:t>
            </w:r>
          </w:p>
        </w:tc>
        <w:tc>
          <w:tcPr>
            <w:tcW w:w="840" w:type="dxa"/>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14" w:type="dxa"/>
            <w:tcBorders/>
            <w:shd w:fill="CCEEFF" w:val="clear"/>
            <w:tcMar>
              <w:top w:w="0" w:type="dxa"/>
            </w:tcMar>
            <w:vAlign w:val="center"/>
          </w:tcPr>
          <w:p>
            <w:pPr>
              <w:pStyle w:val="TableContents"/>
              <w:bidi w:val="0"/>
              <w:spacing w:before="0" w:after="283"/>
              <w:ind w:left="0" w:right="0" w:hanging="0"/>
              <w:jc w:val="left"/>
              <w:rPr/>
            </w:pPr>
            <w:r>
              <w:rPr/>
              <w:t> </w:t>
            </w:r>
          </w:p>
        </w:tc>
        <w:tc>
          <w:tcPr>
            <w:tcW w:w="867" w:type="dxa"/>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83" w:type="dxa"/>
            <w:tcBorders/>
            <w:shd w:fill="CCEEFF" w:val="clear"/>
            <w:tcMar>
              <w:top w:w="0" w:type="dxa"/>
            </w:tcMar>
            <w:vAlign w:val="center"/>
          </w:tcPr>
          <w:p>
            <w:pPr>
              <w:pStyle w:val="TableContents"/>
              <w:bidi w:val="0"/>
              <w:spacing w:before="0" w:after="283"/>
              <w:jc w:val="left"/>
              <w:rPr/>
            </w:pPr>
            <w:r>
              <w:rPr/>
              <w:t> </w:t>
            </w:r>
          </w:p>
        </w:tc>
      </w:tr>
      <w:tr>
        <w:trPr/>
        <w:tc>
          <w:tcPr>
            <w:tcW w:w="7991" w:type="dxa"/>
            <w:tcBorders/>
            <w:shd w:fill="FFFFFF" w:val="clear"/>
            <w:tcMar>
              <w:top w:w="0" w:type="dxa"/>
            </w:tcMar>
            <w:vAlign w:val="center"/>
          </w:tcPr>
          <w:p>
            <w:pPr>
              <w:pStyle w:val="TableContents"/>
              <w:bidi w:val="0"/>
              <w:spacing w:before="0" w:after="0"/>
              <w:ind w:left="180" w:right="0" w:hanging="180"/>
              <w:jc w:val="left"/>
              <w:rPr>
                <w:rFonts w:ascii="Times New Roman" w:hAnsi="Times New Roman"/>
                <w:caps w:val="false"/>
                <w:smallCaps w:val="false"/>
                <w:sz w:val="18"/>
              </w:rPr>
            </w:pPr>
            <w:r>
              <w:rPr>
                <w:rFonts w:ascii="Times New Roman" w:hAnsi="Times New Roman"/>
                <w:caps w:val="false"/>
                <w:smallCaps w:val="false"/>
                <w:sz w:val="18"/>
              </w:rPr>
              <w:t>Common Stock, $0.01 par value; 400,000,000 shares authorized, 199,603,438 shares issued and outstanding as of June 30, 2026 and 181,985,900 shares issued and outstanding as of December 31, 2025</w:t>
            </w:r>
          </w:p>
        </w:tc>
        <w:tc>
          <w:tcPr>
            <w:tcW w:w="60" w:type="dxa"/>
            <w:tcBorders/>
            <w:shd w:fill="FFFFFF" w:val="clear"/>
            <w:tcMar>
              <w:top w:w="0" w:type="dxa"/>
            </w:tcMar>
            <w:vAlign w:val="center"/>
          </w:tcPr>
          <w:p>
            <w:pPr>
              <w:pStyle w:val="TableContents"/>
              <w:bidi w:val="0"/>
              <w:spacing w:before="0" w:after="283"/>
              <w:jc w:val="left"/>
              <w:rPr/>
            </w:pPr>
            <w:r>
              <w:rPr/>
              <w:t> </w:t>
            </w:r>
          </w:p>
        </w:tc>
        <w:tc>
          <w:tcPr>
            <w:tcW w:w="110" w:type="dxa"/>
            <w:tcBorders/>
            <w:shd w:fill="FFFFFF" w:val="clear"/>
            <w:tcMar>
              <w:top w:w="0" w:type="dxa"/>
            </w:tcMar>
            <w:vAlign w:val="center"/>
          </w:tcPr>
          <w:p>
            <w:pPr>
              <w:pStyle w:val="TableContents"/>
              <w:bidi w:val="0"/>
              <w:spacing w:before="0" w:after="283"/>
              <w:ind w:left="0" w:right="0" w:hanging="0"/>
              <w:jc w:val="left"/>
              <w:rPr/>
            </w:pPr>
            <w:r>
              <w:rPr/>
              <w:t> </w:t>
            </w:r>
          </w:p>
        </w:tc>
        <w:tc>
          <w:tcPr>
            <w:tcW w:w="840" w:type="dxa"/>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1,996</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14" w:type="dxa"/>
            <w:tcBorders/>
            <w:shd w:fill="FFFFFF" w:val="clear"/>
            <w:tcMar>
              <w:top w:w="0" w:type="dxa"/>
            </w:tcMar>
            <w:vAlign w:val="center"/>
          </w:tcPr>
          <w:p>
            <w:pPr>
              <w:pStyle w:val="TableContents"/>
              <w:bidi w:val="0"/>
              <w:spacing w:before="0" w:after="283"/>
              <w:ind w:left="0" w:right="0" w:hanging="0"/>
              <w:jc w:val="left"/>
              <w:rPr/>
            </w:pPr>
            <w:r>
              <w:rPr/>
              <w:t> </w:t>
            </w:r>
          </w:p>
        </w:tc>
        <w:tc>
          <w:tcPr>
            <w:tcW w:w="867" w:type="dxa"/>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1,820</w:t>
            </w:r>
          </w:p>
        </w:tc>
        <w:tc>
          <w:tcPr>
            <w:tcW w:w="83" w:type="dxa"/>
            <w:tcBorders/>
            <w:shd w:fill="FFFFFF" w:val="clear"/>
            <w:tcMar>
              <w:top w:w="0" w:type="dxa"/>
            </w:tcMar>
            <w:vAlign w:val="center"/>
          </w:tcPr>
          <w:p>
            <w:pPr>
              <w:pStyle w:val="TableContents"/>
              <w:bidi w:val="0"/>
              <w:spacing w:before="0" w:after="283"/>
              <w:jc w:val="left"/>
              <w:rPr/>
            </w:pPr>
            <w:r>
              <w:rPr/>
              <w:t> </w:t>
            </w:r>
          </w:p>
        </w:tc>
      </w:tr>
      <w:tr>
        <w:trPr/>
        <w:tc>
          <w:tcPr>
            <w:tcW w:w="7991" w:type="dxa"/>
            <w:tcBorders/>
            <w:shd w:fill="CCEE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Additional paid-in capital</w:t>
            </w:r>
          </w:p>
        </w:tc>
        <w:tc>
          <w:tcPr>
            <w:tcW w:w="60" w:type="dxa"/>
            <w:tcBorders/>
            <w:shd w:fill="CCEEFF" w:val="clear"/>
            <w:tcMar>
              <w:top w:w="0" w:type="dxa"/>
            </w:tcMar>
            <w:vAlign w:val="center"/>
          </w:tcPr>
          <w:p>
            <w:pPr>
              <w:pStyle w:val="TableContents"/>
              <w:bidi w:val="0"/>
              <w:spacing w:before="0" w:after="283"/>
              <w:jc w:val="left"/>
              <w:rPr/>
            </w:pPr>
            <w:r>
              <w:rPr/>
              <w:t> </w:t>
            </w:r>
          </w:p>
        </w:tc>
        <w:tc>
          <w:tcPr>
            <w:tcW w:w="110" w:type="dxa"/>
            <w:tcBorders/>
            <w:shd w:fill="CCEEFF" w:val="clear"/>
            <w:tcMar>
              <w:top w:w="0" w:type="dxa"/>
            </w:tcMar>
            <w:vAlign w:val="center"/>
          </w:tcPr>
          <w:p>
            <w:pPr>
              <w:pStyle w:val="TableContents"/>
              <w:bidi w:val="0"/>
              <w:spacing w:before="0" w:after="283"/>
              <w:ind w:left="0" w:right="0" w:hanging="0"/>
              <w:jc w:val="left"/>
              <w:rPr/>
            </w:pPr>
            <w:r>
              <w:rPr/>
              <w:t> </w:t>
            </w:r>
          </w:p>
        </w:tc>
        <w:tc>
          <w:tcPr>
            <w:tcW w:w="840" w:type="dxa"/>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1,553,904</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14" w:type="dxa"/>
            <w:tcBorders/>
            <w:shd w:fill="CCEEFF" w:val="clear"/>
            <w:tcMar>
              <w:top w:w="0" w:type="dxa"/>
            </w:tcMar>
            <w:vAlign w:val="center"/>
          </w:tcPr>
          <w:p>
            <w:pPr>
              <w:pStyle w:val="TableContents"/>
              <w:bidi w:val="0"/>
              <w:spacing w:before="0" w:after="283"/>
              <w:ind w:left="0" w:right="0" w:hanging="0"/>
              <w:jc w:val="left"/>
              <w:rPr/>
            </w:pPr>
            <w:r>
              <w:rPr/>
              <w:t> </w:t>
            </w:r>
          </w:p>
        </w:tc>
        <w:tc>
          <w:tcPr>
            <w:tcW w:w="867" w:type="dxa"/>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1,553,451</w:t>
            </w:r>
          </w:p>
        </w:tc>
        <w:tc>
          <w:tcPr>
            <w:tcW w:w="83" w:type="dxa"/>
            <w:tcBorders/>
            <w:shd w:fill="CCEEFF" w:val="clear"/>
            <w:tcMar>
              <w:top w:w="0" w:type="dxa"/>
            </w:tcMar>
            <w:vAlign w:val="center"/>
          </w:tcPr>
          <w:p>
            <w:pPr>
              <w:pStyle w:val="TableContents"/>
              <w:bidi w:val="0"/>
              <w:spacing w:before="0" w:after="283"/>
              <w:jc w:val="left"/>
              <w:rPr/>
            </w:pPr>
            <w:r>
              <w:rPr/>
              <w:t> </w:t>
            </w:r>
          </w:p>
        </w:tc>
      </w:tr>
      <w:tr>
        <w:trPr/>
        <w:tc>
          <w:tcPr>
            <w:tcW w:w="7991" w:type="dxa"/>
            <w:tcBorders/>
            <w:shd w:fill="FFFF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Accumulated deficit</w:t>
            </w:r>
          </w:p>
        </w:tc>
        <w:tc>
          <w:tcPr>
            <w:tcW w:w="60" w:type="dxa"/>
            <w:tcBorders/>
            <w:shd w:fill="FFFFFF" w:val="clear"/>
            <w:tcMar>
              <w:top w:w="0" w:type="dxa"/>
            </w:tcMar>
            <w:vAlign w:val="center"/>
          </w:tcPr>
          <w:p>
            <w:pPr>
              <w:pStyle w:val="TableContents"/>
              <w:bidi w:val="0"/>
              <w:spacing w:before="0" w:after="283"/>
              <w:jc w:val="left"/>
              <w:rPr/>
            </w:pPr>
            <w:r>
              <w:rPr/>
              <w:t> </w:t>
            </w:r>
          </w:p>
        </w:tc>
        <w:tc>
          <w:tcPr>
            <w:tcW w:w="110" w:type="dxa"/>
            <w:tcBorders/>
            <w:shd w:fill="FFFFFF" w:val="clear"/>
            <w:tcMar>
              <w:top w:w="0" w:type="dxa"/>
            </w:tcMar>
            <w:vAlign w:val="center"/>
          </w:tcPr>
          <w:p>
            <w:pPr>
              <w:pStyle w:val="TableContents"/>
              <w:bidi w:val="0"/>
              <w:spacing w:before="0" w:after="283"/>
              <w:ind w:left="0" w:right="0" w:hanging="0"/>
              <w:jc w:val="left"/>
              <w:rPr/>
            </w:pPr>
            <w:r>
              <w:rPr/>
              <w:t> </w:t>
            </w:r>
          </w:p>
        </w:tc>
        <w:tc>
          <w:tcPr>
            <w:tcW w:w="840" w:type="dxa"/>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(114,504</w:t>
            </w:r>
          </w:p>
        </w:tc>
        <w:tc>
          <w:tcPr>
            <w:tcW w:w="80"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top w:w="0" w:type="dxa"/>
            </w:tcMar>
            <w:vAlign w:val="center"/>
          </w:tcPr>
          <w:p>
            <w:pPr>
              <w:pStyle w:val="TableContents"/>
              <w:bidi w:val="0"/>
              <w:spacing w:before="0" w:after="283"/>
              <w:jc w:val="left"/>
              <w:rPr/>
            </w:pPr>
            <w:r>
              <w:rPr/>
              <w:t> </w:t>
            </w:r>
          </w:p>
        </w:tc>
        <w:tc>
          <w:tcPr>
            <w:tcW w:w="114" w:type="dxa"/>
            <w:tcBorders/>
            <w:shd w:fill="FFFFFF" w:val="clear"/>
            <w:tcMar>
              <w:top w:w="0" w:type="dxa"/>
            </w:tcMar>
            <w:vAlign w:val="center"/>
          </w:tcPr>
          <w:p>
            <w:pPr>
              <w:pStyle w:val="TableContents"/>
              <w:bidi w:val="0"/>
              <w:spacing w:before="0" w:after="283"/>
              <w:ind w:left="0" w:right="0" w:hanging="0"/>
              <w:jc w:val="left"/>
              <w:rPr/>
            </w:pPr>
            <w:r>
              <w:rPr/>
              <w:t> </w:t>
            </w:r>
          </w:p>
        </w:tc>
        <w:tc>
          <w:tcPr>
            <w:tcW w:w="867" w:type="dxa"/>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(183,741</w:t>
            </w:r>
          </w:p>
        </w:tc>
        <w:tc>
          <w:tcPr>
            <w:tcW w:w="83" w:type="dxa"/>
            <w:tcBorders/>
            <w:shd w:fill="FFFFFF" w:val="clear"/>
            <w:tcMar>
              <w:top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r>
      <w:tr>
        <w:trPr/>
        <w:tc>
          <w:tcPr>
            <w:tcW w:w="7991"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Accumulated other comprehensive (loss) income</w:t>
            </w:r>
          </w:p>
        </w:tc>
        <w:tc>
          <w:tcPr>
            <w:tcW w:w="6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(138</w:t>
            </w:r>
          </w:p>
        </w:tc>
        <w:tc>
          <w:tcPr>
            <w:tcW w:w="8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114"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867"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418</w:t>
            </w:r>
          </w:p>
        </w:tc>
        <w:tc>
          <w:tcPr>
            <w:tcW w:w="83" w:type="dxa"/>
            <w:tcBorders>
              <w:bottom w:val="single" w:sz="2" w:space="0" w:color="000000"/>
            </w:tcBorders>
            <w:shd w:fill="CCEEFF" w:val="clear"/>
            <w:tcMar>
              <w:top w:w="0" w:type="dxa"/>
              <w:bottom w:w="28" w:type="dxa"/>
            </w:tcMar>
            <w:vAlign w:val="center"/>
          </w:tcPr>
          <w:p>
            <w:pPr>
              <w:pStyle w:val="TableContents"/>
              <w:bidi w:val="0"/>
              <w:spacing w:before="0" w:after="0"/>
              <w:jc w:val="left"/>
              <w:rPr/>
            </w:pPr>
            <w:r>
              <w:rPr/>
              <w:t> </w:t>
            </w:r>
          </w:p>
        </w:tc>
      </w:tr>
      <w:tr>
        <w:trPr/>
        <w:tc>
          <w:tcPr>
            <w:tcW w:w="7991"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Total Stockholders' Equity</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84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1,441,258</w:t>
            </w:r>
          </w:p>
        </w:tc>
        <w:tc>
          <w:tcPr>
            <w:tcW w:w="8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114"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867"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1,371,948</w:t>
            </w:r>
          </w:p>
        </w:tc>
        <w:tc>
          <w:tcPr>
            <w:tcW w:w="83"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r>
      <w:tr>
        <w:trPr/>
        <w:tc>
          <w:tcPr>
            <w:tcW w:w="7991" w:type="dxa"/>
            <w:tcBorders>
              <w:bottom w:val="double" w:sz="6" w:space="0" w:color="000000"/>
            </w:tcBorders>
            <w:shd w:fill="CCEEFF" w:val="clear"/>
            <w:tcMar>
              <w:top w:w="0" w:type="dxa"/>
              <w:bottom w:w="28"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Total Liabilities and Stockholders' Equity</w:t>
            </w:r>
          </w:p>
        </w:tc>
        <w:tc>
          <w:tcPr>
            <w:tcW w:w="60" w:type="dxa"/>
            <w:tcBorders>
              <w:bottom w:val="double" w:sz="6" w:space="0" w:color="000000"/>
            </w:tcBorders>
            <w:shd w:fill="CCEEFF" w:val="clear"/>
            <w:tcMar>
              <w:top w:w="0" w:type="dxa"/>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top w:w="0" w:type="dxa"/>
              <w:bottom w:w="28"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40" w:type="dxa"/>
            <w:tcBorders>
              <w:bottom w:val="double" w:sz="6" w:space="0" w:color="000000"/>
            </w:tcBorders>
            <w:shd w:fill="CCEEFF" w:val="clear"/>
            <w:tcMar>
              <w:top w:w="0" w:type="dxa"/>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13,104,112</w:t>
            </w:r>
          </w:p>
        </w:tc>
        <w:tc>
          <w:tcPr>
            <w:tcW w:w="80" w:type="dxa"/>
            <w:tcBorders>
              <w:bottom w:val="double" w:sz="6" w:space="0" w:color="000000"/>
            </w:tcBorders>
            <w:shd w:fill="CCEEFF" w:val="clear"/>
            <w:tcMar>
              <w:top w:w="0" w:type="dxa"/>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top w:w="0" w:type="dxa"/>
              <w:bottom w:w="28" w:type="dxa"/>
            </w:tcMar>
            <w:vAlign w:val="center"/>
          </w:tcPr>
          <w:p>
            <w:pPr>
              <w:pStyle w:val="TableContents"/>
              <w:bidi w:val="0"/>
              <w:spacing w:before="0" w:after="283"/>
              <w:ind w:left="0" w:right="0" w:hanging="0"/>
              <w:jc w:val="left"/>
              <w:rPr/>
            </w:pPr>
            <w:r>
              <w:rPr/>
              <w:t> </w:t>
            </w:r>
          </w:p>
        </w:tc>
        <w:tc>
          <w:tcPr>
            <w:tcW w:w="114" w:type="dxa"/>
            <w:tcBorders>
              <w:bottom w:val="double" w:sz="6" w:space="0" w:color="000000"/>
            </w:tcBorders>
            <w:shd w:fill="CCEEFF" w:val="clear"/>
            <w:tcMar>
              <w:top w:w="0" w:type="dxa"/>
              <w:bottom w:w="28"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67" w:type="dxa"/>
            <w:tcBorders>
              <w:bottom w:val="double" w:sz="6" w:space="0" w:color="000000"/>
            </w:tcBorders>
            <w:shd w:fill="CCEEFF" w:val="clear"/>
            <w:tcMar>
              <w:top w:w="0" w:type="dxa"/>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11,675,993</w:t>
            </w:r>
          </w:p>
        </w:tc>
        <w:tc>
          <w:tcPr>
            <w:tcW w:w="83" w:type="dxa"/>
            <w:tcBorders>
              <w:bottom w:val="double" w:sz="6" w:space="0" w:color="000000"/>
            </w:tcBorders>
            <w:shd w:fill="CCEEFF" w:val="clear"/>
            <w:tcMar>
              <w:top w:w="0" w:type="dxa"/>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i/>
          <w:sz w:val="20"/>
        </w:rPr>
      </w:pPr>
      <w:r>
        <w:rPr>
          <w:rFonts w:ascii="Times New Roman" w:hAnsi="Times New Roman"/>
          <w:i/>
          <w:sz w:val="20"/>
        </w:rPr>
        <w:t>See Notes to Financial Statements</w:t>
      </w:r>
    </w:p>
    <w:p>
      <w:pPr>
        <w:pStyle w:val="TextBody"/>
        <w:bidi w:val="0"/>
        <w:spacing w:before="0" w:after="283"/>
        <w:jc w:val="left"/>
        <w:rPr/>
      </w:pPr>
      <w:r>
        <w:rPr/>
        <w:t xml:space="preserve">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4" w:name="income"/>
      <w:bookmarkEnd w:id="4"/>
      <w:r>
        <w:rPr/>
        <w:t> </w:t>
      </w:r>
      <w:r>
        <w:rPr>
          <w:rFonts w:ascii="Times New Roman" w:hAnsi="Times New Roman"/>
          <w:b/>
          <w:sz w:val="20"/>
        </w:rPr>
        <w:t>ORCHID ISLAND CAPITAL, INC.</w:t>
      </w:r>
    </w:p>
    <w:p>
      <w:pPr>
        <w:pStyle w:val="TextBody"/>
        <w:bidi w:val="0"/>
        <w:spacing w:lineRule="auto" w:line="300" w:before="0" w:after="0"/>
        <w:ind w:left="0" w:right="0" w:hanging="0"/>
        <w:jc w:val="center"/>
        <w:rPr>
          <w:rFonts w:ascii="Times New Roman" w:hAnsi="Times New Roman"/>
          <w:b/>
          <w:sz w:val="20"/>
        </w:rPr>
      </w:pPr>
      <w:r>
        <w:rPr>
          <w:rFonts w:ascii="Times New Roman" w:hAnsi="Times New Roman"/>
          <w:b/>
          <w:sz w:val="20"/>
        </w:rPr>
        <w:t>CONDENSED STATEMENTS OF COMPREHENSIVE INCOME (LOSS)</w:t>
      </w:r>
    </w:p>
    <w:p>
      <w:pPr>
        <w:pStyle w:val="TextBody"/>
        <w:bidi w:val="0"/>
        <w:spacing w:lineRule="auto" w:line="300" w:before="0" w:after="0"/>
        <w:ind w:left="0" w:right="0" w:hanging="0"/>
        <w:jc w:val="center"/>
        <w:rPr>
          <w:rFonts w:ascii="Times New Roman" w:hAnsi="Times New Roman"/>
          <w:b/>
          <w:sz w:val="20"/>
        </w:rPr>
      </w:pPr>
      <w:r>
        <w:rPr>
          <w:rFonts w:ascii="Times New Roman" w:hAnsi="Times New Roman"/>
          <w:b/>
          <w:sz w:val="20"/>
        </w:rPr>
        <w:t>(Unaudited)</w:t>
      </w:r>
    </w:p>
    <w:p>
      <w:pPr>
        <w:pStyle w:val="TextBody"/>
        <w:bidi w:val="0"/>
        <w:spacing w:lineRule="auto" w:line="300" w:before="0" w:after="0"/>
        <w:ind w:left="0" w:right="0" w:hanging="0"/>
        <w:jc w:val="center"/>
        <w:rPr/>
      </w:pPr>
      <w:r>
        <w:rPr/>
        <w:t> </w:t>
      </w:r>
      <w:r>
        <w:rPr>
          <w:rFonts w:ascii="Times New Roman" w:hAnsi="Times New Roman"/>
          <w:b/>
          <w:sz w:val="20"/>
        </w:rPr>
        <w:t>For the Six and Three Months Ended June 30, 2026 and 2025</w:t>
      </w:r>
    </w:p>
    <w:p>
      <w:pPr>
        <w:pStyle w:val="TextBody"/>
        <w:bidi w:val="0"/>
        <w:spacing w:lineRule="auto" w:line="300" w:before="0" w:after="0"/>
        <w:ind w:left="0" w:right="0" w:hanging="0"/>
        <w:jc w:val="center"/>
        <w:rPr>
          <w:rFonts w:ascii="Times New Roman" w:hAnsi="Times New Roman"/>
          <w:b/>
          <w:sz w:val="20"/>
        </w:rPr>
      </w:pPr>
      <w:r>
        <w:rPr>
          <w:rFonts w:ascii="Times New Roman" w:hAnsi="Times New Roman"/>
          <w:b/>
          <w:sz w:val="20"/>
        </w:rPr>
        <w:t>($ in thousands, except per share data)</w:t>
      </w:r>
    </w:p>
    <w:p>
      <w:pPr>
        <w:pStyle w:val="TextBody"/>
        <w:bidi w:val="0"/>
        <w:spacing w:lineRule="auto" w:line="300" w:before="0" w:after="0"/>
        <w:ind w:left="0" w:right="0" w:hanging="0"/>
        <w:jc w:val="center"/>
        <w:rPr/>
      </w:pPr>
      <w:r>
        <w:rPr/>
        <w:t> </w:t>
      </w:r>
    </w:p>
    <w:tbl>
      <w:tblPr>
        <w:tblW w:w="10205" w:type="dxa"/>
        <w:jc w:val="left"/>
        <w:tblInd w:w="0" w:type="dxa"/>
        <w:tblLayout w:type="fixed"/>
        <w:tblCellMar>
          <w:top w:w="0" w:type="dxa"/>
          <w:left w:w="0" w:type="dxa"/>
          <w:bottom w:w="0" w:type="dxa"/>
          <w:right w:w="0" w:type="dxa"/>
        </w:tblCellMar>
      </w:tblPr>
      <w:tblGrid>
        <w:gridCol w:w="5470"/>
        <w:gridCol w:w="60"/>
        <w:gridCol w:w="110"/>
        <w:gridCol w:w="920"/>
        <w:gridCol w:w="80"/>
        <w:gridCol w:w="60"/>
        <w:gridCol w:w="110"/>
        <w:gridCol w:w="920"/>
        <w:gridCol w:w="80"/>
        <w:gridCol w:w="60"/>
        <w:gridCol w:w="112"/>
        <w:gridCol w:w="943"/>
        <w:gridCol w:w="81"/>
        <w:gridCol w:w="61"/>
        <w:gridCol w:w="112"/>
        <w:gridCol w:w="943"/>
        <w:gridCol w:w="83"/>
      </w:tblGrid>
      <w:tr>
        <w:trPr/>
        <w:tc>
          <w:tcPr>
            <w:tcW w:w="5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00"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Six Months Ended 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52"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Three Months Ended June 30,</w:t>
            </w:r>
          </w:p>
        </w:tc>
        <w:tc>
          <w:tcPr>
            <w:tcW w:w="83" w:type="dxa"/>
            <w:tcBorders/>
            <w:shd w:fill="FFFFFF" w:val="clear"/>
            <w:vAlign w:val="center"/>
          </w:tcPr>
          <w:p>
            <w:pPr>
              <w:pStyle w:val="TableContents"/>
              <w:bidi w:val="0"/>
              <w:spacing w:before="0" w:after="283"/>
              <w:jc w:val="left"/>
              <w:rPr/>
            </w:pPr>
            <w:r>
              <w:rPr/>
              <w:t> </w:t>
            </w:r>
          </w:p>
        </w:tc>
      </w:tr>
      <w:tr>
        <w:trPr/>
        <w:tc>
          <w:tcPr>
            <w:tcW w:w="54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2026</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2025</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4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Interest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322,025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173,379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2"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4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164,187</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12"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4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92,289</w:t>
            </w:r>
          </w:p>
        </w:tc>
        <w:tc>
          <w:tcPr>
            <w:tcW w:w="83" w:type="dxa"/>
            <w:tcBorders/>
            <w:shd w:fill="CCEEFF" w:val="clear"/>
            <w:vAlign w:val="center"/>
          </w:tcPr>
          <w:p>
            <w:pPr>
              <w:pStyle w:val="TableContents"/>
              <w:bidi w:val="0"/>
              <w:spacing w:before="0" w:after="283"/>
              <w:jc w:val="left"/>
              <w:rPr/>
            </w:pPr>
            <w:r>
              <w:rPr/>
              <w:t> </w:t>
            </w:r>
          </w:p>
        </w:tc>
      </w:tr>
      <w:tr>
        <w:trPr/>
        <w:tc>
          <w:tcPr>
            <w:tcW w:w="54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Interest expense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(204,990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(130,512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(104,215</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(69,135</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54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Net interest income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117,035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42,867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59,972</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23,154</w:t>
            </w:r>
          </w:p>
        </w:tc>
        <w:tc>
          <w:tcPr>
            <w:tcW w:w="83" w:type="dxa"/>
            <w:tcBorders/>
            <w:shd w:fill="CCEEFF" w:val="clear"/>
            <w:vAlign w:val="center"/>
          </w:tcPr>
          <w:p>
            <w:pPr>
              <w:pStyle w:val="TableContents"/>
              <w:bidi w:val="0"/>
              <w:spacing w:before="0" w:after="283"/>
              <w:jc w:val="left"/>
              <w:rPr/>
            </w:pPr>
            <w:r>
              <w:rPr/>
              <w:t> </w:t>
            </w:r>
          </w:p>
        </w:tc>
      </w:tr>
      <w:tr>
        <w:trPr/>
        <w:tc>
          <w:tcPr>
            <w:tcW w:w="54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Realized gains (losses) on mortgage-backed securities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(9,288</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885</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(7,990</w:t>
            </w:r>
          </w:p>
        </w:tc>
        <w:tc>
          <w:tcPr>
            <w:tcW w:w="83"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54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Unrealized (losses) gains on mortgage-backed securities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(143,270</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87,132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(27,302</w:t>
            </w:r>
          </w:p>
        </w:tc>
        <w:tc>
          <w:tcPr>
            <w:tcW w:w="81"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1"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9,540</w:t>
            </w:r>
          </w:p>
        </w:tc>
        <w:tc>
          <w:tcPr>
            <w:tcW w:w="83" w:type="dxa"/>
            <w:tcBorders/>
            <w:shd w:fill="CCEEFF" w:val="clear"/>
            <w:vAlign w:val="center"/>
          </w:tcPr>
          <w:p>
            <w:pPr>
              <w:pStyle w:val="TableContents"/>
              <w:bidi w:val="0"/>
              <w:spacing w:before="0" w:after="283"/>
              <w:jc w:val="left"/>
              <w:rPr/>
            </w:pPr>
            <w:r>
              <w:rPr/>
              <w:t> </w:t>
            </w:r>
          </w:p>
        </w:tc>
      </w:tr>
      <w:tr>
        <w:trPr/>
        <w:tc>
          <w:tcPr>
            <w:tcW w:w="54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Gains (losses) on derivative and other hedging instruments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108,708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(127,945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62,400</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(53,286</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54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Net portfolio income (loss)</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83,397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(7,234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95,955</w:t>
            </w:r>
          </w:p>
        </w:tc>
        <w:tc>
          <w:tcPr>
            <w:tcW w:w="8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(28,582</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5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54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Expenses: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54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Management fees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8,111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5,729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4,123</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2,982</w:t>
            </w:r>
          </w:p>
        </w:tc>
        <w:tc>
          <w:tcPr>
            <w:tcW w:w="83" w:type="dxa"/>
            <w:tcBorders/>
            <w:shd w:fill="FFFFFF" w:val="clear"/>
            <w:vAlign w:val="center"/>
          </w:tcPr>
          <w:p>
            <w:pPr>
              <w:pStyle w:val="TableContents"/>
              <w:bidi w:val="0"/>
              <w:spacing w:before="0" w:after="283"/>
              <w:jc w:val="left"/>
              <w:rPr/>
            </w:pPr>
            <w:r>
              <w:rPr/>
              <w:t> </w:t>
            </w:r>
          </w:p>
        </w:tc>
      </w:tr>
      <w:tr>
        <w:trPr/>
        <w:tc>
          <w:tcPr>
            <w:tcW w:w="54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Allocated overhead</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585</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582</w:t>
            </w:r>
          </w:p>
        </w:tc>
        <w:tc>
          <w:tcPr>
            <w:tcW w:w="83" w:type="dxa"/>
            <w:tcBorders/>
            <w:shd w:fill="CCEEFF" w:val="clear"/>
            <w:vAlign w:val="center"/>
          </w:tcPr>
          <w:p>
            <w:pPr>
              <w:pStyle w:val="TableContents"/>
              <w:bidi w:val="0"/>
              <w:spacing w:before="0" w:after="283"/>
              <w:jc w:val="left"/>
              <w:rPr/>
            </w:pPr>
            <w:r>
              <w:rPr/>
              <w:t> </w:t>
            </w:r>
          </w:p>
        </w:tc>
      </w:tr>
      <w:tr>
        <w:trPr/>
        <w:tc>
          <w:tcPr>
            <w:tcW w:w="54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Incentive compensation</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415</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228</w:t>
            </w:r>
          </w:p>
        </w:tc>
        <w:tc>
          <w:tcPr>
            <w:tcW w:w="83" w:type="dxa"/>
            <w:tcBorders/>
            <w:shd w:fill="FFFFFF" w:val="clear"/>
            <w:vAlign w:val="center"/>
          </w:tcPr>
          <w:p>
            <w:pPr>
              <w:pStyle w:val="TableContents"/>
              <w:bidi w:val="0"/>
              <w:spacing w:before="0" w:after="283"/>
              <w:jc w:val="left"/>
              <w:rPr/>
            </w:pPr>
            <w:r>
              <w:rPr/>
              <w:t> </w:t>
            </w:r>
          </w:p>
        </w:tc>
      </w:tr>
      <w:tr>
        <w:trPr/>
        <w:tc>
          <w:tcPr>
            <w:tcW w:w="54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Directors' fees and liability insurance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323</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334</w:t>
            </w:r>
          </w:p>
        </w:tc>
        <w:tc>
          <w:tcPr>
            <w:tcW w:w="83" w:type="dxa"/>
            <w:tcBorders/>
            <w:shd w:fill="CCEEFF" w:val="clear"/>
            <w:vAlign w:val="center"/>
          </w:tcPr>
          <w:p>
            <w:pPr>
              <w:pStyle w:val="TableContents"/>
              <w:bidi w:val="0"/>
              <w:spacing w:before="0" w:after="283"/>
              <w:jc w:val="left"/>
              <w:rPr/>
            </w:pPr>
            <w:r>
              <w:rPr/>
              <w:t> </w:t>
            </w:r>
          </w:p>
        </w:tc>
      </w:tr>
      <w:tr>
        <w:trPr/>
        <w:tc>
          <w:tcPr>
            <w:tcW w:w="54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Audit, legal and other professional fees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400</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360</w:t>
            </w:r>
          </w:p>
        </w:tc>
        <w:tc>
          <w:tcPr>
            <w:tcW w:w="83" w:type="dxa"/>
            <w:tcBorders/>
            <w:shd w:fill="FFFFFF" w:val="clear"/>
            <w:vAlign w:val="center"/>
          </w:tcPr>
          <w:p>
            <w:pPr>
              <w:pStyle w:val="TableContents"/>
              <w:bidi w:val="0"/>
              <w:spacing w:before="0" w:after="283"/>
              <w:jc w:val="left"/>
              <w:rPr/>
            </w:pPr>
            <w:r>
              <w:rPr/>
              <w:t> </w:t>
            </w:r>
          </w:p>
        </w:tc>
      </w:tr>
      <w:tr>
        <w:trPr/>
        <w:tc>
          <w:tcPr>
            <w:tcW w:w="54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Direct REIT operating expenses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509</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247</w:t>
            </w:r>
          </w:p>
        </w:tc>
        <w:tc>
          <w:tcPr>
            <w:tcW w:w="83" w:type="dxa"/>
            <w:tcBorders/>
            <w:shd w:fill="CCEEFF" w:val="clear"/>
            <w:vAlign w:val="center"/>
          </w:tcPr>
          <w:p>
            <w:pPr>
              <w:pStyle w:val="TableContents"/>
              <w:bidi w:val="0"/>
              <w:spacing w:before="0" w:after="283"/>
              <w:jc w:val="left"/>
              <w:rPr/>
            </w:pPr>
            <w:r>
              <w:rPr/>
              <w:t> </w:t>
            </w:r>
          </w:p>
        </w:tc>
      </w:tr>
      <w:tr>
        <w:trPr/>
        <w:tc>
          <w:tcPr>
            <w:tcW w:w="54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Other administrative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520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408</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263</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4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Total expenses</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14,160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9,222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6,763</w:t>
            </w:r>
          </w:p>
        </w:tc>
        <w:tc>
          <w:tcPr>
            <w:tcW w:w="8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4,996</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54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Net income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69,237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(16,456</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2"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4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89,192</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12"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4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(33,578</w:t>
            </w:r>
          </w:p>
        </w:tc>
        <w:tc>
          <w:tcPr>
            <w:tcW w:w="83"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54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Unrealized (losses) gains on U.S. Treasury securities measured at fair value through other comprehensive net income (loss)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(556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(277</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(64</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54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Comprehensive net income (loss)</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68,681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(16,270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88,915</w:t>
            </w:r>
          </w:p>
        </w:tc>
        <w:tc>
          <w:tcPr>
            <w:tcW w:w="8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(33,642</w:t>
            </w:r>
          </w:p>
        </w:tc>
        <w:tc>
          <w:tcPr>
            <w:tcW w:w="8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5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54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Basic and diluted net income (loss)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(0.16</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2"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4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0.44</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12"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4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(0.29</w:t>
            </w:r>
          </w:p>
        </w:tc>
        <w:tc>
          <w:tcPr>
            <w:tcW w:w="83"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5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54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Weighted Average Shares Outstanding</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195,140,950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104,742,591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200,932,367</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114,453,216</w:t>
            </w:r>
          </w:p>
        </w:tc>
        <w:tc>
          <w:tcPr>
            <w:tcW w:w="83"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ind w:left="0" w:right="0" w:hanging="0"/>
        <w:jc w:val="center"/>
        <w:rPr/>
      </w:pPr>
      <w:r>
        <w:rPr/>
        <w:t> </w:t>
      </w:r>
    </w:p>
    <w:p>
      <w:pPr>
        <w:pStyle w:val="TextBody"/>
        <w:bidi w:val="0"/>
        <w:spacing w:before="0" w:after="0"/>
        <w:ind w:left="0" w:right="0" w:hanging="0"/>
        <w:jc w:val="center"/>
        <w:rPr>
          <w:rFonts w:ascii="Times New Roman" w:hAnsi="Times New Roman"/>
          <w:i/>
          <w:sz w:val="20"/>
        </w:rPr>
      </w:pPr>
      <w:r>
        <w:rPr>
          <w:rFonts w:ascii="Times New Roman" w:hAnsi="Times New Roman"/>
          <w:i/>
          <w:sz w:val="20"/>
        </w:rPr>
        <w:t>See Notes to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5" w:name="equity"/>
      <w:bookmarkEnd w:id="5"/>
      <w:r>
        <w:rPr>
          <w:rFonts w:ascii="Times New Roman;Times;serif" w:hAnsi="Times New Roman;Times;serif"/>
          <w:b/>
          <w:sz w:val="20"/>
        </w:rPr>
        <w:t>ORCHID ISLAND CAPITAL, INC.</w:t>
      </w:r>
    </w:p>
    <w:p>
      <w:pPr>
        <w:pStyle w:val="TextBody"/>
        <w:bidi w:val="0"/>
        <w:spacing w:lineRule="auto" w:line="300" w:before="0" w:after="0"/>
        <w:ind w:left="0" w:right="0" w:hanging="0"/>
        <w:jc w:val="center"/>
        <w:rPr>
          <w:rFonts w:ascii="Times New Roman" w:hAnsi="Times New Roman"/>
          <w:b/>
          <w:sz w:val="20"/>
        </w:rPr>
      </w:pPr>
      <w:r>
        <w:rPr>
          <w:rFonts w:ascii="Times New Roman" w:hAnsi="Times New Roman"/>
          <w:b/>
          <w:sz w:val="20"/>
        </w:rPr>
        <w:t>CONDENSED STATEMENTS OF STOCKHOLDERS' EQUITY</w:t>
      </w:r>
    </w:p>
    <w:p>
      <w:pPr>
        <w:pStyle w:val="TextBody"/>
        <w:bidi w:val="0"/>
        <w:spacing w:lineRule="auto" w:line="300" w:before="0" w:after="0"/>
        <w:ind w:left="0" w:right="0" w:hanging="0"/>
        <w:jc w:val="center"/>
        <w:rPr>
          <w:rFonts w:ascii="Times New Roman" w:hAnsi="Times New Roman"/>
          <w:b/>
          <w:sz w:val="20"/>
        </w:rPr>
      </w:pPr>
      <w:r>
        <w:rPr>
          <w:rFonts w:ascii="Times New Roman" w:hAnsi="Times New Roman"/>
          <w:b/>
          <w:sz w:val="20"/>
        </w:rPr>
        <w:t>(Unaudited)</w:t>
      </w:r>
    </w:p>
    <w:p>
      <w:pPr>
        <w:pStyle w:val="TextBody"/>
        <w:bidi w:val="0"/>
        <w:spacing w:lineRule="auto" w:line="300" w:before="0" w:after="0"/>
        <w:ind w:left="0" w:right="0" w:hanging="0"/>
        <w:jc w:val="center"/>
        <w:rPr>
          <w:rFonts w:ascii="Times New Roman" w:hAnsi="Times New Roman"/>
          <w:b/>
          <w:sz w:val="20"/>
        </w:rPr>
      </w:pPr>
      <w:r>
        <w:rPr>
          <w:rFonts w:ascii="Times New Roman" w:hAnsi="Times New Roman"/>
          <w:b/>
          <w:sz w:val="20"/>
        </w:rPr>
        <w:t>For the Six Months Ended June 30, 2026 and 2025</w:t>
      </w:r>
    </w:p>
    <w:p>
      <w:pPr>
        <w:pStyle w:val="TextBody"/>
        <w:bidi w:val="0"/>
        <w:spacing w:lineRule="auto" w:line="300" w:before="0" w:after="0"/>
        <w:ind w:left="0" w:right="0" w:hanging="0"/>
        <w:jc w:val="center"/>
        <w:rPr>
          <w:rFonts w:ascii="Times New Roman" w:hAnsi="Times New Roman"/>
          <w:b/>
          <w:sz w:val="20"/>
        </w:rPr>
      </w:pPr>
      <w:r>
        <w:rPr>
          <w:rFonts w:ascii="Times New Roman" w:hAnsi="Times New Roman"/>
          <w:b/>
          <w:sz w:val="20"/>
        </w:rPr>
        <w:t>(in thousands)</w:t>
      </w:r>
    </w:p>
    <w:p>
      <w:pPr>
        <w:pStyle w:val="TextBody"/>
        <w:bidi w:val="0"/>
        <w:spacing w:before="0" w:after="0"/>
        <w:ind w:left="0" w:right="0" w:hanging="0"/>
        <w:jc w:val="left"/>
        <w:rPr/>
      </w:pPr>
      <w:r>
        <w:rPr/>
        <w:t> </w:t>
      </w:r>
    </w:p>
    <w:tbl>
      <w:tblPr>
        <w:tblW w:w="9934" w:type="dxa"/>
        <w:jc w:val="left"/>
        <w:tblInd w:w="0" w:type="dxa"/>
        <w:tblLayout w:type="fixed"/>
        <w:tblCellMar>
          <w:top w:w="28" w:type="dxa"/>
          <w:left w:w="0" w:type="dxa"/>
          <w:bottom w:w="0" w:type="dxa"/>
          <w:right w:w="0" w:type="dxa"/>
        </w:tblCellMar>
      </w:tblPr>
      <w:tblGrid>
        <w:gridCol w:w="4145"/>
        <w:gridCol w:w="60"/>
        <w:gridCol w:w="60"/>
        <w:gridCol w:w="605"/>
        <w:gridCol w:w="80"/>
        <w:gridCol w:w="60"/>
        <w:gridCol w:w="149"/>
        <w:gridCol w:w="575"/>
        <w:gridCol w:w="80"/>
        <w:gridCol w:w="60"/>
        <w:gridCol w:w="110"/>
        <w:gridCol w:w="740"/>
        <w:gridCol w:w="80"/>
        <w:gridCol w:w="60"/>
        <w:gridCol w:w="110"/>
        <w:gridCol w:w="665"/>
        <w:gridCol w:w="80"/>
        <w:gridCol w:w="60"/>
        <w:gridCol w:w="258"/>
        <w:gridCol w:w="827"/>
        <w:gridCol w:w="80"/>
        <w:gridCol w:w="60"/>
        <w:gridCol w:w="110"/>
        <w:gridCol w:w="740"/>
        <w:gridCol w:w="80"/>
      </w:tblGrid>
      <w:tr>
        <w:trPr/>
        <w:tc>
          <w:tcPr>
            <w:tcW w:w="4145" w:type="dxa"/>
            <w:tcBorders>
              <w:top w:val="single" w:sz="2" w:space="0" w:color="000000"/>
            </w:tcBorders>
            <w:shd w:fill="FFFFFF" w:val="clear"/>
            <w:vAlign w:val="center"/>
          </w:tcPr>
          <w:p>
            <w:pPr>
              <w:pStyle w:val="TableContents"/>
              <w:bidi w:val="0"/>
              <w:spacing w:before="0" w:after="283"/>
              <w:jc w:val="left"/>
              <w:rPr/>
            </w:pPr>
            <w:r>
              <w:rPr/>
              <w:t> </w:t>
            </w:r>
          </w:p>
        </w:tc>
        <w:tc>
          <w:tcPr>
            <w:tcW w:w="60" w:type="dxa"/>
            <w:tcBorders>
              <w:top w:val="single" w:sz="2" w:space="0" w:color="000000"/>
            </w:tcBorders>
            <w:shd w:fill="FFFFFF" w:val="clear"/>
            <w:vAlign w:val="center"/>
          </w:tcPr>
          <w:p>
            <w:pPr>
              <w:pStyle w:val="TableContents"/>
              <w:bidi w:val="0"/>
              <w:spacing w:before="0" w:after="283"/>
              <w:jc w:val="left"/>
              <w:rPr/>
            </w:pPr>
            <w:r>
              <w:rPr/>
              <w:t> </w:t>
            </w:r>
          </w:p>
        </w:tc>
        <w:tc>
          <w:tcPr>
            <w:tcW w:w="60" w:type="dxa"/>
            <w:tcBorders>
              <w:top w:val="single" w:sz="2" w:space="0" w:color="000000"/>
            </w:tcBorders>
            <w:shd w:fill="FFFFFF" w:val="clear"/>
            <w:vAlign w:val="center"/>
          </w:tcPr>
          <w:p>
            <w:pPr>
              <w:pStyle w:val="TableContents"/>
              <w:bidi w:val="0"/>
              <w:spacing w:before="0" w:after="283"/>
              <w:jc w:val="left"/>
              <w:rPr/>
            </w:pPr>
            <w:r>
              <w:rPr/>
              <w:t> </w:t>
            </w:r>
          </w:p>
        </w:tc>
        <w:tc>
          <w:tcPr>
            <w:tcW w:w="605" w:type="dxa"/>
            <w:tcBorders>
              <w:top w:val="single" w:sz="2" w:space="0" w:color="000000"/>
            </w:tcBorders>
            <w:shd w:fill="FFFFFF" w:val="clear"/>
            <w:vAlign w:val="center"/>
          </w:tcPr>
          <w:p>
            <w:pPr>
              <w:pStyle w:val="TableContents"/>
              <w:bidi w:val="0"/>
              <w:spacing w:before="0" w:after="283"/>
              <w:jc w:val="center"/>
              <w:rPr/>
            </w:pPr>
            <w:r>
              <w:rPr>
                <w:rStyle w:val="Emphasis"/>
              </w:rPr>
              <w:t> </w:t>
            </w:r>
          </w:p>
        </w:tc>
        <w:tc>
          <w:tcPr>
            <w:tcW w:w="80" w:type="dxa"/>
            <w:tcBorders>
              <w:top w:val="single" w:sz="2" w:space="0" w:color="000000"/>
            </w:tcBorders>
            <w:shd w:fill="FFFFFF" w:val="clear"/>
            <w:vAlign w:val="center"/>
          </w:tcPr>
          <w:p>
            <w:pPr>
              <w:pStyle w:val="TableContents"/>
              <w:bidi w:val="0"/>
              <w:spacing w:before="0" w:after="283"/>
              <w:jc w:val="left"/>
              <w:rPr/>
            </w:pPr>
            <w:r>
              <w:rPr/>
              <w:t> </w:t>
            </w:r>
          </w:p>
        </w:tc>
        <w:tc>
          <w:tcPr>
            <w:tcW w:w="60" w:type="dxa"/>
            <w:tcBorders>
              <w:top w:val="single" w:sz="2" w:space="0" w:color="000000"/>
            </w:tcBorders>
            <w:shd w:fill="FFFFFF" w:val="clear"/>
            <w:vAlign w:val="center"/>
          </w:tcPr>
          <w:p>
            <w:pPr>
              <w:pStyle w:val="TableContents"/>
              <w:bidi w:val="0"/>
              <w:spacing w:before="0" w:after="283"/>
              <w:jc w:val="left"/>
              <w:rPr/>
            </w:pPr>
            <w:r>
              <w:rPr/>
              <w:t> </w:t>
            </w:r>
          </w:p>
        </w:tc>
        <w:tc>
          <w:tcPr>
            <w:tcW w:w="149" w:type="dxa"/>
            <w:tcBorders>
              <w:top w:val="single" w:sz="2" w:space="0" w:color="000000"/>
            </w:tcBorders>
            <w:shd w:fill="FFFFFF" w:val="clear"/>
            <w:vAlign w:val="center"/>
          </w:tcPr>
          <w:p>
            <w:pPr>
              <w:pStyle w:val="TableContents"/>
              <w:bidi w:val="0"/>
              <w:spacing w:before="0" w:after="283"/>
              <w:jc w:val="left"/>
              <w:rPr/>
            </w:pPr>
            <w:r>
              <w:rPr/>
              <w:t> </w:t>
            </w:r>
          </w:p>
        </w:tc>
        <w:tc>
          <w:tcPr>
            <w:tcW w:w="575" w:type="dxa"/>
            <w:tcBorders>
              <w:top w:val="single" w:sz="2" w:space="0" w:color="000000"/>
            </w:tcBorders>
            <w:shd w:fill="FFFFFF" w:val="clear"/>
            <w:vAlign w:val="center"/>
          </w:tcPr>
          <w:p>
            <w:pPr>
              <w:pStyle w:val="TableContents"/>
              <w:bidi w:val="0"/>
              <w:spacing w:before="0" w:after="283"/>
              <w:jc w:val="center"/>
              <w:rPr/>
            </w:pPr>
            <w:r>
              <w:rPr>
                <w:rStyle w:val="Emphasis"/>
              </w:rPr>
              <w:t> </w:t>
            </w:r>
          </w:p>
        </w:tc>
        <w:tc>
          <w:tcPr>
            <w:tcW w:w="80" w:type="dxa"/>
            <w:tcBorders>
              <w:top w:val="single" w:sz="2" w:space="0" w:color="000000"/>
            </w:tcBorders>
            <w:shd w:fill="FFFFFF" w:val="clear"/>
            <w:vAlign w:val="center"/>
          </w:tcPr>
          <w:p>
            <w:pPr>
              <w:pStyle w:val="TableContents"/>
              <w:bidi w:val="0"/>
              <w:spacing w:before="0" w:after="283"/>
              <w:jc w:val="left"/>
              <w:rPr/>
            </w:pPr>
            <w:r>
              <w:rPr/>
              <w:t> </w:t>
            </w:r>
          </w:p>
        </w:tc>
        <w:tc>
          <w:tcPr>
            <w:tcW w:w="60" w:type="dxa"/>
            <w:tcBorders>
              <w:top w:val="single" w:sz="2" w:space="0" w:color="000000"/>
            </w:tcBorders>
            <w:shd w:fill="FFFFFF" w:val="clear"/>
            <w:vAlign w:val="center"/>
          </w:tcPr>
          <w:p>
            <w:pPr>
              <w:pStyle w:val="TableContents"/>
              <w:bidi w:val="0"/>
              <w:spacing w:before="0" w:after="283"/>
              <w:jc w:val="left"/>
              <w:rPr/>
            </w:pPr>
            <w:r>
              <w:rPr/>
              <w:t> </w:t>
            </w:r>
          </w:p>
        </w:tc>
        <w:tc>
          <w:tcPr>
            <w:tcW w:w="110" w:type="dxa"/>
            <w:tcBorders>
              <w:top w:val="single" w:sz="2" w:space="0" w:color="000000"/>
            </w:tcBorders>
            <w:shd w:fill="FFFFFF" w:val="clear"/>
            <w:vAlign w:val="center"/>
          </w:tcPr>
          <w:p>
            <w:pPr>
              <w:pStyle w:val="TableContents"/>
              <w:bidi w:val="0"/>
              <w:spacing w:before="0" w:after="283"/>
              <w:jc w:val="left"/>
              <w:rPr/>
            </w:pPr>
            <w:r>
              <w:rPr/>
              <w:t> </w:t>
            </w:r>
          </w:p>
        </w:tc>
        <w:tc>
          <w:tcPr>
            <w:tcW w:w="740" w:type="dxa"/>
            <w:tcBorders>
              <w:top w:val="single" w:sz="2" w:space="0" w:color="000000"/>
            </w:tcBorders>
            <w:shd w:fill="FFFFFF" w:val="clear"/>
            <w:vAlign w:val="center"/>
          </w:tcPr>
          <w:p>
            <w:pPr>
              <w:pStyle w:val="TableContents"/>
              <w:bidi w:val="0"/>
              <w:spacing w:before="0" w:after="283"/>
              <w:jc w:val="center"/>
              <w:rPr/>
            </w:pPr>
            <w:r>
              <w:rPr>
                <w:rStyle w:val="Emphasis"/>
              </w:rPr>
              <w:t> </w:t>
            </w:r>
          </w:p>
        </w:tc>
        <w:tc>
          <w:tcPr>
            <w:tcW w:w="80" w:type="dxa"/>
            <w:tcBorders>
              <w:top w:val="single" w:sz="2" w:space="0" w:color="000000"/>
            </w:tcBorders>
            <w:shd w:fill="FFFFFF" w:val="clear"/>
            <w:vAlign w:val="center"/>
          </w:tcPr>
          <w:p>
            <w:pPr>
              <w:pStyle w:val="TableContents"/>
              <w:bidi w:val="0"/>
              <w:spacing w:before="0" w:after="283"/>
              <w:jc w:val="left"/>
              <w:rPr/>
            </w:pPr>
            <w:r>
              <w:rPr/>
              <w:t> </w:t>
            </w:r>
          </w:p>
        </w:tc>
        <w:tc>
          <w:tcPr>
            <w:tcW w:w="60" w:type="dxa"/>
            <w:tcBorders>
              <w:top w:val="single" w:sz="2" w:space="0" w:color="000000"/>
            </w:tcBorders>
            <w:shd w:fill="FFFFFF" w:val="clear"/>
            <w:vAlign w:val="center"/>
          </w:tcPr>
          <w:p>
            <w:pPr>
              <w:pStyle w:val="TableContents"/>
              <w:bidi w:val="0"/>
              <w:spacing w:before="0" w:after="283"/>
              <w:jc w:val="left"/>
              <w:rPr/>
            </w:pPr>
            <w:r>
              <w:rPr/>
              <w:t> </w:t>
            </w:r>
          </w:p>
        </w:tc>
        <w:tc>
          <w:tcPr>
            <w:tcW w:w="110" w:type="dxa"/>
            <w:tcBorders>
              <w:top w:val="single" w:sz="2" w:space="0" w:color="000000"/>
            </w:tcBorders>
            <w:shd w:fill="FFFFFF" w:val="clear"/>
            <w:vAlign w:val="center"/>
          </w:tcPr>
          <w:p>
            <w:pPr>
              <w:pStyle w:val="TableContents"/>
              <w:bidi w:val="0"/>
              <w:spacing w:before="0" w:after="283"/>
              <w:jc w:val="left"/>
              <w:rPr/>
            </w:pPr>
            <w:r>
              <w:rPr/>
              <w:t> </w:t>
            </w:r>
          </w:p>
        </w:tc>
        <w:tc>
          <w:tcPr>
            <w:tcW w:w="665" w:type="dxa"/>
            <w:tcBorders>
              <w:top w:val="single" w:sz="2" w:space="0" w:color="000000"/>
            </w:tcBorders>
            <w:shd w:fill="FFFFFF" w:val="clear"/>
            <w:vAlign w:val="center"/>
          </w:tcPr>
          <w:p>
            <w:pPr>
              <w:pStyle w:val="TableContents"/>
              <w:bidi w:val="0"/>
              <w:spacing w:before="0" w:after="283"/>
              <w:jc w:val="center"/>
              <w:rPr/>
            </w:pPr>
            <w:r>
              <w:rPr>
                <w:rStyle w:val="Emphasis"/>
              </w:rPr>
              <w:t> </w:t>
            </w:r>
          </w:p>
        </w:tc>
        <w:tc>
          <w:tcPr>
            <w:tcW w:w="80" w:type="dxa"/>
            <w:tcBorders>
              <w:top w:val="single" w:sz="2" w:space="0" w:color="000000"/>
            </w:tcBorders>
            <w:shd w:fill="FFFFFF" w:val="clear"/>
            <w:vAlign w:val="center"/>
          </w:tcPr>
          <w:p>
            <w:pPr>
              <w:pStyle w:val="TableContents"/>
              <w:bidi w:val="0"/>
              <w:spacing w:before="0" w:after="283"/>
              <w:jc w:val="left"/>
              <w:rPr/>
            </w:pPr>
            <w:r>
              <w:rPr/>
              <w:t> </w:t>
            </w:r>
          </w:p>
        </w:tc>
        <w:tc>
          <w:tcPr>
            <w:tcW w:w="60" w:type="dxa"/>
            <w:tcBorders>
              <w:top w:val="single" w:sz="2" w:space="0" w:color="000000"/>
            </w:tcBorders>
            <w:shd w:fill="FFFFFF" w:val="clear"/>
            <w:vAlign w:val="center"/>
          </w:tcPr>
          <w:p>
            <w:pPr>
              <w:pStyle w:val="TableContents"/>
              <w:bidi w:val="0"/>
              <w:spacing w:before="0" w:after="283"/>
              <w:ind w:left="0" w:right="0" w:hanging="0"/>
              <w:jc w:val="left"/>
              <w:rPr/>
            </w:pPr>
            <w:r>
              <w:rPr/>
              <w:t> </w:t>
            </w:r>
          </w:p>
        </w:tc>
        <w:tc>
          <w:tcPr>
            <w:tcW w:w="1085" w:type="dxa"/>
            <w:gridSpan w:val="2"/>
            <w:tcBorders>
              <w:top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Accumulated</w:t>
            </w:r>
          </w:p>
        </w:tc>
        <w:tc>
          <w:tcPr>
            <w:tcW w:w="80" w:type="dxa"/>
            <w:tcBorders>
              <w:top w:val="single" w:sz="2" w:space="0" w:color="000000"/>
            </w:tcBorders>
            <w:shd w:fill="FFFFFF" w:val="clear"/>
            <w:vAlign w:val="center"/>
          </w:tcPr>
          <w:p>
            <w:pPr>
              <w:pStyle w:val="TableContents"/>
              <w:bidi w:val="0"/>
              <w:spacing w:before="0" w:after="283"/>
              <w:jc w:val="left"/>
              <w:rPr/>
            </w:pPr>
            <w:r>
              <w:rPr/>
              <w:t> </w:t>
            </w:r>
          </w:p>
        </w:tc>
        <w:tc>
          <w:tcPr>
            <w:tcW w:w="60" w:type="dxa"/>
            <w:tcBorders>
              <w:top w:val="single" w:sz="2" w:space="0" w:color="000000"/>
            </w:tcBorders>
            <w:shd w:fill="FFFFFF" w:val="clear"/>
            <w:vAlign w:val="center"/>
          </w:tcPr>
          <w:p>
            <w:pPr>
              <w:pStyle w:val="TableContents"/>
              <w:bidi w:val="0"/>
              <w:spacing w:before="0" w:after="283"/>
              <w:jc w:val="left"/>
              <w:rPr/>
            </w:pPr>
            <w:r>
              <w:rPr/>
              <w:t> </w:t>
            </w:r>
          </w:p>
        </w:tc>
        <w:tc>
          <w:tcPr>
            <w:tcW w:w="110" w:type="dxa"/>
            <w:tcBorders>
              <w:top w:val="single" w:sz="2" w:space="0" w:color="000000"/>
            </w:tcBorders>
            <w:shd w:fill="FFFFFF" w:val="clear"/>
            <w:vAlign w:val="center"/>
          </w:tcPr>
          <w:p>
            <w:pPr>
              <w:pStyle w:val="TableContents"/>
              <w:bidi w:val="0"/>
              <w:spacing w:before="0" w:after="283"/>
              <w:jc w:val="left"/>
              <w:rPr/>
            </w:pPr>
            <w:r>
              <w:rPr/>
              <w:t> </w:t>
            </w:r>
          </w:p>
        </w:tc>
        <w:tc>
          <w:tcPr>
            <w:tcW w:w="740" w:type="dxa"/>
            <w:tcBorders>
              <w:top w:val="single" w:sz="2" w:space="0" w:color="000000"/>
            </w:tcBorders>
            <w:shd w:fill="FFFFFF" w:val="clear"/>
            <w:vAlign w:val="center"/>
          </w:tcPr>
          <w:p>
            <w:pPr>
              <w:pStyle w:val="TableContents"/>
              <w:bidi w:val="0"/>
              <w:spacing w:before="0" w:after="283"/>
              <w:jc w:val="center"/>
              <w:rPr/>
            </w:pPr>
            <w:r>
              <w:rPr>
                <w:rStyle w:val="Emphasis"/>
              </w:rPr>
              <w:t> </w:t>
            </w:r>
          </w:p>
        </w:tc>
        <w:tc>
          <w:tcPr>
            <w:tcW w:w="80" w:type="dxa"/>
            <w:tcBorders>
              <w:top w:val="single" w:sz="2" w:space="0" w:color="000000"/>
            </w:tcBorders>
            <w:shd w:fill="FFFFFF" w:val="clear"/>
            <w:vAlign w:val="center"/>
          </w:tcPr>
          <w:p>
            <w:pPr>
              <w:pStyle w:val="TableContents"/>
              <w:bidi w:val="0"/>
              <w:spacing w:before="0" w:after="283"/>
              <w:jc w:val="left"/>
              <w:rPr/>
            </w:pPr>
            <w:r>
              <w:rPr/>
              <w:t> </w:t>
            </w:r>
          </w:p>
        </w:tc>
      </w:tr>
      <w:tr>
        <w:trPr/>
        <w:tc>
          <w:tcPr>
            <w:tcW w:w="4145"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605" w:type="dxa"/>
            <w:tcBorders/>
            <w:shd w:fill="FFFFFF" w:val="clear"/>
            <w:tcMar>
              <w:top w:w="0" w:type="dxa"/>
            </w:tcMar>
            <w:vAlign w:val="center"/>
          </w:tcPr>
          <w:p>
            <w:pPr>
              <w:pStyle w:val="TableContents"/>
              <w:bidi w:val="0"/>
              <w:spacing w:before="0" w:after="283"/>
              <w:jc w:val="center"/>
              <w:rPr/>
            </w:pPr>
            <w:r>
              <w:rPr>
                <w:rStyle w:val="Emphasis"/>
              </w:rPr>
              <w:t> </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49" w:type="dxa"/>
            <w:tcBorders/>
            <w:shd w:fill="FFFFFF" w:val="clear"/>
            <w:tcMar>
              <w:top w:w="0" w:type="dxa"/>
            </w:tcMar>
            <w:vAlign w:val="center"/>
          </w:tcPr>
          <w:p>
            <w:pPr>
              <w:pStyle w:val="TableContents"/>
              <w:bidi w:val="0"/>
              <w:spacing w:before="0" w:after="283"/>
              <w:jc w:val="left"/>
              <w:rPr/>
            </w:pPr>
            <w:r>
              <w:rPr/>
              <w:t> </w:t>
            </w:r>
          </w:p>
        </w:tc>
        <w:tc>
          <w:tcPr>
            <w:tcW w:w="575" w:type="dxa"/>
            <w:tcBorders/>
            <w:shd w:fill="FFFFFF" w:val="clear"/>
            <w:tcMar>
              <w:top w:w="0" w:type="dxa"/>
            </w:tcMar>
            <w:vAlign w:val="center"/>
          </w:tcPr>
          <w:p>
            <w:pPr>
              <w:pStyle w:val="TableContents"/>
              <w:bidi w:val="0"/>
              <w:spacing w:before="0" w:after="283"/>
              <w:jc w:val="center"/>
              <w:rPr/>
            </w:pPr>
            <w:r>
              <w:rPr>
                <w:rStyle w:val="Emphasis"/>
              </w:rPr>
              <w:t> </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10" w:type="dxa"/>
            <w:tcBorders/>
            <w:shd w:fill="FFFFFF" w:val="clear"/>
            <w:tcMar>
              <w:top w:w="0" w:type="dxa"/>
            </w:tcMar>
            <w:vAlign w:val="center"/>
          </w:tcPr>
          <w:p>
            <w:pPr>
              <w:pStyle w:val="TableContents"/>
              <w:bidi w:val="0"/>
              <w:spacing w:before="0" w:after="283"/>
              <w:jc w:val="left"/>
              <w:rPr/>
            </w:pPr>
            <w:r>
              <w:rPr/>
              <w:t> </w:t>
            </w:r>
          </w:p>
        </w:tc>
        <w:tc>
          <w:tcPr>
            <w:tcW w:w="740" w:type="dxa"/>
            <w:tcBorders/>
            <w:shd w:fill="FFFFFF" w:val="clear"/>
            <w:tcMar>
              <w:top w:w="0" w:type="dxa"/>
            </w:tcMar>
            <w:vAlign w:val="center"/>
          </w:tcPr>
          <w:p>
            <w:pPr>
              <w:pStyle w:val="TableContents"/>
              <w:bidi w:val="0"/>
              <w:spacing w:before="0" w:after="283"/>
              <w:jc w:val="center"/>
              <w:rPr/>
            </w:pPr>
            <w:r>
              <w:rPr>
                <w:rStyle w:val="Emphasis"/>
              </w:rPr>
              <w:t> </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10" w:type="dxa"/>
            <w:tcBorders/>
            <w:shd w:fill="FFFFFF" w:val="clear"/>
            <w:tcMar>
              <w:top w:w="0" w:type="dxa"/>
            </w:tcMar>
            <w:vAlign w:val="center"/>
          </w:tcPr>
          <w:p>
            <w:pPr>
              <w:pStyle w:val="TableContents"/>
              <w:bidi w:val="0"/>
              <w:spacing w:before="0" w:after="283"/>
              <w:jc w:val="left"/>
              <w:rPr/>
            </w:pPr>
            <w:r>
              <w:rPr/>
              <w:t> </w:t>
            </w:r>
          </w:p>
        </w:tc>
        <w:tc>
          <w:tcPr>
            <w:tcW w:w="665" w:type="dxa"/>
            <w:tcBorders/>
            <w:shd w:fill="FFFFFF" w:val="clear"/>
            <w:tcMar>
              <w:top w:w="0" w:type="dxa"/>
            </w:tcMar>
            <w:vAlign w:val="center"/>
          </w:tcPr>
          <w:p>
            <w:pPr>
              <w:pStyle w:val="TableContents"/>
              <w:bidi w:val="0"/>
              <w:spacing w:before="0" w:after="283"/>
              <w:jc w:val="center"/>
              <w:rPr/>
            </w:pPr>
            <w:r>
              <w:rPr>
                <w:rStyle w:val="Emphasis"/>
              </w:rPr>
              <w:t> </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1085" w:type="dxa"/>
            <w:gridSpan w:val="2"/>
            <w:tcBorders/>
            <w:shd w:fill="FFFFFF" w:val="clear"/>
            <w:tcMar>
              <w:top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Other</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10" w:type="dxa"/>
            <w:tcBorders/>
            <w:shd w:fill="FFFFFF" w:val="clear"/>
            <w:tcMar>
              <w:top w:w="0" w:type="dxa"/>
            </w:tcMar>
            <w:vAlign w:val="center"/>
          </w:tcPr>
          <w:p>
            <w:pPr>
              <w:pStyle w:val="TableContents"/>
              <w:bidi w:val="0"/>
              <w:spacing w:before="0" w:after="283"/>
              <w:jc w:val="left"/>
              <w:rPr/>
            </w:pPr>
            <w:r>
              <w:rPr/>
              <w:t> </w:t>
            </w:r>
          </w:p>
        </w:tc>
        <w:tc>
          <w:tcPr>
            <w:tcW w:w="740" w:type="dxa"/>
            <w:tcBorders/>
            <w:shd w:fill="FFFFFF" w:val="clear"/>
            <w:tcMar>
              <w:top w:w="0" w:type="dxa"/>
            </w:tcMar>
            <w:vAlign w:val="center"/>
          </w:tcPr>
          <w:p>
            <w:pPr>
              <w:pStyle w:val="TableContents"/>
              <w:bidi w:val="0"/>
              <w:spacing w:before="0" w:after="283"/>
              <w:jc w:val="center"/>
              <w:rPr/>
            </w:pPr>
            <w:r>
              <w:rPr>
                <w:rStyle w:val="Emphasis"/>
              </w:rPr>
              <w:t> </w:t>
            </w:r>
          </w:p>
        </w:tc>
        <w:tc>
          <w:tcPr>
            <w:tcW w:w="80" w:type="dxa"/>
            <w:tcBorders/>
            <w:shd w:fill="FFFFFF" w:val="clear"/>
            <w:tcMar>
              <w:top w:w="0" w:type="dxa"/>
            </w:tcMar>
            <w:vAlign w:val="center"/>
          </w:tcPr>
          <w:p>
            <w:pPr>
              <w:pStyle w:val="TableContents"/>
              <w:bidi w:val="0"/>
              <w:spacing w:before="0" w:after="283"/>
              <w:jc w:val="left"/>
              <w:rPr/>
            </w:pPr>
            <w:r>
              <w:rPr/>
              <w:t> </w:t>
            </w:r>
          </w:p>
        </w:tc>
      </w:tr>
      <w:tr>
        <w:trPr/>
        <w:tc>
          <w:tcPr>
            <w:tcW w:w="4145"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605" w:type="dxa"/>
            <w:tcBorders/>
            <w:shd w:fill="FFFFFF" w:val="clear"/>
            <w:tcMar>
              <w:top w:w="0" w:type="dxa"/>
            </w:tcMar>
            <w:vAlign w:val="center"/>
          </w:tcPr>
          <w:p>
            <w:pPr>
              <w:pStyle w:val="TableContents"/>
              <w:bidi w:val="0"/>
              <w:spacing w:before="0" w:after="283"/>
              <w:jc w:val="center"/>
              <w:rPr/>
            </w:pPr>
            <w:r>
              <w:rPr>
                <w:rStyle w:val="Emphasis"/>
              </w:rPr>
              <w:t> </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49" w:type="dxa"/>
            <w:tcBorders/>
            <w:shd w:fill="FFFFFF" w:val="clear"/>
            <w:tcMar>
              <w:top w:w="0" w:type="dxa"/>
            </w:tcMar>
            <w:vAlign w:val="center"/>
          </w:tcPr>
          <w:p>
            <w:pPr>
              <w:pStyle w:val="TableContents"/>
              <w:bidi w:val="0"/>
              <w:spacing w:before="0" w:after="283"/>
              <w:jc w:val="left"/>
              <w:rPr/>
            </w:pPr>
            <w:r>
              <w:rPr/>
              <w:t> </w:t>
            </w:r>
          </w:p>
        </w:tc>
        <w:tc>
          <w:tcPr>
            <w:tcW w:w="575" w:type="dxa"/>
            <w:tcBorders/>
            <w:shd w:fill="FFFFFF" w:val="clear"/>
            <w:tcMar>
              <w:top w:w="0" w:type="dxa"/>
            </w:tcMar>
            <w:vAlign w:val="center"/>
          </w:tcPr>
          <w:p>
            <w:pPr>
              <w:pStyle w:val="TableContents"/>
              <w:bidi w:val="0"/>
              <w:spacing w:before="0" w:after="283"/>
              <w:jc w:val="center"/>
              <w:rPr/>
            </w:pPr>
            <w:r>
              <w:rPr>
                <w:rStyle w:val="Emphasis"/>
              </w:rPr>
              <w:t> </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850" w:type="dxa"/>
            <w:gridSpan w:val="2"/>
            <w:tcBorders/>
            <w:shd w:fill="FFFFFF" w:val="clear"/>
            <w:tcMar>
              <w:top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Additional</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775" w:type="dxa"/>
            <w:gridSpan w:val="2"/>
            <w:tcBorders/>
            <w:shd w:fill="FFFFFF" w:val="clear"/>
            <w:tcMar>
              <w:top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Retained</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1085" w:type="dxa"/>
            <w:gridSpan w:val="2"/>
            <w:tcBorders/>
            <w:shd w:fill="FFFFFF" w:val="clear"/>
            <w:tcMar>
              <w:top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Comprehensive</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10" w:type="dxa"/>
            <w:tcBorders/>
            <w:shd w:fill="FFFFFF" w:val="clear"/>
            <w:tcMar>
              <w:top w:w="0" w:type="dxa"/>
            </w:tcMar>
            <w:vAlign w:val="center"/>
          </w:tcPr>
          <w:p>
            <w:pPr>
              <w:pStyle w:val="TableContents"/>
              <w:bidi w:val="0"/>
              <w:spacing w:before="0" w:after="283"/>
              <w:jc w:val="left"/>
              <w:rPr/>
            </w:pPr>
            <w:r>
              <w:rPr/>
              <w:t> </w:t>
            </w:r>
          </w:p>
        </w:tc>
        <w:tc>
          <w:tcPr>
            <w:tcW w:w="740" w:type="dxa"/>
            <w:tcBorders/>
            <w:shd w:fill="FFFFFF" w:val="clear"/>
            <w:tcMar>
              <w:top w:w="0" w:type="dxa"/>
            </w:tcMar>
            <w:vAlign w:val="center"/>
          </w:tcPr>
          <w:p>
            <w:pPr>
              <w:pStyle w:val="TableContents"/>
              <w:bidi w:val="0"/>
              <w:spacing w:before="0" w:after="283"/>
              <w:jc w:val="center"/>
              <w:rPr/>
            </w:pPr>
            <w:r>
              <w:rPr>
                <w:rStyle w:val="Emphasis"/>
              </w:rPr>
              <w:t> </w:t>
            </w:r>
          </w:p>
        </w:tc>
        <w:tc>
          <w:tcPr>
            <w:tcW w:w="80" w:type="dxa"/>
            <w:tcBorders/>
            <w:shd w:fill="FFFFFF" w:val="clear"/>
            <w:tcMar>
              <w:top w:w="0" w:type="dxa"/>
            </w:tcMar>
            <w:vAlign w:val="center"/>
          </w:tcPr>
          <w:p>
            <w:pPr>
              <w:pStyle w:val="TableContents"/>
              <w:bidi w:val="0"/>
              <w:spacing w:before="0" w:after="283"/>
              <w:jc w:val="left"/>
              <w:rPr/>
            </w:pPr>
            <w:r>
              <w:rPr/>
              <w:t> </w:t>
            </w:r>
          </w:p>
        </w:tc>
      </w:tr>
      <w:tr>
        <w:trPr/>
        <w:tc>
          <w:tcPr>
            <w:tcW w:w="4145"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1529" w:type="dxa"/>
            <w:gridSpan w:val="6"/>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Common Stock</w:t>
            </w:r>
          </w:p>
        </w:tc>
        <w:tc>
          <w:tcPr>
            <w:tcW w:w="8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850" w:type="dxa"/>
            <w:gridSpan w:val="2"/>
            <w:tcBorders/>
            <w:shd w:fill="FFFFFF" w:val="clear"/>
            <w:tcMar>
              <w:top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Paid-in</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775" w:type="dxa"/>
            <w:gridSpan w:val="2"/>
            <w:tcBorders/>
            <w:shd w:fill="FFFFFF" w:val="clear"/>
            <w:tcMar>
              <w:top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Earnings</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1085" w:type="dxa"/>
            <w:gridSpan w:val="2"/>
            <w:tcBorders/>
            <w:shd w:fill="FFFFFF" w:val="clear"/>
            <w:tcMar>
              <w:top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Income</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10" w:type="dxa"/>
            <w:tcBorders/>
            <w:shd w:fill="FFFFFF" w:val="clear"/>
            <w:tcMar>
              <w:top w:w="0" w:type="dxa"/>
            </w:tcMar>
            <w:vAlign w:val="center"/>
          </w:tcPr>
          <w:p>
            <w:pPr>
              <w:pStyle w:val="TableContents"/>
              <w:bidi w:val="0"/>
              <w:spacing w:before="0" w:after="283"/>
              <w:jc w:val="left"/>
              <w:rPr/>
            </w:pPr>
            <w:r>
              <w:rPr/>
              <w:t> </w:t>
            </w:r>
          </w:p>
        </w:tc>
        <w:tc>
          <w:tcPr>
            <w:tcW w:w="740" w:type="dxa"/>
            <w:tcBorders/>
            <w:shd w:fill="FFFFFF" w:val="clear"/>
            <w:tcMar>
              <w:top w:w="0" w:type="dxa"/>
            </w:tcMar>
            <w:vAlign w:val="center"/>
          </w:tcPr>
          <w:p>
            <w:pPr>
              <w:pStyle w:val="TableContents"/>
              <w:bidi w:val="0"/>
              <w:spacing w:before="0" w:after="283"/>
              <w:jc w:val="center"/>
              <w:rPr/>
            </w:pPr>
            <w:r>
              <w:rPr>
                <w:rStyle w:val="Emphasis"/>
              </w:rPr>
              <w:t> </w:t>
            </w:r>
          </w:p>
        </w:tc>
        <w:tc>
          <w:tcPr>
            <w:tcW w:w="80" w:type="dxa"/>
            <w:tcBorders/>
            <w:shd w:fill="FFFFFF" w:val="clear"/>
            <w:tcMar>
              <w:top w:w="0" w:type="dxa"/>
            </w:tcMar>
            <w:vAlign w:val="center"/>
          </w:tcPr>
          <w:p>
            <w:pPr>
              <w:pStyle w:val="TableContents"/>
              <w:bidi w:val="0"/>
              <w:spacing w:before="0" w:after="283"/>
              <w:jc w:val="left"/>
              <w:rPr/>
            </w:pPr>
            <w:r>
              <w:rPr/>
              <w:t> </w:t>
            </w:r>
          </w:p>
        </w:tc>
      </w:tr>
      <w:tr>
        <w:trPr/>
        <w:tc>
          <w:tcPr>
            <w:tcW w:w="4145"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Shares</w:t>
            </w:r>
          </w:p>
        </w:tc>
        <w:tc>
          <w:tcPr>
            <w:tcW w:w="8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Par Value</w:t>
            </w:r>
          </w:p>
        </w:tc>
        <w:tc>
          <w:tcPr>
            <w:tcW w:w="8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Capital</w:t>
            </w:r>
          </w:p>
        </w:tc>
        <w:tc>
          <w:tcPr>
            <w:tcW w:w="8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(Deficit)</w:t>
            </w:r>
          </w:p>
        </w:tc>
        <w:tc>
          <w:tcPr>
            <w:tcW w:w="8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1085" w:type="dxa"/>
            <w:gridSpan w:val="2"/>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(Loss)</w:t>
            </w:r>
          </w:p>
        </w:tc>
        <w:tc>
          <w:tcPr>
            <w:tcW w:w="8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Total</w:t>
            </w:r>
          </w:p>
        </w:tc>
        <w:tc>
          <w:tcPr>
            <w:tcW w:w="8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r>
      <w:tr>
        <w:trPr/>
        <w:tc>
          <w:tcPr>
            <w:tcW w:w="4145" w:type="dxa"/>
            <w:tcBorders/>
            <w:shd w:fill="CCEEFF" w:val="clear"/>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Balances, January 1, 2026</w:t>
            </w:r>
          </w:p>
        </w:tc>
        <w:tc>
          <w:tcPr>
            <w:tcW w:w="6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ind w:left="0" w:right="0" w:hanging="0"/>
              <w:jc w:val="left"/>
              <w:rPr/>
            </w:pPr>
            <w:r>
              <w:rPr/>
              <w:t> </w:t>
            </w:r>
          </w:p>
        </w:tc>
        <w:tc>
          <w:tcPr>
            <w:tcW w:w="605"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181,986</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ind w:left="0" w:right="0" w:hanging="0"/>
              <w:jc w:val="left"/>
              <w:rPr/>
            </w:pPr>
            <w:r>
              <w:rPr/>
              <w:t> </w:t>
            </w:r>
          </w:p>
        </w:tc>
        <w:tc>
          <w:tcPr>
            <w:tcW w:w="149" w:type="dxa"/>
            <w:tcBorders/>
            <w:shd w:fill="CCEEFF" w:val="clear"/>
            <w:tcMar>
              <w:top w:w="0"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75"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1,820</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ind w:left="0" w:right="0" w:hanging="0"/>
              <w:jc w:val="left"/>
              <w:rPr/>
            </w:pPr>
            <w:r>
              <w:rPr/>
              <w:t> </w:t>
            </w:r>
          </w:p>
        </w:tc>
        <w:tc>
          <w:tcPr>
            <w:tcW w:w="110" w:type="dxa"/>
            <w:tcBorders/>
            <w:shd w:fill="CCEEFF" w:val="clear"/>
            <w:tcMar>
              <w:top w:w="0"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1,553,451</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ind w:left="0" w:right="0" w:hanging="0"/>
              <w:jc w:val="left"/>
              <w:rPr/>
            </w:pPr>
            <w:r>
              <w:rPr/>
              <w:t> </w:t>
            </w:r>
          </w:p>
        </w:tc>
        <w:tc>
          <w:tcPr>
            <w:tcW w:w="110" w:type="dxa"/>
            <w:tcBorders/>
            <w:shd w:fill="CCEEFF" w:val="clear"/>
            <w:tcMar>
              <w:top w:w="0"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(183,741</w:t>
            </w:r>
          </w:p>
        </w:tc>
        <w:tc>
          <w:tcPr>
            <w:tcW w:w="80" w:type="dxa"/>
            <w:tcBorders/>
            <w:shd w:fill="CCEEFF" w:val="clear"/>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top w:w="0" w:type="dxa"/>
            </w:tcMar>
            <w:vAlign w:val="center"/>
          </w:tcPr>
          <w:p>
            <w:pPr>
              <w:pStyle w:val="TableContents"/>
              <w:bidi w:val="0"/>
              <w:spacing w:before="0" w:after="283"/>
              <w:ind w:left="0" w:right="0" w:hanging="0"/>
              <w:jc w:val="left"/>
              <w:rPr/>
            </w:pPr>
            <w:r>
              <w:rPr/>
              <w:t> </w:t>
            </w:r>
          </w:p>
        </w:tc>
        <w:tc>
          <w:tcPr>
            <w:tcW w:w="258" w:type="dxa"/>
            <w:tcBorders/>
            <w:shd w:fill="CCEEFF" w:val="clear"/>
            <w:tcMar>
              <w:top w:w="0"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27"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418</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ind w:left="0" w:right="0" w:hanging="0"/>
              <w:jc w:val="left"/>
              <w:rPr/>
            </w:pPr>
            <w:r>
              <w:rPr/>
              <w:t> </w:t>
            </w:r>
          </w:p>
        </w:tc>
        <w:tc>
          <w:tcPr>
            <w:tcW w:w="110" w:type="dxa"/>
            <w:tcBorders/>
            <w:shd w:fill="CCEEFF" w:val="clear"/>
            <w:tcMar>
              <w:top w:w="0"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1,371,948</w:t>
            </w:r>
          </w:p>
        </w:tc>
        <w:tc>
          <w:tcPr>
            <w:tcW w:w="80" w:type="dxa"/>
            <w:tcBorders/>
            <w:shd w:fill="CCEEFF" w:val="clear"/>
            <w:tcMar>
              <w:top w:w="0" w:type="dxa"/>
            </w:tcMar>
            <w:vAlign w:val="center"/>
          </w:tcPr>
          <w:p>
            <w:pPr>
              <w:pStyle w:val="TableContents"/>
              <w:bidi w:val="0"/>
              <w:spacing w:before="0" w:after="283"/>
              <w:jc w:val="left"/>
              <w:rPr/>
            </w:pPr>
            <w:r>
              <w:rPr/>
              <w:t> </w:t>
            </w:r>
          </w:p>
        </w:tc>
      </w:tr>
      <w:tr>
        <w:trPr/>
        <w:tc>
          <w:tcPr>
            <w:tcW w:w="4145" w:type="dxa"/>
            <w:tcBorders/>
            <w:shd w:fill="FFFFFF" w:val="clear"/>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loss</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605" w:type="dxa"/>
            <w:tcBorders/>
            <w:shd w:fill="FFFFFF" w:val="clear"/>
            <w:tcMar>
              <w:top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49" w:type="dxa"/>
            <w:tcBorders/>
            <w:shd w:fill="FFFFFF" w:val="clear"/>
            <w:tcMar>
              <w:top w:w="0" w:type="dxa"/>
            </w:tcMar>
            <w:vAlign w:val="center"/>
          </w:tcPr>
          <w:p>
            <w:pPr>
              <w:pStyle w:val="TableContents"/>
              <w:bidi w:val="0"/>
              <w:spacing w:before="0" w:after="283"/>
              <w:ind w:left="0" w:right="0" w:hanging="0"/>
              <w:jc w:val="left"/>
              <w:rPr/>
            </w:pPr>
            <w:r>
              <w:rPr/>
              <w:t> </w:t>
            </w:r>
          </w:p>
        </w:tc>
        <w:tc>
          <w:tcPr>
            <w:tcW w:w="575" w:type="dxa"/>
            <w:tcBorders/>
            <w:shd w:fill="FFFFFF" w:val="clear"/>
            <w:tcMar>
              <w:top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10" w:type="dxa"/>
            <w:tcBorders/>
            <w:shd w:fill="FFFFFF" w:val="clear"/>
            <w:tcMar>
              <w:top w:w="0" w:type="dxa"/>
            </w:tcMar>
            <w:vAlign w:val="center"/>
          </w:tcPr>
          <w:p>
            <w:pPr>
              <w:pStyle w:val="TableContents"/>
              <w:bidi w:val="0"/>
              <w:spacing w:before="0" w:after="283"/>
              <w:ind w:left="0" w:right="0" w:hanging="0"/>
              <w:jc w:val="left"/>
              <w:rPr/>
            </w:pPr>
            <w:r>
              <w:rPr/>
              <w:t> </w:t>
            </w:r>
          </w:p>
        </w:tc>
        <w:tc>
          <w:tcPr>
            <w:tcW w:w="740" w:type="dxa"/>
            <w:tcBorders/>
            <w:shd w:fill="FFFFFF" w:val="clear"/>
            <w:tcMar>
              <w:top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10" w:type="dxa"/>
            <w:tcBorders/>
            <w:shd w:fill="FFFFFF" w:val="clear"/>
            <w:tcMar>
              <w:top w:w="0" w:type="dxa"/>
            </w:tcMar>
            <w:vAlign w:val="center"/>
          </w:tcPr>
          <w:p>
            <w:pPr>
              <w:pStyle w:val="TableContents"/>
              <w:bidi w:val="0"/>
              <w:spacing w:before="0" w:after="283"/>
              <w:ind w:left="0" w:right="0" w:hanging="0"/>
              <w:jc w:val="left"/>
              <w:rPr/>
            </w:pPr>
            <w:r>
              <w:rPr/>
              <w:t> </w:t>
            </w:r>
          </w:p>
        </w:tc>
        <w:tc>
          <w:tcPr>
            <w:tcW w:w="665" w:type="dxa"/>
            <w:tcBorders/>
            <w:shd w:fill="FFFFFF" w:val="clear"/>
            <w:tcMar>
              <w:top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(19,955</w:t>
            </w:r>
          </w:p>
        </w:tc>
        <w:tc>
          <w:tcPr>
            <w:tcW w:w="80" w:type="dxa"/>
            <w:tcBorders/>
            <w:shd w:fill="FFFFFF" w:val="clear"/>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top w:w="0" w:type="dxa"/>
            </w:tcMar>
            <w:vAlign w:val="center"/>
          </w:tcPr>
          <w:p>
            <w:pPr>
              <w:pStyle w:val="TableContents"/>
              <w:bidi w:val="0"/>
              <w:spacing w:before="0" w:after="283"/>
              <w:jc w:val="left"/>
              <w:rPr/>
            </w:pPr>
            <w:r>
              <w:rPr/>
              <w:t> </w:t>
            </w:r>
          </w:p>
        </w:tc>
        <w:tc>
          <w:tcPr>
            <w:tcW w:w="258" w:type="dxa"/>
            <w:tcBorders/>
            <w:shd w:fill="FFFFFF" w:val="clear"/>
            <w:tcMar>
              <w:top w:w="0" w:type="dxa"/>
            </w:tcMar>
            <w:vAlign w:val="center"/>
          </w:tcPr>
          <w:p>
            <w:pPr>
              <w:pStyle w:val="TableContents"/>
              <w:bidi w:val="0"/>
              <w:spacing w:before="0" w:after="283"/>
              <w:ind w:left="0" w:right="0" w:hanging="0"/>
              <w:jc w:val="left"/>
              <w:rPr/>
            </w:pPr>
            <w:r>
              <w:rPr/>
              <w:t> </w:t>
            </w:r>
          </w:p>
        </w:tc>
        <w:tc>
          <w:tcPr>
            <w:tcW w:w="827" w:type="dxa"/>
            <w:tcBorders/>
            <w:shd w:fill="FFFFFF" w:val="clear"/>
            <w:tcMar>
              <w:top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10" w:type="dxa"/>
            <w:tcBorders/>
            <w:shd w:fill="FFFFFF" w:val="clear"/>
            <w:tcMar>
              <w:top w:w="0" w:type="dxa"/>
            </w:tcMar>
            <w:vAlign w:val="center"/>
          </w:tcPr>
          <w:p>
            <w:pPr>
              <w:pStyle w:val="TableContents"/>
              <w:bidi w:val="0"/>
              <w:spacing w:before="0" w:after="283"/>
              <w:ind w:left="0" w:right="0" w:hanging="0"/>
              <w:jc w:val="left"/>
              <w:rPr/>
            </w:pPr>
            <w:r>
              <w:rPr/>
              <w:t> </w:t>
            </w:r>
          </w:p>
        </w:tc>
        <w:tc>
          <w:tcPr>
            <w:tcW w:w="740" w:type="dxa"/>
            <w:tcBorders/>
            <w:shd w:fill="FFFFFF" w:val="clear"/>
            <w:tcMar>
              <w:top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(19,955</w:t>
            </w:r>
          </w:p>
        </w:tc>
        <w:tc>
          <w:tcPr>
            <w:tcW w:w="80" w:type="dxa"/>
            <w:tcBorders/>
            <w:shd w:fill="FFFFFF" w:val="clear"/>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4145" w:type="dxa"/>
            <w:tcBorders/>
            <w:shd w:fill="CCEEFF" w:val="clear"/>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Unrealized loss on available-for-sale securities</w:t>
            </w:r>
          </w:p>
        </w:tc>
        <w:tc>
          <w:tcPr>
            <w:tcW w:w="6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ind w:left="0" w:right="0" w:hanging="0"/>
              <w:jc w:val="left"/>
              <w:rPr/>
            </w:pPr>
            <w:r>
              <w:rPr/>
              <w:t> </w:t>
            </w:r>
          </w:p>
        </w:tc>
        <w:tc>
          <w:tcPr>
            <w:tcW w:w="605" w:type="dxa"/>
            <w:tcBorders/>
            <w:shd w:fill="CCEEFF" w:val="clear"/>
            <w:tcMar>
              <w:top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49" w:type="dxa"/>
            <w:tcBorders/>
            <w:shd w:fill="CCEEFF" w:val="clear"/>
            <w:tcMar>
              <w:top w:w="0" w:type="dxa"/>
            </w:tcMar>
            <w:vAlign w:val="center"/>
          </w:tcPr>
          <w:p>
            <w:pPr>
              <w:pStyle w:val="TableContents"/>
              <w:bidi w:val="0"/>
              <w:spacing w:before="0" w:after="283"/>
              <w:ind w:left="0" w:right="0" w:hanging="0"/>
              <w:jc w:val="left"/>
              <w:rPr/>
            </w:pPr>
            <w:r>
              <w:rPr/>
              <w:t> </w:t>
            </w:r>
          </w:p>
        </w:tc>
        <w:tc>
          <w:tcPr>
            <w:tcW w:w="575"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10" w:type="dxa"/>
            <w:tcBorders/>
            <w:shd w:fill="CCEEFF" w:val="clear"/>
            <w:tcMar>
              <w:top w:w="0" w:type="dxa"/>
            </w:tcMar>
            <w:vAlign w:val="center"/>
          </w:tcPr>
          <w:p>
            <w:pPr>
              <w:pStyle w:val="TableContents"/>
              <w:bidi w:val="0"/>
              <w:spacing w:before="0" w:after="283"/>
              <w:ind w:left="0" w:right="0" w:hanging="0"/>
              <w:jc w:val="left"/>
              <w:rPr/>
            </w:pPr>
            <w:r>
              <w:rPr/>
              <w:t> </w:t>
            </w:r>
          </w:p>
        </w:tc>
        <w:tc>
          <w:tcPr>
            <w:tcW w:w="740"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10" w:type="dxa"/>
            <w:tcBorders/>
            <w:shd w:fill="CCEEFF" w:val="clear"/>
            <w:tcMar>
              <w:top w:w="0" w:type="dxa"/>
            </w:tcMar>
            <w:vAlign w:val="center"/>
          </w:tcPr>
          <w:p>
            <w:pPr>
              <w:pStyle w:val="TableContents"/>
              <w:bidi w:val="0"/>
              <w:spacing w:before="0" w:after="283"/>
              <w:ind w:left="0" w:right="0" w:hanging="0"/>
              <w:jc w:val="left"/>
              <w:rPr/>
            </w:pPr>
            <w:r>
              <w:rPr/>
              <w:t> </w:t>
            </w:r>
          </w:p>
        </w:tc>
        <w:tc>
          <w:tcPr>
            <w:tcW w:w="665"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258" w:type="dxa"/>
            <w:tcBorders/>
            <w:shd w:fill="CCEEFF" w:val="clear"/>
            <w:tcMar>
              <w:top w:w="0" w:type="dxa"/>
            </w:tcMar>
            <w:vAlign w:val="center"/>
          </w:tcPr>
          <w:p>
            <w:pPr>
              <w:pStyle w:val="TableContents"/>
              <w:bidi w:val="0"/>
              <w:spacing w:before="0" w:after="283"/>
              <w:ind w:left="0" w:right="0" w:hanging="0"/>
              <w:jc w:val="left"/>
              <w:rPr/>
            </w:pPr>
            <w:r>
              <w:rPr/>
              <w:t> </w:t>
            </w:r>
          </w:p>
        </w:tc>
        <w:tc>
          <w:tcPr>
            <w:tcW w:w="827"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(279</w:t>
            </w:r>
          </w:p>
        </w:tc>
        <w:tc>
          <w:tcPr>
            <w:tcW w:w="80" w:type="dxa"/>
            <w:tcBorders/>
            <w:shd w:fill="CCEEFF" w:val="clear"/>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top w:w="0" w:type="dxa"/>
            </w:tcMar>
            <w:vAlign w:val="center"/>
          </w:tcPr>
          <w:p>
            <w:pPr>
              <w:pStyle w:val="TableContents"/>
              <w:bidi w:val="0"/>
              <w:spacing w:before="0" w:after="283"/>
              <w:jc w:val="left"/>
              <w:rPr/>
            </w:pPr>
            <w:r>
              <w:rPr/>
              <w:t> </w:t>
            </w:r>
          </w:p>
        </w:tc>
        <w:tc>
          <w:tcPr>
            <w:tcW w:w="110" w:type="dxa"/>
            <w:tcBorders/>
            <w:shd w:fill="CCEEFF" w:val="clear"/>
            <w:tcMar>
              <w:top w:w="0" w:type="dxa"/>
            </w:tcMar>
            <w:vAlign w:val="center"/>
          </w:tcPr>
          <w:p>
            <w:pPr>
              <w:pStyle w:val="TableContents"/>
              <w:bidi w:val="0"/>
              <w:spacing w:before="0" w:after="283"/>
              <w:ind w:left="0" w:right="0" w:hanging="0"/>
              <w:jc w:val="left"/>
              <w:rPr/>
            </w:pPr>
            <w:r>
              <w:rPr/>
              <w:t> </w:t>
            </w:r>
          </w:p>
        </w:tc>
        <w:tc>
          <w:tcPr>
            <w:tcW w:w="740"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(279</w:t>
            </w:r>
          </w:p>
        </w:tc>
        <w:tc>
          <w:tcPr>
            <w:tcW w:w="80" w:type="dxa"/>
            <w:tcBorders/>
            <w:shd w:fill="CCEEFF" w:val="clear"/>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4145" w:type="dxa"/>
            <w:tcBorders/>
            <w:shd w:fill="FFFFFF" w:val="clear"/>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dividends declared ($0.36 per share)</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605" w:type="dxa"/>
            <w:tcBorders/>
            <w:shd w:fill="FFFFFF" w:val="clear"/>
            <w:tcMar>
              <w:top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49" w:type="dxa"/>
            <w:tcBorders/>
            <w:shd w:fill="FFFFFF" w:val="clear"/>
            <w:tcMar>
              <w:top w:w="0" w:type="dxa"/>
            </w:tcMar>
            <w:vAlign w:val="center"/>
          </w:tcPr>
          <w:p>
            <w:pPr>
              <w:pStyle w:val="TableContents"/>
              <w:bidi w:val="0"/>
              <w:spacing w:before="0" w:after="283"/>
              <w:ind w:left="0" w:right="0" w:hanging="0"/>
              <w:jc w:val="left"/>
              <w:rPr/>
            </w:pPr>
            <w:r>
              <w:rPr/>
              <w:t> </w:t>
            </w:r>
          </w:p>
        </w:tc>
        <w:tc>
          <w:tcPr>
            <w:tcW w:w="575" w:type="dxa"/>
            <w:tcBorders/>
            <w:shd w:fill="FFFFFF" w:val="clear"/>
            <w:tcMar>
              <w:top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10" w:type="dxa"/>
            <w:tcBorders/>
            <w:shd w:fill="FFFFFF" w:val="clear"/>
            <w:tcMar>
              <w:top w:w="0" w:type="dxa"/>
            </w:tcMar>
            <w:vAlign w:val="center"/>
          </w:tcPr>
          <w:p>
            <w:pPr>
              <w:pStyle w:val="TableContents"/>
              <w:bidi w:val="0"/>
              <w:spacing w:before="0" w:after="283"/>
              <w:ind w:left="0" w:right="0" w:hanging="0"/>
              <w:jc w:val="left"/>
              <w:rPr/>
            </w:pPr>
            <w:r>
              <w:rPr/>
              <w:t> </w:t>
            </w:r>
          </w:p>
        </w:tc>
        <w:tc>
          <w:tcPr>
            <w:tcW w:w="740" w:type="dxa"/>
            <w:tcBorders/>
            <w:shd w:fill="FFFFFF" w:val="clear"/>
            <w:tcMar>
              <w:top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(68,977</w:t>
            </w:r>
          </w:p>
        </w:tc>
        <w:tc>
          <w:tcPr>
            <w:tcW w:w="80" w:type="dxa"/>
            <w:tcBorders/>
            <w:shd w:fill="FFFFFF" w:val="clear"/>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top w:w="0" w:type="dxa"/>
            </w:tcMar>
            <w:vAlign w:val="center"/>
          </w:tcPr>
          <w:p>
            <w:pPr>
              <w:pStyle w:val="TableContents"/>
              <w:bidi w:val="0"/>
              <w:spacing w:before="0" w:after="283"/>
              <w:jc w:val="left"/>
              <w:rPr/>
            </w:pPr>
            <w:r>
              <w:rPr/>
              <w:t> </w:t>
            </w:r>
          </w:p>
        </w:tc>
        <w:tc>
          <w:tcPr>
            <w:tcW w:w="110" w:type="dxa"/>
            <w:tcBorders/>
            <w:shd w:fill="FFFFFF" w:val="clear"/>
            <w:tcMar>
              <w:top w:w="0" w:type="dxa"/>
            </w:tcMar>
            <w:vAlign w:val="center"/>
          </w:tcPr>
          <w:p>
            <w:pPr>
              <w:pStyle w:val="TableContents"/>
              <w:bidi w:val="0"/>
              <w:spacing w:before="0" w:after="283"/>
              <w:ind w:left="0" w:right="0" w:hanging="0"/>
              <w:jc w:val="left"/>
              <w:rPr/>
            </w:pPr>
            <w:r>
              <w:rPr/>
              <w:t> </w:t>
            </w:r>
          </w:p>
        </w:tc>
        <w:tc>
          <w:tcPr>
            <w:tcW w:w="665" w:type="dxa"/>
            <w:tcBorders/>
            <w:shd w:fill="FFFFFF" w:val="clear"/>
            <w:tcMar>
              <w:top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258" w:type="dxa"/>
            <w:tcBorders/>
            <w:shd w:fill="FFFFFF" w:val="clear"/>
            <w:tcMar>
              <w:top w:w="0" w:type="dxa"/>
            </w:tcMar>
            <w:vAlign w:val="center"/>
          </w:tcPr>
          <w:p>
            <w:pPr>
              <w:pStyle w:val="TableContents"/>
              <w:bidi w:val="0"/>
              <w:spacing w:before="0" w:after="283"/>
              <w:ind w:left="0" w:right="0" w:hanging="0"/>
              <w:jc w:val="left"/>
              <w:rPr/>
            </w:pPr>
            <w:r>
              <w:rPr/>
              <w:t> </w:t>
            </w:r>
          </w:p>
        </w:tc>
        <w:tc>
          <w:tcPr>
            <w:tcW w:w="827" w:type="dxa"/>
            <w:tcBorders/>
            <w:shd w:fill="FFFFFF" w:val="clear"/>
            <w:tcMar>
              <w:top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10" w:type="dxa"/>
            <w:tcBorders/>
            <w:shd w:fill="FFFFFF" w:val="clear"/>
            <w:tcMar>
              <w:top w:w="0" w:type="dxa"/>
            </w:tcMar>
            <w:vAlign w:val="center"/>
          </w:tcPr>
          <w:p>
            <w:pPr>
              <w:pStyle w:val="TableContents"/>
              <w:bidi w:val="0"/>
              <w:spacing w:before="0" w:after="283"/>
              <w:ind w:left="0" w:right="0" w:hanging="0"/>
              <w:jc w:val="left"/>
              <w:rPr/>
            </w:pPr>
            <w:r>
              <w:rPr/>
              <w:t> </w:t>
            </w:r>
          </w:p>
        </w:tc>
        <w:tc>
          <w:tcPr>
            <w:tcW w:w="740" w:type="dxa"/>
            <w:tcBorders/>
            <w:shd w:fill="FFFFFF" w:val="clear"/>
            <w:tcMar>
              <w:top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(68,977</w:t>
            </w:r>
          </w:p>
        </w:tc>
        <w:tc>
          <w:tcPr>
            <w:tcW w:w="80" w:type="dxa"/>
            <w:tcBorders/>
            <w:shd w:fill="FFFFFF" w:val="clear"/>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4145" w:type="dxa"/>
            <w:tcBorders/>
            <w:shd w:fill="CCEEFF" w:val="clear"/>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 based awards and amortization</w:t>
            </w:r>
          </w:p>
        </w:tc>
        <w:tc>
          <w:tcPr>
            <w:tcW w:w="6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ind w:left="0" w:right="0" w:hanging="0"/>
              <w:jc w:val="left"/>
              <w:rPr/>
            </w:pPr>
            <w:r>
              <w:rPr/>
              <w:t> </w:t>
            </w:r>
          </w:p>
        </w:tc>
        <w:tc>
          <w:tcPr>
            <w:tcW w:w="605"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155</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49" w:type="dxa"/>
            <w:tcBorders/>
            <w:shd w:fill="CCEEFF" w:val="clear"/>
            <w:tcMar>
              <w:top w:w="0" w:type="dxa"/>
            </w:tcMar>
            <w:vAlign w:val="center"/>
          </w:tcPr>
          <w:p>
            <w:pPr>
              <w:pStyle w:val="TableContents"/>
              <w:bidi w:val="0"/>
              <w:spacing w:before="0" w:after="283"/>
              <w:ind w:left="0" w:right="0" w:hanging="0"/>
              <w:jc w:val="left"/>
              <w:rPr/>
            </w:pPr>
            <w:r>
              <w:rPr/>
              <w:t> </w:t>
            </w:r>
          </w:p>
        </w:tc>
        <w:tc>
          <w:tcPr>
            <w:tcW w:w="575"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10" w:type="dxa"/>
            <w:tcBorders/>
            <w:shd w:fill="CCEEFF" w:val="clear"/>
            <w:tcMar>
              <w:top w:w="0" w:type="dxa"/>
            </w:tcMar>
            <w:vAlign w:val="center"/>
          </w:tcPr>
          <w:p>
            <w:pPr>
              <w:pStyle w:val="TableContents"/>
              <w:bidi w:val="0"/>
              <w:spacing w:before="0" w:after="283"/>
              <w:ind w:left="0" w:right="0" w:hanging="0"/>
              <w:jc w:val="left"/>
              <w:rPr/>
            </w:pPr>
            <w:r>
              <w:rPr/>
              <w:t> </w:t>
            </w:r>
          </w:p>
        </w:tc>
        <w:tc>
          <w:tcPr>
            <w:tcW w:w="740"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1,302</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10" w:type="dxa"/>
            <w:tcBorders/>
            <w:shd w:fill="CCEEFF" w:val="clear"/>
            <w:tcMar>
              <w:top w:w="0" w:type="dxa"/>
            </w:tcMar>
            <w:vAlign w:val="center"/>
          </w:tcPr>
          <w:p>
            <w:pPr>
              <w:pStyle w:val="TableContents"/>
              <w:bidi w:val="0"/>
              <w:spacing w:before="0" w:after="283"/>
              <w:ind w:left="0" w:right="0" w:hanging="0"/>
              <w:jc w:val="left"/>
              <w:rPr/>
            </w:pPr>
            <w:r>
              <w:rPr/>
              <w:t> </w:t>
            </w:r>
          </w:p>
        </w:tc>
        <w:tc>
          <w:tcPr>
            <w:tcW w:w="665"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258" w:type="dxa"/>
            <w:tcBorders/>
            <w:shd w:fill="CCEEFF" w:val="clear"/>
            <w:tcMar>
              <w:top w:w="0" w:type="dxa"/>
            </w:tcMar>
            <w:vAlign w:val="center"/>
          </w:tcPr>
          <w:p>
            <w:pPr>
              <w:pStyle w:val="TableContents"/>
              <w:bidi w:val="0"/>
              <w:spacing w:before="0" w:after="283"/>
              <w:ind w:left="0" w:right="0" w:hanging="0"/>
              <w:jc w:val="left"/>
              <w:rPr/>
            </w:pPr>
            <w:r>
              <w:rPr/>
              <w:t> </w:t>
            </w:r>
          </w:p>
        </w:tc>
        <w:tc>
          <w:tcPr>
            <w:tcW w:w="827"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10" w:type="dxa"/>
            <w:tcBorders/>
            <w:shd w:fill="CCEEFF" w:val="clear"/>
            <w:tcMar>
              <w:top w:w="0" w:type="dxa"/>
            </w:tcMar>
            <w:vAlign w:val="center"/>
          </w:tcPr>
          <w:p>
            <w:pPr>
              <w:pStyle w:val="TableContents"/>
              <w:bidi w:val="0"/>
              <w:spacing w:before="0" w:after="283"/>
              <w:ind w:left="0" w:right="0" w:hanging="0"/>
              <w:jc w:val="left"/>
              <w:rPr/>
            </w:pPr>
            <w:r>
              <w:rPr/>
              <w:t> </w:t>
            </w:r>
          </w:p>
        </w:tc>
        <w:tc>
          <w:tcPr>
            <w:tcW w:w="740"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1,304</w:t>
            </w:r>
          </w:p>
        </w:tc>
        <w:tc>
          <w:tcPr>
            <w:tcW w:w="80" w:type="dxa"/>
            <w:tcBorders/>
            <w:shd w:fill="CCEEFF" w:val="clear"/>
            <w:tcMar>
              <w:top w:w="0" w:type="dxa"/>
            </w:tcMar>
            <w:vAlign w:val="center"/>
          </w:tcPr>
          <w:p>
            <w:pPr>
              <w:pStyle w:val="TableContents"/>
              <w:bidi w:val="0"/>
              <w:spacing w:before="0" w:after="283"/>
              <w:jc w:val="left"/>
              <w:rPr/>
            </w:pPr>
            <w:r>
              <w:rPr/>
              <w:t> </w:t>
            </w:r>
          </w:p>
        </w:tc>
      </w:tr>
      <w:tr>
        <w:trPr/>
        <w:tc>
          <w:tcPr>
            <w:tcW w:w="4145"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Issuance of common stock pursuant to public offerings, net</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14,559</w:t>
            </w:r>
          </w:p>
        </w:tc>
        <w:tc>
          <w:tcPr>
            <w:tcW w:w="8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145</w:t>
            </w:r>
          </w:p>
        </w:tc>
        <w:tc>
          <w:tcPr>
            <w:tcW w:w="8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107,622</w:t>
            </w:r>
          </w:p>
        </w:tc>
        <w:tc>
          <w:tcPr>
            <w:tcW w:w="8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258"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827"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107,767</w:t>
            </w:r>
          </w:p>
        </w:tc>
        <w:tc>
          <w:tcPr>
            <w:tcW w:w="8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r>
      <w:tr>
        <w:trPr/>
        <w:tc>
          <w:tcPr>
            <w:tcW w:w="4145" w:type="dxa"/>
            <w:tcBorders>
              <w:bottom w:val="double" w:sz="6" w:space="0" w:color="000000"/>
            </w:tcBorders>
            <w:shd w:fill="CCEEFF" w:val="clear"/>
            <w:tcMar>
              <w:top w:w="0" w:type="dxa"/>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Balances, March 31, 2026</w:t>
            </w:r>
          </w:p>
        </w:tc>
        <w:tc>
          <w:tcPr>
            <w:tcW w:w="60" w:type="dxa"/>
            <w:tcBorders>
              <w:bottom w:val="double" w:sz="6" w:space="0" w:color="000000"/>
            </w:tcBorders>
            <w:shd w:fill="CCEEFF" w:val="clear"/>
            <w:tcMar>
              <w:top w:w="0" w:type="dxa"/>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top w:w="0" w:type="dxa"/>
              <w:bottom w:w="28" w:type="dxa"/>
            </w:tcMar>
            <w:vAlign w:val="center"/>
          </w:tcPr>
          <w:p>
            <w:pPr>
              <w:pStyle w:val="TableContents"/>
              <w:bidi w:val="0"/>
              <w:spacing w:before="0" w:after="283"/>
              <w:ind w:left="0" w:right="0" w:hanging="0"/>
              <w:jc w:val="left"/>
              <w:rPr/>
            </w:pPr>
            <w:r>
              <w:rPr/>
              <w:t> </w:t>
            </w:r>
          </w:p>
        </w:tc>
        <w:tc>
          <w:tcPr>
            <w:tcW w:w="605" w:type="dxa"/>
            <w:tcBorders>
              <w:bottom w:val="double" w:sz="6" w:space="0" w:color="000000"/>
            </w:tcBorders>
            <w:shd w:fill="CCEEFF" w:val="clear"/>
            <w:tcMar>
              <w:top w:w="0" w:type="dxa"/>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196,700</w:t>
            </w:r>
          </w:p>
        </w:tc>
        <w:tc>
          <w:tcPr>
            <w:tcW w:w="80" w:type="dxa"/>
            <w:tcBorders>
              <w:bottom w:val="double" w:sz="6" w:space="0" w:color="000000"/>
            </w:tcBorders>
            <w:shd w:fill="CCEEFF" w:val="clear"/>
            <w:tcMar>
              <w:top w:w="0" w:type="dxa"/>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top w:w="0" w:type="dxa"/>
              <w:bottom w:w="28" w:type="dxa"/>
            </w:tcMar>
            <w:vAlign w:val="center"/>
          </w:tcPr>
          <w:p>
            <w:pPr>
              <w:pStyle w:val="TableContents"/>
              <w:bidi w:val="0"/>
              <w:spacing w:before="0" w:after="283"/>
              <w:ind w:left="0" w:right="0" w:hanging="0"/>
              <w:jc w:val="left"/>
              <w:rPr/>
            </w:pPr>
            <w:r>
              <w:rPr/>
              <w:t> </w:t>
            </w:r>
          </w:p>
        </w:tc>
        <w:tc>
          <w:tcPr>
            <w:tcW w:w="149" w:type="dxa"/>
            <w:tcBorders>
              <w:bottom w:val="double" w:sz="6" w:space="0" w:color="000000"/>
            </w:tcBorders>
            <w:shd w:fill="CCEEFF" w:val="clear"/>
            <w:tcMar>
              <w:top w:w="0" w:type="dxa"/>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75" w:type="dxa"/>
            <w:tcBorders>
              <w:bottom w:val="double" w:sz="6" w:space="0" w:color="000000"/>
            </w:tcBorders>
            <w:shd w:fill="CCEEFF" w:val="clear"/>
            <w:tcMar>
              <w:top w:w="0" w:type="dxa"/>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1,967</w:t>
            </w:r>
          </w:p>
        </w:tc>
        <w:tc>
          <w:tcPr>
            <w:tcW w:w="80" w:type="dxa"/>
            <w:tcBorders>
              <w:bottom w:val="double" w:sz="6" w:space="0" w:color="000000"/>
            </w:tcBorders>
            <w:shd w:fill="CCEEFF" w:val="clear"/>
            <w:tcMar>
              <w:top w:w="0" w:type="dxa"/>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top w:w="0" w:type="dxa"/>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top w:w="0" w:type="dxa"/>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CCEEFF" w:val="clear"/>
            <w:tcMar>
              <w:top w:w="0" w:type="dxa"/>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1,593,398</w:t>
            </w:r>
          </w:p>
        </w:tc>
        <w:tc>
          <w:tcPr>
            <w:tcW w:w="80" w:type="dxa"/>
            <w:tcBorders>
              <w:bottom w:val="double" w:sz="6" w:space="0" w:color="000000"/>
            </w:tcBorders>
            <w:shd w:fill="CCEEFF" w:val="clear"/>
            <w:tcMar>
              <w:top w:w="0" w:type="dxa"/>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top w:w="0" w:type="dxa"/>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top w:w="0" w:type="dxa"/>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bottom w:val="double" w:sz="6" w:space="0" w:color="000000"/>
            </w:tcBorders>
            <w:shd w:fill="CCEEFF" w:val="clear"/>
            <w:tcMar>
              <w:top w:w="0" w:type="dxa"/>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(203,696</w:t>
            </w:r>
          </w:p>
        </w:tc>
        <w:tc>
          <w:tcPr>
            <w:tcW w:w="80" w:type="dxa"/>
            <w:tcBorders>
              <w:bottom w:val="double" w:sz="6"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bottom w:val="double" w:sz="6" w:space="0" w:color="000000"/>
            </w:tcBorders>
            <w:shd w:fill="CCEEFF" w:val="clear"/>
            <w:tcMar>
              <w:top w:w="0" w:type="dxa"/>
              <w:bottom w:w="28" w:type="dxa"/>
            </w:tcMar>
            <w:vAlign w:val="center"/>
          </w:tcPr>
          <w:p>
            <w:pPr>
              <w:pStyle w:val="TableContents"/>
              <w:bidi w:val="0"/>
              <w:spacing w:before="0" w:after="283"/>
              <w:ind w:left="0" w:right="0" w:hanging="0"/>
              <w:jc w:val="left"/>
              <w:rPr/>
            </w:pPr>
            <w:r>
              <w:rPr/>
              <w:t> </w:t>
            </w:r>
          </w:p>
        </w:tc>
        <w:tc>
          <w:tcPr>
            <w:tcW w:w="258" w:type="dxa"/>
            <w:tcBorders>
              <w:bottom w:val="double" w:sz="6" w:space="0" w:color="000000"/>
            </w:tcBorders>
            <w:shd w:fill="CCEEFF" w:val="clear"/>
            <w:tcMar>
              <w:top w:w="0" w:type="dxa"/>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27" w:type="dxa"/>
            <w:tcBorders>
              <w:bottom w:val="double" w:sz="6" w:space="0" w:color="000000"/>
            </w:tcBorders>
            <w:shd w:fill="CCEEFF" w:val="clear"/>
            <w:tcMar>
              <w:top w:w="0" w:type="dxa"/>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139</w:t>
            </w:r>
          </w:p>
        </w:tc>
        <w:tc>
          <w:tcPr>
            <w:tcW w:w="80" w:type="dxa"/>
            <w:tcBorders>
              <w:bottom w:val="double" w:sz="6" w:space="0" w:color="000000"/>
            </w:tcBorders>
            <w:shd w:fill="CCEEFF" w:val="clear"/>
            <w:tcMar>
              <w:top w:w="0" w:type="dxa"/>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top w:w="0" w:type="dxa"/>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top w:w="0" w:type="dxa"/>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CCEEFF" w:val="clear"/>
            <w:tcMar>
              <w:top w:w="0" w:type="dxa"/>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1,391,808</w:t>
            </w:r>
          </w:p>
        </w:tc>
        <w:tc>
          <w:tcPr>
            <w:tcW w:w="80" w:type="dxa"/>
            <w:tcBorders>
              <w:bottom w:val="double" w:sz="6" w:space="0" w:color="000000"/>
            </w:tcBorders>
            <w:shd w:fill="CCEEFF" w:val="clear"/>
            <w:tcMar>
              <w:top w:w="0" w:type="dxa"/>
              <w:bottom w:w="28" w:type="dxa"/>
            </w:tcMar>
            <w:vAlign w:val="center"/>
          </w:tcPr>
          <w:p>
            <w:pPr>
              <w:pStyle w:val="TableContents"/>
              <w:bidi w:val="0"/>
              <w:spacing w:before="0" w:after="283"/>
              <w:jc w:val="left"/>
              <w:rPr/>
            </w:pPr>
            <w:r>
              <w:rPr/>
              <w:t> </w:t>
            </w:r>
          </w:p>
        </w:tc>
      </w:tr>
      <w:tr>
        <w:trPr/>
        <w:tc>
          <w:tcPr>
            <w:tcW w:w="4145" w:type="dxa"/>
            <w:tcBorders/>
            <w:shd w:fill="FFFFFF" w:val="clear"/>
            <w:tcMar>
              <w:top w:w="0"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605" w:type="dxa"/>
            <w:tcBorders/>
            <w:shd w:fill="FFFFFF" w:val="clear"/>
            <w:tcMar>
              <w:top w:w="0" w:type="dxa"/>
            </w:tcM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49" w:type="dxa"/>
            <w:tcBorders/>
            <w:shd w:fill="FFFFFF" w:val="clear"/>
            <w:tcMar>
              <w:top w:w="0" w:type="dxa"/>
            </w:tcMar>
            <w:vAlign w:val="center"/>
          </w:tcPr>
          <w:p>
            <w:pPr>
              <w:pStyle w:val="TableContents"/>
              <w:bidi w:val="0"/>
              <w:spacing w:before="0" w:after="283"/>
              <w:jc w:val="left"/>
              <w:rPr/>
            </w:pPr>
            <w:r>
              <w:rPr/>
              <w:t> </w:t>
            </w:r>
          </w:p>
        </w:tc>
        <w:tc>
          <w:tcPr>
            <w:tcW w:w="575" w:type="dxa"/>
            <w:tcBorders/>
            <w:shd w:fill="FFFF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10" w:type="dxa"/>
            <w:tcBorders/>
            <w:shd w:fill="FFFFFF" w:val="clear"/>
            <w:tcMar>
              <w:top w:w="0" w:type="dxa"/>
            </w:tcMar>
            <w:vAlign w:val="center"/>
          </w:tcPr>
          <w:p>
            <w:pPr>
              <w:pStyle w:val="TableContents"/>
              <w:bidi w:val="0"/>
              <w:spacing w:before="0" w:after="283"/>
              <w:jc w:val="left"/>
              <w:rPr/>
            </w:pPr>
            <w:r>
              <w:rPr/>
              <w:t> </w:t>
            </w:r>
          </w:p>
        </w:tc>
        <w:tc>
          <w:tcPr>
            <w:tcW w:w="740" w:type="dxa"/>
            <w:tcBorders/>
            <w:shd w:fill="FFFF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10" w:type="dxa"/>
            <w:tcBorders/>
            <w:shd w:fill="FFFFFF" w:val="clear"/>
            <w:tcMar>
              <w:top w:w="0" w:type="dxa"/>
            </w:tcMar>
            <w:vAlign w:val="center"/>
          </w:tcPr>
          <w:p>
            <w:pPr>
              <w:pStyle w:val="TableContents"/>
              <w:bidi w:val="0"/>
              <w:spacing w:before="0" w:after="283"/>
              <w:jc w:val="left"/>
              <w:rPr/>
            </w:pPr>
            <w:r>
              <w:rPr/>
              <w:t> </w:t>
            </w:r>
          </w:p>
        </w:tc>
        <w:tc>
          <w:tcPr>
            <w:tcW w:w="665" w:type="dxa"/>
            <w:tcBorders/>
            <w:shd w:fill="FFFF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89,192</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258" w:type="dxa"/>
            <w:tcBorders/>
            <w:shd w:fill="FFFFFF" w:val="clear"/>
            <w:tcMar>
              <w:top w:w="0" w:type="dxa"/>
            </w:tcMar>
            <w:vAlign w:val="center"/>
          </w:tcPr>
          <w:p>
            <w:pPr>
              <w:pStyle w:val="TableContents"/>
              <w:bidi w:val="0"/>
              <w:spacing w:before="0" w:after="283"/>
              <w:jc w:val="left"/>
              <w:rPr/>
            </w:pPr>
            <w:r>
              <w:rPr/>
              <w:t> </w:t>
            </w:r>
          </w:p>
        </w:tc>
        <w:tc>
          <w:tcPr>
            <w:tcW w:w="827" w:type="dxa"/>
            <w:tcBorders/>
            <w:shd w:fill="FFFF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10" w:type="dxa"/>
            <w:tcBorders/>
            <w:shd w:fill="FFFFFF" w:val="clear"/>
            <w:tcMar>
              <w:top w:w="0" w:type="dxa"/>
            </w:tcMar>
            <w:vAlign w:val="center"/>
          </w:tcPr>
          <w:p>
            <w:pPr>
              <w:pStyle w:val="TableContents"/>
              <w:bidi w:val="0"/>
              <w:spacing w:before="0" w:after="283"/>
              <w:jc w:val="left"/>
              <w:rPr/>
            </w:pPr>
            <w:r>
              <w:rPr/>
              <w:t> </w:t>
            </w:r>
          </w:p>
        </w:tc>
        <w:tc>
          <w:tcPr>
            <w:tcW w:w="740" w:type="dxa"/>
            <w:tcBorders/>
            <w:shd w:fill="FFFF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89,192</w:t>
            </w:r>
          </w:p>
        </w:tc>
        <w:tc>
          <w:tcPr>
            <w:tcW w:w="80" w:type="dxa"/>
            <w:tcBorders/>
            <w:shd w:fill="FFFFFF" w:val="clear"/>
            <w:tcMar>
              <w:top w:w="0" w:type="dxa"/>
            </w:tcMar>
            <w:vAlign w:val="center"/>
          </w:tcPr>
          <w:p>
            <w:pPr>
              <w:pStyle w:val="TableContents"/>
              <w:bidi w:val="0"/>
              <w:spacing w:before="0" w:after="283"/>
              <w:jc w:val="left"/>
              <w:rPr/>
            </w:pPr>
            <w:r>
              <w:rPr/>
              <w:t> </w:t>
            </w:r>
          </w:p>
        </w:tc>
      </w:tr>
      <w:tr>
        <w:trPr/>
        <w:tc>
          <w:tcPr>
            <w:tcW w:w="4145" w:type="dxa"/>
            <w:tcBorders/>
            <w:shd w:fill="CCEEFF" w:val="clear"/>
            <w:tcMar>
              <w:top w:w="0"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Unrealized loss on available-for-sale securities</w:t>
            </w:r>
          </w:p>
        </w:tc>
        <w:tc>
          <w:tcPr>
            <w:tcW w:w="6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605" w:type="dxa"/>
            <w:tcBorders/>
            <w:shd w:fill="CCEEFF" w:val="clear"/>
            <w:tcMar>
              <w:top w:w="0" w:type="dxa"/>
            </w:tcM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49" w:type="dxa"/>
            <w:tcBorders/>
            <w:shd w:fill="CCEEFF" w:val="clear"/>
            <w:tcMar>
              <w:top w:w="0" w:type="dxa"/>
            </w:tcMar>
            <w:vAlign w:val="center"/>
          </w:tcPr>
          <w:p>
            <w:pPr>
              <w:pStyle w:val="TableContents"/>
              <w:bidi w:val="0"/>
              <w:spacing w:before="0" w:after="283"/>
              <w:jc w:val="left"/>
              <w:rPr/>
            </w:pPr>
            <w:r>
              <w:rPr/>
              <w:t> </w:t>
            </w:r>
          </w:p>
        </w:tc>
        <w:tc>
          <w:tcPr>
            <w:tcW w:w="575" w:type="dxa"/>
            <w:tcBorders/>
            <w:shd w:fill="CCEE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10" w:type="dxa"/>
            <w:tcBorders/>
            <w:shd w:fill="CCEEFF" w:val="clear"/>
            <w:tcMar>
              <w:top w:w="0" w:type="dxa"/>
            </w:tcMar>
            <w:vAlign w:val="center"/>
          </w:tcPr>
          <w:p>
            <w:pPr>
              <w:pStyle w:val="TableContents"/>
              <w:bidi w:val="0"/>
              <w:spacing w:before="0" w:after="283"/>
              <w:jc w:val="left"/>
              <w:rPr/>
            </w:pPr>
            <w:r>
              <w:rPr/>
              <w:t> </w:t>
            </w:r>
          </w:p>
        </w:tc>
        <w:tc>
          <w:tcPr>
            <w:tcW w:w="740" w:type="dxa"/>
            <w:tcBorders/>
            <w:shd w:fill="CCEE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10" w:type="dxa"/>
            <w:tcBorders/>
            <w:shd w:fill="CCEEFF" w:val="clear"/>
            <w:tcMar>
              <w:top w:w="0" w:type="dxa"/>
            </w:tcMar>
            <w:vAlign w:val="center"/>
          </w:tcPr>
          <w:p>
            <w:pPr>
              <w:pStyle w:val="TableContents"/>
              <w:bidi w:val="0"/>
              <w:spacing w:before="0" w:after="283"/>
              <w:jc w:val="left"/>
              <w:rPr/>
            </w:pPr>
            <w:r>
              <w:rPr/>
              <w:t> </w:t>
            </w:r>
          </w:p>
        </w:tc>
        <w:tc>
          <w:tcPr>
            <w:tcW w:w="665" w:type="dxa"/>
            <w:tcBorders/>
            <w:shd w:fill="CCEE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258" w:type="dxa"/>
            <w:tcBorders/>
            <w:shd w:fill="CCEEFF" w:val="clear"/>
            <w:tcMar>
              <w:top w:w="0" w:type="dxa"/>
            </w:tcMar>
            <w:vAlign w:val="center"/>
          </w:tcPr>
          <w:p>
            <w:pPr>
              <w:pStyle w:val="TableContents"/>
              <w:bidi w:val="0"/>
              <w:spacing w:before="0" w:after="283"/>
              <w:jc w:val="left"/>
              <w:rPr/>
            </w:pPr>
            <w:r>
              <w:rPr/>
              <w:t> </w:t>
            </w:r>
          </w:p>
        </w:tc>
        <w:tc>
          <w:tcPr>
            <w:tcW w:w="827" w:type="dxa"/>
            <w:tcBorders/>
            <w:shd w:fill="CCEE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(277</w:t>
            </w:r>
          </w:p>
        </w:tc>
        <w:tc>
          <w:tcPr>
            <w:tcW w:w="80" w:type="dxa"/>
            <w:tcBorders/>
            <w:shd w:fill="CCEEFF" w:val="clear"/>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top w:w="0" w:type="dxa"/>
            </w:tcMar>
            <w:vAlign w:val="center"/>
          </w:tcPr>
          <w:p>
            <w:pPr>
              <w:pStyle w:val="TableContents"/>
              <w:bidi w:val="0"/>
              <w:spacing w:before="0" w:after="283"/>
              <w:jc w:val="left"/>
              <w:rPr/>
            </w:pPr>
            <w:r>
              <w:rPr/>
              <w:t> </w:t>
            </w:r>
          </w:p>
        </w:tc>
        <w:tc>
          <w:tcPr>
            <w:tcW w:w="110" w:type="dxa"/>
            <w:tcBorders/>
            <w:shd w:fill="CCEEFF" w:val="clear"/>
            <w:tcMar>
              <w:top w:w="0" w:type="dxa"/>
            </w:tcMar>
            <w:vAlign w:val="center"/>
          </w:tcPr>
          <w:p>
            <w:pPr>
              <w:pStyle w:val="TableContents"/>
              <w:bidi w:val="0"/>
              <w:spacing w:before="0" w:after="283"/>
              <w:jc w:val="left"/>
              <w:rPr/>
            </w:pPr>
            <w:r>
              <w:rPr/>
              <w:t> </w:t>
            </w:r>
          </w:p>
        </w:tc>
        <w:tc>
          <w:tcPr>
            <w:tcW w:w="740" w:type="dxa"/>
            <w:tcBorders/>
            <w:shd w:fill="CCEE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(277</w:t>
            </w:r>
          </w:p>
        </w:tc>
        <w:tc>
          <w:tcPr>
            <w:tcW w:w="80" w:type="dxa"/>
            <w:tcBorders/>
            <w:shd w:fill="CCEEFF" w:val="clear"/>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4145" w:type="dxa"/>
            <w:tcBorders/>
            <w:shd w:fill="FFFFFF" w:val="clear"/>
            <w:tcMar>
              <w:top w:w="0"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dividends declared ($0.30 per share)</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605" w:type="dxa"/>
            <w:tcBorders/>
            <w:shd w:fill="FFFFFF" w:val="clear"/>
            <w:tcMar>
              <w:top w:w="0" w:type="dxa"/>
            </w:tcM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49" w:type="dxa"/>
            <w:tcBorders/>
            <w:shd w:fill="FFFFFF" w:val="clear"/>
            <w:tcMar>
              <w:top w:w="0" w:type="dxa"/>
            </w:tcMar>
            <w:vAlign w:val="center"/>
          </w:tcPr>
          <w:p>
            <w:pPr>
              <w:pStyle w:val="TableContents"/>
              <w:bidi w:val="0"/>
              <w:spacing w:before="0" w:after="283"/>
              <w:jc w:val="left"/>
              <w:rPr/>
            </w:pPr>
            <w:r>
              <w:rPr/>
              <w:t> </w:t>
            </w:r>
          </w:p>
        </w:tc>
        <w:tc>
          <w:tcPr>
            <w:tcW w:w="575" w:type="dxa"/>
            <w:tcBorders/>
            <w:shd w:fill="FFFF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10" w:type="dxa"/>
            <w:tcBorders/>
            <w:shd w:fill="FFFFFF" w:val="clear"/>
            <w:tcMar>
              <w:top w:w="0" w:type="dxa"/>
            </w:tcMar>
            <w:vAlign w:val="center"/>
          </w:tcPr>
          <w:p>
            <w:pPr>
              <w:pStyle w:val="TableContents"/>
              <w:bidi w:val="0"/>
              <w:spacing w:before="0" w:after="283"/>
              <w:jc w:val="left"/>
              <w:rPr/>
            </w:pPr>
            <w:r>
              <w:rPr/>
              <w:t> </w:t>
            </w:r>
          </w:p>
        </w:tc>
        <w:tc>
          <w:tcPr>
            <w:tcW w:w="740" w:type="dxa"/>
            <w:tcBorders/>
            <w:shd w:fill="FFFF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(60,265</w:t>
            </w:r>
          </w:p>
        </w:tc>
        <w:tc>
          <w:tcPr>
            <w:tcW w:w="80" w:type="dxa"/>
            <w:tcBorders/>
            <w:shd w:fill="FFFFFF" w:val="clear"/>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top w:w="0" w:type="dxa"/>
            </w:tcMar>
            <w:vAlign w:val="center"/>
          </w:tcPr>
          <w:p>
            <w:pPr>
              <w:pStyle w:val="TableContents"/>
              <w:bidi w:val="0"/>
              <w:spacing w:before="0" w:after="283"/>
              <w:jc w:val="left"/>
              <w:rPr/>
            </w:pPr>
            <w:r>
              <w:rPr/>
              <w:t> </w:t>
            </w:r>
          </w:p>
        </w:tc>
        <w:tc>
          <w:tcPr>
            <w:tcW w:w="110" w:type="dxa"/>
            <w:tcBorders/>
            <w:shd w:fill="FFFFFF" w:val="clear"/>
            <w:tcMar>
              <w:top w:w="0" w:type="dxa"/>
            </w:tcMar>
            <w:vAlign w:val="center"/>
          </w:tcPr>
          <w:p>
            <w:pPr>
              <w:pStyle w:val="TableContents"/>
              <w:bidi w:val="0"/>
              <w:spacing w:before="0" w:after="283"/>
              <w:jc w:val="left"/>
              <w:rPr/>
            </w:pPr>
            <w:r>
              <w:rPr/>
              <w:t> </w:t>
            </w:r>
          </w:p>
        </w:tc>
        <w:tc>
          <w:tcPr>
            <w:tcW w:w="665" w:type="dxa"/>
            <w:tcBorders/>
            <w:shd w:fill="FFFF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258" w:type="dxa"/>
            <w:tcBorders/>
            <w:shd w:fill="FFFFFF" w:val="clear"/>
            <w:tcMar>
              <w:top w:w="0" w:type="dxa"/>
            </w:tcMar>
            <w:vAlign w:val="center"/>
          </w:tcPr>
          <w:p>
            <w:pPr>
              <w:pStyle w:val="TableContents"/>
              <w:bidi w:val="0"/>
              <w:spacing w:before="0" w:after="283"/>
              <w:jc w:val="left"/>
              <w:rPr/>
            </w:pPr>
            <w:r>
              <w:rPr/>
              <w:t> </w:t>
            </w:r>
          </w:p>
        </w:tc>
        <w:tc>
          <w:tcPr>
            <w:tcW w:w="827" w:type="dxa"/>
            <w:tcBorders/>
            <w:shd w:fill="FFFF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10" w:type="dxa"/>
            <w:tcBorders/>
            <w:shd w:fill="FFFFFF" w:val="clear"/>
            <w:tcMar>
              <w:top w:w="0" w:type="dxa"/>
            </w:tcMar>
            <w:vAlign w:val="center"/>
          </w:tcPr>
          <w:p>
            <w:pPr>
              <w:pStyle w:val="TableContents"/>
              <w:bidi w:val="0"/>
              <w:spacing w:before="0" w:after="283"/>
              <w:jc w:val="left"/>
              <w:rPr/>
            </w:pPr>
            <w:r>
              <w:rPr/>
              <w:t> </w:t>
            </w:r>
          </w:p>
        </w:tc>
        <w:tc>
          <w:tcPr>
            <w:tcW w:w="740" w:type="dxa"/>
            <w:tcBorders/>
            <w:shd w:fill="FFFF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(60,265</w:t>
            </w:r>
          </w:p>
        </w:tc>
        <w:tc>
          <w:tcPr>
            <w:tcW w:w="80" w:type="dxa"/>
            <w:tcBorders/>
            <w:shd w:fill="FFFFFF" w:val="clear"/>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4145" w:type="dxa"/>
            <w:tcBorders/>
            <w:shd w:fill="CCEEFF" w:val="clear"/>
            <w:tcMar>
              <w:top w:w="0"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based awards and amortization</w:t>
            </w:r>
          </w:p>
        </w:tc>
        <w:tc>
          <w:tcPr>
            <w:tcW w:w="6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605" w:type="dxa"/>
            <w:tcBorders/>
            <w:shd w:fill="CCEE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49" w:type="dxa"/>
            <w:tcBorders/>
            <w:shd w:fill="CCEEFF" w:val="clear"/>
            <w:tcMar>
              <w:top w:w="0" w:type="dxa"/>
            </w:tcMar>
            <w:vAlign w:val="center"/>
          </w:tcPr>
          <w:p>
            <w:pPr>
              <w:pStyle w:val="TableContents"/>
              <w:bidi w:val="0"/>
              <w:spacing w:before="0" w:after="283"/>
              <w:jc w:val="left"/>
              <w:rPr/>
            </w:pPr>
            <w:r>
              <w:rPr/>
              <w:t> </w:t>
            </w:r>
          </w:p>
        </w:tc>
        <w:tc>
          <w:tcPr>
            <w:tcW w:w="575" w:type="dxa"/>
            <w:tcBorders/>
            <w:shd w:fill="CCEE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10" w:type="dxa"/>
            <w:tcBorders/>
            <w:shd w:fill="CCEEFF" w:val="clear"/>
            <w:tcMar>
              <w:top w:w="0" w:type="dxa"/>
            </w:tcMar>
            <w:vAlign w:val="center"/>
          </w:tcPr>
          <w:p>
            <w:pPr>
              <w:pStyle w:val="TableContents"/>
              <w:bidi w:val="0"/>
              <w:spacing w:before="0" w:after="283"/>
              <w:jc w:val="left"/>
              <w:rPr/>
            </w:pPr>
            <w:r>
              <w:rPr/>
              <w:t> </w:t>
            </w:r>
          </w:p>
        </w:tc>
        <w:tc>
          <w:tcPr>
            <w:tcW w:w="740" w:type="dxa"/>
            <w:tcBorders/>
            <w:shd w:fill="CCEE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386</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10" w:type="dxa"/>
            <w:tcBorders/>
            <w:shd w:fill="CCEEFF" w:val="clear"/>
            <w:tcMar>
              <w:top w:w="0" w:type="dxa"/>
            </w:tcMar>
            <w:vAlign w:val="center"/>
          </w:tcPr>
          <w:p>
            <w:pPr>
              <w:pStyle w:val="TableContents"/>
              <w:bidi w:val="0"/>
              <w:spacing w:before="0" w:after="283"/>
              <w:jc w:val="left"/>
              <w:rPr/>
            </w:pPr>
            <w:r>
              <w:rPr/>
              <w:t> </w:t>
            </w:r>
          </w:p>
        </w:tc>
        <w:tc>
          <w:tcPr>
            <w:tcW w:w="665" w:type="dxa"/>
            <w:tcBorders/>
            <w:shd w:fill="CCEE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258" w:type="dxa"/>
            <w:tcBorders/>
            <w:shd w:fill="CCEEFF" w:val="clear"/>
            <w:tcMar>
              <w:top w:w="0" w:type="dxa"/>
            </w:tcMar>
            <w:vAlign w:val="center"/>
          </w:tcPr>
          <w:p>
            <w:pPr>
              <w:pStyle w:val="TableContents"/>
              <w:bidi w:val="0"/>
              <w:spacing w:before="0" w:after="283"/>
              <w:jc w:val="left"/>
              <w:rPr/>
            </w:pPr>
            <w:r>
              <w:rPr/>
              <w:t> </w:t>
            </w:r>
          </w:p>
        </w:tc>
        <w:tc>
          <w:tcPr>
            <w:tcW w:w="827" w:type="dxa"/>
            <w:tcBorders/>
            <w:shd w:fill="CCEE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10" w:type="dxa"/>
            <w:tcBorders/>
            <w:shd w:fill="CCEEFF" w:val="clear"/>
            <w:tcMar>
              <w:top w:w="0" w:type="dxa"/>
            </w:tcMar>
            <w:vAlign w:val="center"/>
          </w:tcPr>
          <w:p>
            <w:pPr>
              <w:pStyle w:val="TableContents"/>
              <w:bidi w:val="0"/>
              <w:spacing w:before="0" w:after="283"/>
              <w:jc w:val="left"/>
              <w:rPr/>
            </w:pPr>
            <w:r>
              <w:rPr/>
              <w:t> </w:t>
            </w:r>
          </w:p>
        </w:tc>
        <w:tc>
          <w:tcPr>
            <w:tcW w:w="740" w:type="dxa"/>
            <w:tcBorders/>
            <w:shd w:fill="CCEE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386</w:t>
            </w:r>
          </w:p>
        </w:tc>
        <w:tc>
          <w:tcPr>
            <w:tcW w:w="80" w:type="dxa"/>
            <w:tcBorders/>
            <w:shd w:fill="CCEEFF" w:val="clear"/>
            <w:tcMar>
              <w:top w:w="0" w:type="dxa"/>
            </w:tcMar>
            <w:vAlign w:val="center"/>
          </w:tcPr>
          <w:p>
            <w:pPr>
              <w:pStyle w:val="TableContents"/>
              <w:bidi w:val="0"/>
              <w:spacing w:before="0" w:after="283"/>
              <w:jc w:val="left"/>
              <w:rPr/>
            </w:pPr>
            <w:r>
              <w:rPr/>
              <w:t> </w:t>
            </w:r>
          </w:p>
        </w:tc>
      </w:tr>
      <w:tr>
        <w:trPr/>
        <w:tc>
          <w:tcPr>
            <w:tcW w:w="4145" w:type="dxa"/>
            <w:tcBorders/>
            <w:shd w:fill="FFFFFF" w:val="clear"/>
            <w:tcMar>
              <w:top w:w="0"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 pursuant to public offerings, net</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605" w:type="dxa"/>
            <w:tcBorders/>
            <w:shd w:fill="FFFF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4,000</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49" w:type="dxa"/>
            <w:tcBorders/>
            <w:shd w:fill="FFFFFF" w:val="clear"/>
            <w:tcMar>
              <w:top w:w="0" w:type="dxa"/>
            </w:tcMar>
            <w:vAlign w:val="center"/>
          </w:tcPr>
          <w:p>
            <w:pPr>
              <w:pStyle w:val="TableContents"/>
              <w:bidi w:val="0"/>
              <w:spacing w:before="0" w:after="283"/>
              <w:jc w:val="left"/>
              <w:rPr/>
            </w:pPr>
            <w:r>
              <w:rPr/>
              <w:t> </w:t>
            </w:r>
          </w:p>
        </w:tc>
        <w:tc>
          <w:tcPr>
            <w:tcW w:w="575" w:type="dxa"/>
            <w:tcBorders/>
            <w:shd w:fill="FFFF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40</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10" w:type="dxa"/>
            <w:tcBorders/>
            <w:shd w:fill="FFFFFF" w:val="clear"/>
            <w:tcMar>
              <w:top w:w="0" w:type="dxa"/>
            </w:tcMar>
            <w:vAlign w:val="center"/>
          </w:tcPr>
          <w:p>
            <w:pPr>
              <w:pStyle w:val="TableContents"/>
              <w:bidi w:val="0"/>
              <w:spacing w:before="0" w:after="283"/>
              <w:jc w:val="left"/>
              <w:rPr/>
            </w:pPr>
            <w:r>
              <w:rPr/>
              <w:t> </w:t>
            </w:r>
          </w:p>
        </w:tc>
        <w:tc>
          <w:tcPr>
            <w:tcW w:w="740" w:type="dxa"/>
            <w:tcBorders/>
            <w:shd w:fill="FFFF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27,718</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10" w:type="dxa"/>
            <w:tcBorders/>
            <w:shd w:fill="FFFFFF" w:val="clear"/>
            <w:tcMar>
              <w:top w:w="0" w:type="dxa"/>
            </w:tcMar>
            <w:vAlign w:val="center"/>
          </w:tcPr>
          <w:p>
            <w:pPr>
              <w:pStyle w:val="TableContents"/>
              <w:bidi w:val="0"/>
              <w:spacing w:before="0" w:after="283"/>
              <w:jc w:val="left"/>
              <w:rPr/>
            </w:pPr>
            <w:r>
              <w:rPr/>
              <w:t> </w:t>
            </w:r>
          </w:p>
        </w:tc>
        <w:tc>
          <w:tcPr>
            <w:tcW w:w="665" w:type="dxa"/>
            <w:tcBorders/>
            <w:shd w:fill="FFFF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258" w:type="dxa"/>
            <w:tcBorders/>
            <w:shd w:fill="FFFFFF" w:val="clear"/>
            <w:tcMar>
              <w:top w:w="0" w:type="dxa"/>
            </w:tcMar>
            <w:vAlign w:val="center"/>
          </w:tcPr>
          <w:p>
            <w:pPr>
              <w:pStyle w:val="TableContents"/>
              <w:bidi w:val="0"/>
              <w:spacing w:before="0" w:after="283"/>
              <w:jc w:val="left"/>
              <w:rPr/>
            </w:pPr>
            <w:r>
              <w:rPr/>
              <w:t> </w:t>
            </w:r>
          </w:p>
        </w:tc>
        <w:tc>
          <w:tcPr>
            <w:tcW w:w="827" w:type="dxa"/>
            <w:tcBorders/>
            <w:shd w:fill="FFFF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10" w:type="dxa"/>
            <w:tcBorders/>
            <w:shd w:fill="FFFFFF" w:val="clear"/>
            <w:tcMar>
              <w:top w:w="0" w:type="dxa"/>
            </w:tcMar>
            <w:vAlign w:val="center"/>
          </w:tcPr>
          <w:p>
            <w:pPr>
              <w:pStyle w:val="TableContents"/>
              <w:bidi w:val="0"/>
              <w:spacing w:before="0" w:after="283"/>
              <w:jc w:val="left"/>
              <w:rPr/>
            </w:pPr>
            <w:r>
              <w:rPr/>
              <w:t> </w:t>
            </w:r>
          </w:p>
        </w:tc>
        <w:tc>
          <w:tcPr>
            <w:tcW w:w="740" w:type="dxa"/>
            <w:tcBorders/>
            <w:shd w:fill="FFFF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27,758</w:t>
            </w:r>
          </w:p>
        </w:tc>
        <w:tc>
          <w:tcPr>
            <w:tcW w:w="80" w:type="dxa"/>
            <w:tcBorders/>
            <w:shd w:fill="FFFFFF" w:val="clear"/>
            <w:tcMar>
              <w:top w:w="0" w:type="dxa"/>
            </w:tcMar>
            <w:vAlign w:val="center"/>
          </w:tcPr>
          <w:p>
            <w:pPr>
              <w:pStyle w:val="TableContents"/>
              <w:bidi w:val="0"/>
              <w:spacing w:before="0" w:after="283"/>
              <w:ind w:left="0" w:right="0" w:hanging="0"/>
              <w:jc w:val="left"/>
              <w:rPr/>
            </w:pPr>
            <w:r>
              <w:rPr/>
              <w:t> </w:t>
            </w:r>
          </w:p>
        </w:tc>
      </w:tr>
      <w:tr>
        <w:trPr/>
        <w:tc>
          <w:tcPr>
            <w:tcW w:w="4145"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Shares repurchased and retired</w:t>
            </w:r>
          </w:p>
        </w:tc>
        <w:tc>
          <w:tcPr>
            <w:tcW w:w="6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(1,107</w:t>
            </w:r>
          </w:p>
        </w:tc>
        <w:tc>
          <w:tcPr>
            <w:tcW w:w="8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149"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575"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w:t>
            </w:r>
          </w:p>
        </w:tc>
        <w:tc>
          <w:tcPr>
            <w:tcW w:w="8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74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(7,333</w:t>
            </w:r>
          </w:p>
        </w:tc>
        <w:tc>
          <w:tcPr>
            <w:tcW w:w="8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258"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827"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74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(7,344</w:t>
            </w:r>
          </w:p>
        </w:tc>
        <w:tc>
          <w:tcPr>
            <w:tcW w:w="8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4145" w:type="dxa"/>
            <w:tcBorders>
              <w:bottom w:val="double" w:sz="6" w:space="0" w:color="000000"/>
            </w:tcBorders>
            <w:shd w:fill="FFFFFF" w:val="clear"/>
            <w:tcMar>
              <w:top w:w="0" w:type="dxa"/>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Balances, June 30, 2026</w:t>
            </w:r>
          </w:p>
        </w:tc>
        <w:tc>
          <w:tcPr>
            <w:tcW w:w="60" w:type="dxa"/>
            <w:tcBorders>
              <w:bottom w:val="double" w:sz="6" w:space="0" w:color="000000"/>
            </w:tcBorders>
            <w:shd w:fill="FFFFFF" w:val="clear"/>
            <w:tcMar>
              <w:top w:w="0" w:type="dxa"/>
              <w:bottom w:w="28" w:type="dxa"/>
            </w:tcM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tcMar>
              <w:top w:w="0" w:type="dxa"/>
              <w:bottom w:w="28" w:type="dxa"/>
            </w:tcMar>
            <w:vAlign w:val="center"/>
          </w:tcPr>
          <w:p>
            <w:pPr>
              <w:pStyle w:val="TableContents"/>
              <w:bidi w:val="0"/>
              <w:spacing w:before="0" w:after="0"/>
              <w:ind w:left="0" w:right="0" w:hanging="0"/>
              <w:jc w:val="left"/>
              <w:rPr/>
            </w:pPr>
            <w:r>
              <w:rPr/>
              <w:t> </w:t>
            </w:r>
          </w:p>
        </w:tc>
        <w:tc>
          <w:tcPr>
            <w:tcW w:w="605" w:type="dxa"/>
            <w:tcBorders>
              <w:bottom w:val="double" w:sz="6" w:space="0" w:color="000000"/>
            </w:tcBorders>
            <w:shd w:fill="FFFFFF" w:val="clear"/>
            <w:tcMar>
              <w:top w:w="0" w:type="dxa"/>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199,603</w:t>
            </w:r>
          </w:p>
        </w:tc>
        <w:tc>
          <w:tcPr>
            <w:tcW w:w="80" w:type="dxa"/>
            <w:tcBorders>
              <w:bottom w:val="double" w:sz="6" w:space="0" w:color="000000"/>
            </w:tcBorders>
            <w:shd w:fill="FFFFFF" w:val="clear"/>
            <w:tcMar>
              <w:top w:w="0" w:type="dxa"/>
              <w:bottom w:w="28" w:type="dxa"/>
            </w:tcM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tcMar>
              <w:top w:w="0" w:type="dxa"/>
              <w:bottom w:w="28" w:type="dxa"/>
            </w:tcMar>
            <w:vAlign w:val="center"/>
          </w:tcPr>
          <w:p>
            <w:pPr>
              <w:pStyle w:val="TableContents"/>
              <w:bidi w:val="0"/>
              <w:spacing w:before="0" w:after="0"/>
              <w:ind w:left="0" w:right="0" w:hanging="0"/>
              <w:jc w:val="left"/>
              <w:rPr/>
            </w:pPr>
            <w:r>
              <w:rPr/>
              <w:t> </w:t>
            </w:r>
          </w:p>
        </w:tc>
        <w:tc>
          <w:tcPr>
            <w:tcW w:w="149" w:type="dxa"/>
            <w:tcBorders>
              <w:bottom w:val="double" w:sz="6" w:space="0" w:color="000000"/>
            </w:tcBorders>
            <w:shd w:fill="FFFFFF" w:val="clear"/>
            <w:tcMar>
              <w:top w:w="0" w:type="dxa"/>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75" w:type="dxa"/>
            <w:tcBorders>
              <w:bottom w:val="double" w:sz="6" w:space="0" w:color="000000"/>
            </w:tcBorders>
            <w:shd w:fill="FFFFFF" w:val="clear"/>
            <w:tcMar>
              <w:top w:w="0" w:type="dxa"/>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1,996</w:t>
            </w:r>
          </w:p>
        </w:tc>
        <w:tc>
          <w:tcPr>
            <w:tcW w:w="80" w:type="dxa"/>
            <w:tcBorders>
              <w:bottom w:val="double" w:sz="6" w:space="0" w:color="000000"/>
            </w:tcBorders>
            <w:shd w:fill="FFFFFF" w:val="clear"/>
            <w:tcMar>
              <w:top w:w="0" w:type="dxa"/>
              <w:bottom w:w="28" w:type="dxa"/>
            </w:tcM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tcMar>
              <w:top w:w="0" w:type="dxa"/>
              <w:bottom w:w="28" w:type="dxa"/>
            </w:tcM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FFFFFF" w:val="clear"/>
            <w:tcMar>
              <w:top w:w="0" w:type="dxa"/>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FFFFFF" w:val="clear"/>
            <w:tcMar>
              <w:top w:w="0" w:type="dxa"/>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1,553,904</w:t>
            </w:r>
          </w:p>
        </w:tc>
        <w:tc>
          <w:tcPr>
            <w:tcW w:w="80" w:type="dxa"/>
            <w:tcBorders>
              <w:bottom w:val="double" w:sz="6" w:space="0" w:color="000000"/>
            </w:tcBorders>
            <w:shd w:fill="FFFFFF" w:val="clear"/>
            <w:tcMar>
              <w:top w:w="0" w:type="dxa"/>
              <w:bottom w:w="28" w:type="dxa"/>
            </w:tcM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tcMar>
              <w:top w:w="0" w:type="dxa"/>
              <w:bottom w:w="28" w:type="dxa"/>
            </w:tcM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FFFFFF" w:val="clear"/>
            <w:tcMar>
              <w:top w:w="0" w:type="dxa"/>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bottom w:val="double" w:sz="6" w:space="0" w:color="000000"/>
            </w:tcBorders>
            <w:shd w:fill="FFFFFF" w:val="clear"/>
            <w:tcMar>
              <w:top w:w="0" w:type="dxa"/>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(114,504</w:t>
            </w:r>
          </w:p>
        </w:tc>
        <w:tc>
          <w:tcPr>
            <w:tcW w:w="80" w:type="dxa"/>
            <w:tcBorders>
              <w:bottom w:val="double" w:sz="6" w:space="0" w:color="000000"/>
            </w:tcBorders>
            <w:shd w:fill="FFFFFF" w:val="clear"/>
            <w:tcMar>
              <w:top w:w="0" w:type="dxa"/>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bottom w:val="double" w:sz="6" w:space="0" w:color="000000"/>
            </w:tcBorders>
            <w:shd w:fill="FFFFFF" w:val="clear"/>
            <w:tcMar>
              <w:top w:w="0" w:type="dxa"/>
              <w:bottom w:w="28" w:type="dxa"/>
            </w:tcMar>
            <w:vAlign w:val="center"/>
          </w:tcPr>
          <w:p>
            <w:pPr>
              <w:pStyle w:val="TableContents"/>
              <w:bidi w:val="0"/>
              <w:spacing w:before="0" w:after="0"/>
              <w:ind w:left="0" w:right="0" w:hanging="0"/>
              <w:jc w:val="left"/>
              <w:rPr/>
            </w:pPr>
            <w:r>
              <w:rPr/>
              <w:t> </w:t>
            </w:r>
          </w:p>
        </w:tc>
        <w:tc>
          <w:tcPr>
            <w:tcW w:w="258" w:type="dxa"/>
            <w:tcBorders>
              <w:bottom w:val="double" w:sz="6" w:space="0" w:color="000000"/>
            </w:tcBorders>
            <w:shd w:fill="FFFFFF" w:val="clear"/>
            <w:tcMar>
              <w:top w:w="0" w:type="dxa"/>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7" w:type="dxa"/>
            <w:tcBorders>
              <w:bottom w:val="double" w:sz="6" w:space="0" w:color="000000"/>
            </w:tcBorders>
            <w:shd w:fill="FFFFFF" w:val="clear"/>
            <w:tcMar>
              <w:top w:w="0" w:type="dxa"/>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w:t>
            </w:r>
          </w:p>
        </w:tc>
        <w:tc>
          <w:tcPr>
            <w:tcW w:w="80" w:type="dxa"/>
            <w:tcBorders>
              <w:bottom w:val="double" w:sz="6" w:space="0" w:color="000000"/>
            </w:tcBorders>
            <w:shd w:fill="FFFFFF" w:val="clear"/>
            <w:tcMar>
              <w:top w:w="0" w:type="dxa"/>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bottom w:val="double" w:sz="6" w:space="0" w:color="000000"/>
            </w:tcBorders>
            <w:shd w:fill="FFFFFF" w:val="clear"/>
            <w:tcMar>
              <w:top w:w="0" w:type="dxa"/>
              <w:bottom w:w="28" w:type="dxa"/>
            </w:tcM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FFFFFF" w:val="clear"/>
            <w:tcMar>
              <w:top w:w="0" w:type="dxa"/>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FFFFFF" w:val="clear"/>
            <w:tcMar>
              <w:top w:w="0" w:type="dxa"/>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1,441,258</w:t>
            </w:r>
          </w:p>
        </w:tc>
        <w:tc>
          <w:tcPr>
            <w:tcW w:w="80" w:type="dxa"/>
            <w:tcBorders>
              <w:bottom w:val="double" w:sz="6" w:space="0" w:color="000000"/>
            </w:tcBorders>
            <w:shd w:fill="FFFFFF" w:val="clear"/>
            <w:tcMar>
              <w:top w:w="0" w:type="dxa"/>
              <w:bottom w:w="28" w:type="dxa"/>
            </w:tcMar>
            <w:vAlign w:val="center"/>
          </w:tcPr>
          <w:p>
            <w:pPr>
              <w:pStyle w:val="TableContents"/>
              <w:bidi w:val="0"/>
              <w:spacing w:before="0" w:after="0"/>
              <w:jc w:val="left"/>
              <w:rPr/>
            </w:pPr>
            <w:r>
              <w:rPr/>
              <w:t> </w:t>
            </w:r>
          </w:p>
        </w:tc>
      </w:tr>
    </w:tbl>
    <w:p>
      <w:pPr>
        <w:pStyle w:val="TextBody"/>
        <w:bidi w:val="0"/>
        <w:spacing w:before="0" w:after="0"/>
        <w:ind w:left="0" w:right="0" w:hanging="0"/>
        <w:jc w:val="left"/>
        <w:rPr/>
      </w:pPr>
      <w:r>
        <w:rPr/>
        <w:t> </w:t>
      </w:r>
    </w:p>
    <w:tbl>
      <w:tblPr>
        <w:tblW w:w="9799" w:type="dxa"/>
        <w:jc w:val="left"/>
        <w:tblInd w:w="0" w:type="dxa"/>
        <w:tblLayout w:type="fixed"/>
        <w:tblCellMar>
          <w:top w:w="0" w:type="dxa"/>
          <w:left w:w="0" w:type="dxa"/>
          <w:bottom w:w="0" w:type="dxa"/>
          <w:right w:w="0" w:type="dxa"/>
        </w:tblCellMar>
      </w:tblPr>
      <w:tblGrid>
        <w:gridCol w:w="4145"/>
        <w:gridCol w:w="60"/>
        <w:gridCol w:w="60"/>
        <w:gridCol w:w="605"/>
        <w:gridCol w:w="80"/>
        <w:gridCol w:w="60"/>
        <w:gridCol w:w="149"/>
        <w:gridCol w:w="575"/>
        <w:gridCol w:w="80"/>
        <w:gridCol w:w="60"/>
        <w:gridCol w:w="110"/>
        <w:gridCol w:w="740"/>
        <w:gridCol w:w="80"/>
        <w:gridCol w:w="60"/>
        <w:gridCol w:w="110"/>
        <w:gridCol w:w="665"/>
        <w:gridCol w:w="80"/>
        <w:gridCol w:w="60"/>
        <w:gridCol w:w="298"/>
        <w:gridCol w:w="787"/>
        <w:gridCol w:w="80"/>
        <w:gridCol w:w="60"/>
        <w:gridCol w:w="110"/>
        <w:gridCol w:w="605"/>
        <w:gridCol w:w="80"/>
      </w:tblGrid>
      <w:tr>
        <w:trPr/>
        <w:tc>
          <w:tcPr>
            <w:tcW w:w="4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Retained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Common Stock</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Paid-in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Earnings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Income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41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Shares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Par Value</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Capital</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(Deficit)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(Loss)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Total</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Balances,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82,622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1,010,306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(342,771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98"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8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668,500</w:t>
            </w:r>
          </w:p>
        </w:tc>
        <w:tc>
          <w:tcPr>
            <w:tcW w:w="80"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17,122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ind w:left="0" w:right="0" w:hanging="0"/>
              <w:jc w:val="left"/>
              <w:rPr/>
            </w:pPr>
            <w:r>
              <w:rPr/>
              <w:t> </w:t>
            </w:r>
          </w:p>
        </w:tc>
        <w:tc>
          <w:tcPr>
            <w:tcW w:w="78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17,122</w:t>
            </w:r>
          </w:p>
        </w:tc>
        <w:tc>
          <w:tcPr>
            <w:tcW w:w="80" w:type="dxa"/>
            <w:tcBorders/>
            <w:shd w:fill="FFFFFF" w:val="cle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Unrealized gain on available-for-sale securities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250</w:t>
            </w:r>
          </w:p>
        </w:tc>
        <w:tc>
          <w:tcPr>
            <w:tcW w:w="80"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dividends declared ($0.36 per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(35,729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ind w:left="0" w:right="0" w:hanging="0"/>
              <w:jc w:val="left"/>
              <w:rPr/>
            </w:pPr>
            <w:r>
              <w:rPr/>
              <w:t> </w:t>
            </w:r>
          </w:p>
        </w:tc>
        <w:tc>
          <w:tcPr>
            <w:tcW w:w="78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(35,729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4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 based awards and amortization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313</w:t>
            </w:r>
          </w:p>
        </w:tc>
        <w:tc>
          <w:tcPr>
            <w:tcW w:w="80" w:type="dxa"/>
            <w:tcBorders/>
            <w:shd w:fill="CCEEFF" w:val="clear"/>
            <w:vAlign w:val="center"/>
          </w:tcPr>
          <w:p>
            <w:pPr>
              <w:pStyle w:val="TableContents"/>
              <w:bidi w:val="0"/>
              <w:spacing w:before="0" w:after="283"/>
              <w:jc w:val="left"/>
              <w:rPr/>
            </w:pPr>
            <w:r>
              <w:rPr/>
              <w:t> </w:t>
            </w:r>
          </w:p>
        </w:tc>
      </w:tr>
      <w:tr>
        <w:trPr/>
        <w:tc>
          <w:tcPr>
            <w:tcW w:w="4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Issuance of common stock pursuant to public offerings, net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25,142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205,172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205,424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1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Balances, March 31, 2025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107,787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1,078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1,180,062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(325,649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9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855,880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(33,578</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(33,578</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414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Unrealized loss on available-for-sale securities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(64</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(64</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4145"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dividends declared ($0.36 per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(42,635</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(42,635</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414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based awards and amortization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201</w:t>
            </w:r>
          </w:p>
        </w:tc>
        <w:tc>
          <w:tcPr>
            <w:tcW w:w="80"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 pursuant to public offerings,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19,884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139,217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139,416</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1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Shares repurchased and retired</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(1,113</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(7,249</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2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(7,260</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414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Balances, June 30, 2025</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126,567</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7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1,266</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1,269,596</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(359,227</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29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325</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911,960</w:t>
            </w:r>
          </w:p>
        </w:tc>
        <w:tc>
          <w:tcPr>
            <w:tcW w:w="80" w:type="dxa"/>
            <w:tcBorders>
              <w:bottom w:val="double" w:sz="6" w:space="0" w:color="000000"/>
            </w:tcBorders>
            <w:shd w:fill="FFFFFF" w:val="clear"/>
            <w:tcMar>
              <w:bottom w:w="28" w:type="dxa"/>
            </w:tcMar>
            <w:vAlign w:val="center"/>
          </w:tcPr>
          <w:p>
            <w:pPr>
              <w:pStyle w:val="TableContents"/>
              <w:bidi w:val="0"/>
              <w:spacing w:before="0" w:after="0"/>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i/>
          <w:sz w:val="20"/>
        </w:rPr>
      </w:pPr>
      <w:r>
        <w:rPr>
          <w:rFonts w:ascii="Times New Roman" w:hAnsi="Times New Roman"/>
          <w:i/>
          <w:sz w:val="20"/>
        </w:rPr>
        <w:t>See Notes to Financial Statements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lineRule="auto" w:line="300" w:before="0" w:after="0"/>
        <w:ind w:left="0" w:right="0" w:hanging="0"/>
        <w:jc w:val="center"/>
        <w:rPr>
          <w:rFonts w:ascii="Times New Roman" w:hAnsi="Times New Roman"/>
          <w:b/>
          <w:sz w:val="20"/>
        </w:rPr>
      </w:pPr>
      <w:bookmarkStart w:id="6" w:name="cfs"/>
      <w:bookmarkEnd w:id="6"/>
      <w:r>
        <w:rPr>
          <w:rFonts w:ascii="Times New Roman" w:hAnsi="Times New Roman"/>
          <w:b/>
          <w:sz w:val="20"/>
        </w:rPr>
        <w:t>ORCHID ISLAND CAPITAL, INC.</w:t>
      </w:r>
    </w:p>
    <w:p>
      <w:pPr>
        <w:pStyle w:val="TextBody"/>
        <w:bidi w:val="0"/>
        <w:spacing w:lineRule="auto" w:line="300" w:before="0" w:after="0"/>
        <w:ind w:left="0" w:right="0" w:hanging="0"/>
        <w:jc w:val="center"/>
        <w:rPr>
          <w:rFonts w:ascii="Times New Roman" w:hAnsi="Times New Roman"/>
          <w:b/>
          <w:sz w:val="20"/>
        </w:rPr>
      </w:pPr>
      <w:r>
        <w:rPr>
          <w:rFonts w:ascii="Times New Roman" w:hAnsi="Times New Roman"/>
          <w:b/>
          <w:sz w:val="20"/>
        </w:rPr>
        <w:t>CONDENSED STATEMENTS OF CASH FLOWS</w:t>
      </w:r>
    </w:p>
    <w:p>
      <w:pPr>
        <w:pStyle w:val="TextBody"/>
        <w:bidi w:val="0"/>
        <w:spacing w:lineRule="auto" w:line="300" w:before="0" w:after="0"/>
        <w:ind w:left="0" w:right="0" w:hanging="0"/>
        <w:jc w:val="center"/>
        <w:rPr>
          <w:rFonts w:ascii="Times New Roman" w:hAnsi="Times New Roman"/>
          <w:b/>
          <w:sz w:val="20"/>
        </w:rPr>
      </w:pPr>
      <w:r>
        <w:rPr>
          <w:rFonts w:ascii="Times New Roman" w:hAnsi="Times New Roman"/>
          <w:b/>
          <w:sz w:val="20"/>
        </w:rPr>
        <w:t>(Unaudited)</w:t>
      </w:r>
    </w:p>
    <w:p>
      <w:pPr>
        <w:pStyle w:val="TextBody"/>
        <w:bidi w:val="0"/>
        <w:spacing w:lineRule="auto" w:line="300" w:before="0" w:after="0"/>
        <w:ind w:left="0" w:right="0" w:hanging="0"/>
        <w:jc w:val="center"/>
        <w:rPr>
          <w:rFonts w:ascii="Times New Roman" w:hAnsi="Times New Roman"/>
          <w:b/>
          <w:sz w:val="20"/>
        </w:rPr>
      </w:pPr>
      <w:r>
        <w:rPr>
          <w:rFonts w:ascii="Times New Roman" w:hAnsi="Times New Roman"/>
          <w:b/>
          <w:sz w:val="20"/>
        </w:rPr>
        <w:t>For the Six Months Ended June 30, 2026 and 2025</w:t>
      </w:r>
    </w:p>
    <w:p>
      <w:pPr>
        <w:pStyle w:val="TextBody"/>
        <w:bidi w:val="0"/>
        <w:spacing w:lineRule="auto" w:line="300" w:before="0" w:after="0"/>
        <w:ind w:left="0" w:right="0" w:hanging="0"/>
        <w:jc w:val="center"/>
        <w:rPr>
          <w:rFonts w:ascii="Times New Roman" w:hAnsi="Times New Roman"/>
          <w:b/>
          <w:sz w:val="20"/>
        </w:rPr>
      </w:pPr>
      <w:r>
        <w:rPr>
          <w:rFonts w:ascii="Times New Roman" w:hAnsi="Times New Roman"/>
          <w:b/>
          <w:sz w:val="20"/>
        </w:rPr>
        <w:t>($ in thousands)</w:t>
      </w:r>
    </w:p>
    <w:p>
      <w:pPr>
        <w:pStyle w:val="TextBody"/>
        <w:bidi w:val="0"/>
        <w:spacing w:before="0" w:after="0"/>
        <w:ind w:left="0" w:right="0" w:hanging="0"/>
        <w:jc w:val="left"/>
        <w:rPr/>
      </w:pPr>
      <w:r>
        <w:rPr/>
        <w:t> </w:t>
      </w:r>
    </w:p>
    <w:tbl>
      <w:tblPr>
        <w:tblW w:w="9755" w:type="dxa"/>
        <w:jc w:val="left"/>
        <w:tblInd w:w="0" w:type="dxa"/>
        <w:tblLayout w:type="fixed"/>
        <w:tblCellMar>
          <w:top w:w="28" w:type="dxa"/>
          <w:left w:w="0" w:type="dxa"/>
          <w:bottom w:w="28" w:type="dxa"/>
          <w:right w:w="0" w:type="dxa"/>
        </w:tblCellMar>
      </w:tblPr>
      <w:tblGrid>
        <w:gridCol w:w="7475"/>
        <w:gridCol w:w="60"/>
        <w:gridCol w:w="110"/>
        <w:gridCol w:w="890"/>
        <w:gridCol w:w="80"/>
        <w:gridCol w:w="60"/>
        <w:gridCol w:w="110"/>
        <w:gridCol w:w="890"/>
        <w:gridCol w:w="80"/>
      </w:tblGrid>
      <w:tr>
        <w:trPr/>
        <w:tc>
          <w:tcPr>
            <w:tcW w:w="7475" w:type="dxa"/>
            <w:tcBorders>
              <w:top w:val="single" w:sz="2" w:space="0" w:color="000000"/>
              <w:bottom w:val="single" w:sz="2" w:space="0" w:color="000000"/>
            </w:tcBorders>
            <w:shd w:fill="FFFFFF" w:val="cle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shd w:fill="FFFFFF" w:val="clear"/>
            <w:vAlign w:val="center"/>
          </w:tcPr>
          <w:p>
            <w:pPr>
              <w:pStyle w:val="TableContents"/>
              <w:bidi w:val="0"/>
              <w:spacing w:before="0" w:after="283"/>
              <w:ind w:left="0" w:right="0" w:hanging="0"/>
              <w:jc w:val="left"/>
              <w:rPr/>
            </w:pPr>
            <w:r>
              <w:rPr/>
              <w:t> </w:t>
            </w:r>
          </w:p>
        </w:tc>
        <w:tc>
          <w:tcPr>
            <w:tcW w:w="1000" w:type="dxa"/>
            <w:gridSpan w:val="2"/>
            <w:tcBorders>
              <w:top w:val="single" w:sz="2" w:space="0" w:color="000000"/>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2026</w:t>
            </w:r>
          </w:p>
        </w:tc>
        <w:tc>
          <w:tcPr>
            <w:tcW w:w="80" w:type="dxa"/>
            <w:tcBorders>
              <w:top w:val="single" w:sz="2" w:space="0" w:color="000000"/>
              <w:bottom w:val="single" w:sz="2" w:space="0" w:color="000000"/>
            </w:tcBorders>
            <w:shd w:fill="FFFFFF" w:val="cle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shd w:fill="FFFFFF" w:val="clear"/>
            <w:vAlign w:val="center"/>
          </w:tcPr>
          <w:p>
            <w:pPr>
              <w:pStyle w:val="TableContents"/>
              <w:bidi w:val="0"/>
              <w:spacing w:before="0" w:after="283"/>
              <w:ind w:left="0" w:right="0" w:hanging="0"/>
              <w:jc w:val="left"/>
              <w:rPr/>
            </w:pPr>
            <w:r>
              <w:rPr/>
              <w:t> </w:t>
            </w:r>
          </w:p>
        </w:tc>
        <w:tc>
          <w:tcPr>
            <w:tcW w:w="1000" w:type="dxa"/>
            <w:gridSpan w:val="2"/>
            <w:tcBorders>
              <w:top w:val="single" w:sz="2" w:space="0" w:color="000000"/>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2025</w:t>
            </w:r>
          </w:p>
        </w:tc>
        <w:tc>
          <w:tcPr>
            <w:tcW w:w="80" w:type="dxa"/>
            <w:tcBorders>
              <w:top w:val="single" w:sz="2" w:space="0" w:color="000000"/>
              <w:bottom w:val="single" w:sz="2" w:space="0" w:color="000000"/>
            </w:tcBorders>
            <w:shd w:fill="FFFFFF" w:val="clear"/>
            <w:vAlign w:val="center"/>
          </w:tcPr>
          <w:p>
            <w:pPr>
              <w:pStyle w:val="TableContents"/>
              <w:bidi w:val="0"/>
              <w:spacing w:before="0" w:after="283"/>
              <w:jc w:val="left"/>
              <w:rPr/>
            </w:pPr>
            <w:r>
              <w:rPr/>
              <w:t> </w:t>
            </w:r>
          </w:p>
        </w:tc>
      </w:tr>
      <w:tr>
        <w:trPr/>
        <w:tc>
          <w:tcPr>
            <w:tcW w:w="7475"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CASH FLOWS FROM OPERATING ACTIVITIES:</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jc w:val="left"/>
              <w:rPr/>
            </w:pPr>
            <w:r>
              <w:rPr/>
              <w:t> </w:t>
            </w:r>
          </w:p>
        </w:tc>
        <w:tc>
          <w:tcPr>
            <w:tcW w:w="890" w:type="dxa"/>
            <w:tcBorders/>
            <w:shd w:fill="CCEEFF" w:val="clear"/>
            <w:tcMar>
              <w:top w:w="0" w:type="dxa"/>
              <w:bottom w:w="0" w:type="dxa"/>
            </w:tcMar>
            <w:vAlign w:val="center"/>
          </w:tcPr>
          <w:p>
            <w:pPr>
              <w:pStyle w:val="TableContents"/>
              <w:bidi w:val="0"/>
              <w:spacing w:before="0" w:after="283"/>
              <w:jc w:val="left"/>
              <w:rPr/>
            </w:pPr>
            <w:r>
              <w:rPr/>
              <w:t> </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jc w:val="left"/>
              <w:rPr/>
            </w:pPr>
            <w:r>
              <w:rPr/>
              <w:t> </w:t>
            </w:r>
          </w:p>
        </w:tc>
        <w:tc>
          <w:tcPr>
            <w:tcW w:w="890" w:type="dxa"/>
            <w:tcBorders/>
            <w:shd w:fill="CCEEFF" w:val="clear"/>
            <w:tcMar>
              <w:top w:w="0" w:type="dxa"/>
              <w:bottom w:w="0" w:type="dxa"/>
            </w:tcMar>
            <w:vAlign w:val="center"/>
          </w:tcPr>
          <w:p>
            <w:pPr>
              <w:pStyle w:val="TableContents"/>
              <w:bidi w:val="0"/>
              <w:spacing w:before="0" w:after="283"/>
              <w:jc w:val="left"/>
              <w:rPr/>
            </w:pPr>
            <w:r>
              <w:rPr/>
              <w:t> </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r>
      <w:tr>
        <w:trPr/>
        <w:tc>
          <w:tcPr>
            <w:tcW w:w="7475"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Net income (loss)</w:t>
            </w:r>
          </w:p>
        </w:tc>
        <w:tc>
          <w:tcPr>
            <w:tcW w:w="60"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top w:w="0" w:type="dxa"/>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90"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69,237</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top w:w="0" w:type="dxa"/>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90"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(16,456</w:t>
            </w:r>
          </w:p>
        </w:tc>
        <w:tc>
          <w:tcPr>
            <w:tcW w:w="80" w:type="dxa"/>
            <w:tcBorders/>
            <w:shd w:fill="FFFFFF" w:val="clear"/>
            <w:tcMar>
              <w:top w:w="0" w:type="dxa"/>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7475"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Adjustments to reconcile net income (loss) to net cash provided by operating activities:</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jc w:val="left"/>
              <w:rPr/>
            </w:pPr>
            <w:r>
              <w:rPr/>
              <w:t> </w:t>
            </w:r>
          </w:p>
        </w:tc>
        <w:tc>
          <w:tcPr>
            <w:tcW w:w="890" w:type="dxa"/>
            <w:tcBorders/>
            <w:shd w:fill="CCEEFF" w:val="clear"/>
            <w:tcMar>
              <w:top w:w="0" w:type="dxa"/>
              <w:bottom w:w="0" w:type="dxa"/>
            </w:tcMar>
            <w:vAlign w:val="center"/>
          </w:tcPr>
          <w:p>
            <w:pPr>
              <w:pStyle w:val="TableContents"/>
              <w:bidi w:val="0"/>
              <w:spacing w:before="0" w:after="283"/>
              <w:jc w:val="left"/>
              <w:rPr/>
            </w:pPr>
            <w:r>
              <w:rPr/>
              <w:t> </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jc w:val="left"/>
              <w:rPr/>
            </w:pPr>
            <w:r>
              <w:rPr/>
              <w:t> </w:t>
            </w:r>
          </w:p>
        </w:tc>
        <w:tc>
          <w:tcPr>
            <w:tcW w:w="890" w:type="dxa"/>
            <w:tcBorders/>
            <w:shd w:fill="CCEEFF" w:val="clear"/>
            <w:tcMar>
              <w:top w:w="0" w:type="dxa"/>
              <w:bottom w:w="0" w:type="dxa"/>
            </w:tcMar>
            <w:vAlign w:val="center"/>
          </w:tcPr>
          <w:p>
            <w:pPr>
              <w:pStyle w:val="TableContents"/>
              <w:bidi w:val="0"/>
              <w:spacing w:before="0" w:after="283"/>
              <w:jc w:val="left"/>
              <w:rPr/>
            </w:pPr>
            <w:r>
              <w:rPr/>
              <w:t> </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r>
      <w:tr>
        <w:trPr/>
        <w:tc>
          <w:tcPr>
            <w:tcW w:w="7475"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Stock based compensation</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890"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1,674</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890"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(50</w:t>
            </w:r>
          </w:p>
        </w:tc>
        <w:tc>
          <w:tcPr>
            <w:tcW w:w="80" w:type="dxa"/>
            <w:tcBorders/>
            <w:shd w:fill="FFFFFF" w:val="clear"/>
            <w:tcMar>
              <w:top w:w="0" w:type="dxa"/>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7475"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Net discount accretion on U.S. Treasury securities</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jc w:val="left"/>
              <w:rPr/>
            </w:pPr>
            <w:r>
              <w:rPr/>
              <w:t> </w:t>
            </w:r>
          </w:p>
        </w:tc>
        <w:tc>
          <w:tcPr>
            <w:tcW w:w="890" w:type="dxa"/>
            <w:tcBorders/>
            <w:shd w:fill="CCEEFF" w:val="clear"/>
            <w:tcMar>
              <w:top w:w="0" w:type="dxa"/>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(260</w:t>
            </w:r>
          </w:p>
        </w:tc>
        <w:tc>
          <w:tcPr>
            <w:tcW w:w="80" w:type="dxa"/>
            <w:tcBorders/>
            <w:shd w:fill="CCEEFF" w:val="clear"/>
            <w:tcMar>
              <w:top w:w="0" w:type="dxa"/>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jc w:val="left"/>
              <w:rPr/>
            </w:pPr>
            <w:r>
              <w:rPr/>
              <w:t> </w:t>
            </w:r>
          </w:p>
        </w:tc>
        <w:tc>
          <w:tcPr>
            <w:tcW w:w="890" w:type="dxa"/>
            <w:tcBorders/>
            <w:shd w:fill="CCEEFF" w:val="clear"/>
            <w:tcMar>
              <w:top w:w="0" w:type="dxa"/>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(316</w:t>
            </w:r>
          </w:p>
        </w:tc>
        <w:tc>
          <w:tcPr>
            <w:tcW w:w="80" w:type="dxa"/>
            <w:tcBorders/>
            <w:shd w:fill="CCEEFF" w:val="clear"/>
            <w:tcMar>
              <w:top w:w="0" w:type="dxa"/>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7475"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Realized (gains) losses on mortgage-backed securities</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jc w:val="left"/>
              <w:rPr/>
            </w:pPr>
            <w:r>
              <w:rPr/>
              <w:t> </w:t>
            </w:r>
          </w:p>
        </w:tc>
        <w:tc>
          <w:tcPr>
            <w:tcW w:w="890" w:type="dxa"/>
            <w:tcBorders/>
            <w:shd w:fill="FFFFFF" w:val="clear"/>
            <w:tcMar>
              <w:top w:w="0" w:type="dxa"/>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(924</w:t>
            </w:r>
          </w:p>
        </w:tc>
        <w:tc>
          <w:tcPr>
            <w:tcW w:w="80" w:type="dxa"/>
            <w:tcBorders/>
            <w:shd w:fill="FFFFFF" w:val="clear"/>
            <w:tcMar>
              <w:top w:w="0" w:type="dxa"/>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jc w:val="left"/>
              <w:rPr/>
            </w:pPr>
            <w:r>
              <w:rPr/>
              <w:t> </w:t>
            </w:r>
          </w:p>
        </w:tc>
        <w:tc>
          <w:tcPr>
            <w:tcW w:w="890" w:type="dxa"/>
            <w:tcBorders/>
            <w:shd w:fill="FFFFFF" w:val="clear"/>
            <w:tcMar>
              <w:top w:w="0" w:type="dxa"/>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9,288</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r>
      <w:tr>
        <w:trPr/>
        <w:tc>
          <w:tcPr>
            <w:tcW w:w="7475"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Unrealized losses (gains) on mortgage-backed securities</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890"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143,270</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890"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(87,132</w:t>
            </w:r>
          </w:p>
        </w:tc>
        <w:tc>
          <w:tcPr>
            <w:tcW w:w="80" w:type="dxa"/>
            <w:tcBorders/>
            <w:shd w:fill="CCEEFF" w:val="clear"/>
            <w:tcMar>
              <w:top w:w="0" w:type="dxa"/>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7475"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Realized and unrealized (gains) losses on derivative instruments</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890"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(96,192</w:t>
            </w:r>
          </w:p>
        </w:tc>
        <w:tc>
          <w:tcPr>
            <w:tcW w:w="80" w:type="dxa"/>
            <w:tcBorders/>
            <w:shd w:fill="FFFFFF" w:val="clear"/>
            <w:tcMar>
              <w:top w:w="0" w:type="dxa"/>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890"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144,349</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r>
      <w:tr>
        <w:trPr/>
        <w:tc>
          <w:tcPr>
            <w:tcW w:w="7475"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Changes in operating assets and liabilities:</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jc w:val="left"/>
              <w:rPr/>
            </w:pPr>
            <w:r>
              <w:rPr/>
              <w:t> </w:t>
            </w:r>
          </w:p>
        </w:tc>
        <w:tc>
          <w:tcPr>
            <w:tcW w:w="890" w:type="dxa"/>
            <w:tcBorders/>
            <w:shd w:fill="CCEEFF" w:val="clear"/>
            <w:tcMar>
              <w:top w:w="0" w:type="dxa"/>
              <w:bottom w:w="0" w:type="dxa"/>
            </w:tcMar>
            <w:vAlign w:val="center"/>
          </w:tcPr>
          <w:p>
            <w:pPr>
              <w:pStyle w:val="TableContents"/>
              <w:bidi w:val="0"/>
              <w:spacing w:before="0" w:after="283"/>
              <w:jc w:val="left"/>
              <w:rPr/>
            </w:pPr>
            <w:r>
              <w:rPr/>
              <w:t> </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jc w:val="left"/>
              <w:rPr/>
            </w:pPr>
            <w:r>
              <w:rPr/>
              <w:t> </w:t>
            </w:r>
          </w:p>
        </w:tc>
        <w:tc>
          <w:tcPr>
            <w:tcW w:w="890" w:type="dxa"/>
            <w:tcBorders/>
            <w:shd w:fill="CCEEFF" w:val="clear"/>
            <w:tcMar>
              <w:top w:w="0" w:type="dxa"/>
              <w:bottom w:w="0" w:type="dxa"/>
            </w:tcMar>
            <w:vAlign w:val="center"/>
          </w:tcPr>
          <w:p>
            <w:pPr>
              <w:pStyle w:val="TableContents"/>
              <w:bidi w:val="0"/>
              <w:spacing w:before="0" w:after="283"/>
              <w:jc w:val="left"/>
              <w:rPr/>
            </w:pPr>
            <w:r>
              <w:rPr/>
              <w:t> </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r>
      <w:tr>
        <w:trPr/>
        <w:tc>
          <w:tcPr>
            <w:tcW w:w="7475" w:type="dxa"/>
            <w:tcBorders/>
            <w:shd w:fill="FFFFFF" w:val="clear"/>
            <w:tcMar>
              <w:top w:w="0" w:type="dxa"/>
              <w:bottom w:w="0" w:type="dxa"/>
            </w:tcMar>
            <w:vAlign w:val="center"/>
          </w:tcPr>
          <w:p>
            <w:pPr>
              <w:pStyle w:val="TableContents"/>
              <w:bidi w:val="0"/>
              <w:spacing w:before="0" w:after="0"/>
              <w:ind w:left="360" w:right="0" w:hanging="0"/>
              <w:jc w:val="left"/>
              <w:rPr>
                <w:rFonts w:ascii="Times New Roman" w:hAnsi="Times New Roman"/>
                <w:caps w:val="false"/>
                <w:smallCaps w:val="false"/>
                <w:sz w:val="18"/>
              </w:rPr>
            </w:pPr>
            <w:r>
              <w:rPr>
                <w:rFonts w:ascii="Times New Roman" w:hAnsi="Times New Roman"/>
                <w:caps w:val="false"/>
                <w:smallCaps w:val="false"/>
                <w:sz w:val="18"/>
              </w:rPr>
              <w:t>Accrued interest receivable</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890"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(4,284</w:t>
            </w:r>
          </w:p>
        </w:tc>
        <w:tc>
          <w:tcPr>
            <w:tcW w:w="80" w:type="dxa"/>
            <w:tcBorders/>
            <w:shd w:fill="FFFFFF" w:val="clear"/>
            <w:tcMar>
              <w:top w:w="0" w:type="dxa"/>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890"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(8,938</w:t>
            </w:r>
          </w:p>
        </w:tc>
        <w:tc>
          <w:tcPr>
            <w:tcW w:w="80" w:type="dxa"/>
            <w:tcBorders/>
            <w:shd w:fill="FFFFFF" w:val="clear"/>
            <w:tcMar>
              <w:top w:w="0" w:type="dxa"/>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7475" w:type="dxa"/>
            <w:tcBorders/>
            <w:shd w:fill="CCEEFF" w:val="clear"/>
            <w:tcMar>
              <w:top w:w="0" w:type="dxa"/>
              <w:bottom w:w="0" w:type="dxa"/>
            </w:tcMar>
            <w:vAlign w:val="center"/>
          </w:tcPr>
          <w:p>
            <w:pPr>
              <w:pStyle w:val="TableContents"/>
              <w:bidi w:val="0"/>
              <w:spacing w:before="0" w:after="0"/>
              <w:ind w:left="360" w:right="0" w:hanging="0"/>
              <w:jc w:val="left"/>
              <w:rPr>
                <w:rFonts w:ascii="Times New Roman" w:hAnsi="Times New Roman"/>
                <w:caps w:val="false"/>
                <w:smallCaps w:val="false"/>
                <w:sz w:val="18"/>
              </w:rPr>
            </w:pPr>
            <w:r>
              <w:rPr>
                <w:rFonts w:ascii="Times New Roman" w:hAnsi="Times New Roman"/>
                <w:caps w:val="false"/>
                <w:smallCaps w:val="false"/>
                <w:sz w:val="18"/>
              </w:rPr>
              <w:t>Other assets</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890"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(701</w:t>
            </w:r>
          </w:p>
        </w:tc>
        <w:tc>
          <w:tcPr>
            <w:tcW w:w="80" w:type="dxa"/>
            <w:tcBorders/>
            <w:shd w:fill="CCEEFF" w:val="clear"/>
            <w:tcMar>
              <w:top w:w="0" w:type="dxa"/>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890"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(196</w:t>
            </w:r>
          </w:p>
        </w:tc>
        <w:tc>
          <w:tcPr>
            <w:tcW w:w="80" w:type="dxa"/>
            <w:tcBorders/>
            <w:shd w:fill="CCEEFF" w:val="clear"/>
            <w:tcMar>
              <w:top w:w="0" w:type="dxa"/>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7475" w:type="dxa"/>
            <w:tcBorders/>
            <w:shd w:fill="FFFFFF" w:val="clear"/>
            <w:tcMar>
              <w:top w:w="0" w:type="dxa"/>
              <w:bottom w:w="0" w:type="dxa"/>
            </w:tcMar>
            <w:vAlign w:val="center"/>
          </w:tcPr>
          <w:p>
            <w:pPr>
              <w:pStyle w:val="TableContents"/>
              <w:bidi w:val="0"/>
              <w:spacing w:before="0" w:after="0"/>
              <w:ind w:left="360" w:right="0" w:hanging="0"/>
              <w:jc w:val="left"/>
              <w:rPr>
                <w:rFonts w:ascii="Times New Roman" w:hAnsi="Times New Roman"/>
                <w:caps w:val="false"/>
                <w:smallCaps w:val="false"/>
                <w:sz w:val="18"/>
              </w:rPr>
            </w:pPr>
            <w:r>
              <w:rPr>
                <w:rFonts w:ascii="Times New Roman" w:hAnsi="Times New Roman"/>
                <w:caps w:val="false"/>
                <w:smallCaps w:val="false"/>
                <w:sz w:val="18"/>
              </w:rPr>
              <w:t>Accrued interest payable</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890"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17,878</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890"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3,098</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r>
      <w:tr>
        <w:trPr/>
        <w:tc>
          <w:tcPr>
            <w:tcW w:w="7475" w:type="dxa"/>
            <w:tcBorders/>
            <w:shd w:fill="CCEEFF" w:val="clear"/>
            <w:tcMar>
              <w:top w:w="0" w:type="dxa"/>
              <w:bottom w:w="0" w:type="dxa"/>
            </w:tcMar>
            <w:vAlign w:val="center"/>
          </w:tcPr>
          <w:p>
            <w:pPr>
              <w:pStyle w:val="TableContents"/>
              <w:bidi w:val="0"/>
              <w:spacing w:before="0" w:after="0"/>
              <w:ind w:left="360" w:right="0" w:hanging="0"/>
              <w:jc w:val="left"/>
              <w:rPr>
                <w:rFonts w:ascii="Times New Roman" w:hAnsi="Times New Roman"/>
                <w:caps w:val="false"/>
                <w:smallCaps w:val="false"/>
                <w:sz w:val="18"/>
              </w:rPr>
            </w:pPr>
            <w:r>
              <w:rPr>
                <w:rFonts w:ascii="Times New Roman" w:hAnsi="Times New Roman"/>
                <w:caps w:val="false"/>
                <w:smallCaps w:val="false"/>
                <w:sz w:val="18"/>
              </w:rPr>
              <w:t>Other liabilities</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890"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383</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890"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393</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r>
      <w:tr>
        <w:trPr/>
        <w:tc>
          <w:tcPr>
            <w:tcW w:w="7475" w:type="dxa"/>
            <w:tcBorders>
              <w:bottom w:val="single" w:sz="2" w:space="0" w:color="000000"/>
            </w:tcBorders>
            <w:shd w:fill="FFFFFF" w:val="clear"/>
            <w:tcMar>
              <w:top w:w="0" w:type="dxa"/>
            </w:tcMar>
            <w:vAlign w:val="center"/>
          </w:tcPr>
          <w:p>
            <w:pPr>
              <w:pStyle w:val="TableContents"/>
              <w:bidi w:val="0"/>
              <w:spacing w:before="0" w:after="0"/>
              <w:ind w:left="360" w:right="0" w:hanging="0"/>
              <w:jc w:val="left"/>
              <w:rPr>
                <w:rFonts w:ascii="Times New Roman" w:hAnsi="Times New Roman"/>
                <w:caps w:val="false"/>
                <w:smallCaps w:val="false"/>
                <w:sz w:val="18"/>
              </w:rPr>
            </w:pPr>
            <w:r>
              <w:rPr>
                <w:rFonts w:ascii="Times New Roman" w:hAnsi="Times New Roman"/>
                <w:caps w:val="false"/>
                <w:smallCaps w:val="false"/>
                <w:sz w:val="18"/>
              </w:rPr>
              <w:t>Due to affiliates</w:t>
            </w:r>
          </w:p>
        </w:tc>
        <w:tc>
          <w:tcPr>
            <w:tcW w:w="60" w:type="dxa"/>
            <w:tcBorders>
              <w:bottom w:val="single" w:sz="2" w:space="0" w:color="000000"/>
            </w:tcBorders>
            <w:shd w:fill="FFFFFF" w:val="clear"/>
            <w:tcMar>
              <w:top w:w="0"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top w:w="0" w:type="dxa"/>
            </w:tcMar>
            <w:vAlign w:val="center"/>
          </w:tcPr>
          <w:p>
            <w:pPr>
              <w:pStyle w:val="TableContents"/>
              <w:bidi w:val="0"/>
              <w:spacing w:before="0" w:after="283"/>
              <w:ind w:left="0" w:right="0" w:hanging="0"/>
              <w:jc w:val="left"/>
              <w:rPr/>
            </w:pPr>
            <w:r>
              <w:rPr/>
              <w:t> </w:t>
            </w:r>
          </w:p>
        </w:tc>
        <w:tc>
          <w:tcPr>
            <w:tcW w:w="890" w:type="dxa"/>
            <w:tcBorders>
              <w:bottom w:val="single" w:sz="2" w:space="0" w:color="000000"/>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141</w:t>
            </w:r>
          </w:p>
        </w:tc>
        <w:tc>
          <w:tcPr>
            <w:tcW w:w="80" w:type="dxa"/>
            <w:tcBorders>
              <w:bottom w:val="single" w:sz="2" w:space="0" w:color="000000"/>
            </w:tcBorders>
            <w:shd w:fill="FFFFFF" w:val="clear"/>
            <w:tcMar>
              <w:top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top w:w="0" w:type="dxa"/>
            </w:tcMar>
            <w:vAlign w:val="center"/>
          </w:tcPr>
          <w:p>
            <w:pPr>
              <w:pStyle w:val="TableContents"/>
              <w:bidi w:val="0"/>
              <w:spacing w:before="0" w:after="283"/>
              <w:ind w:left="0" w:right="0" w:hanging="0"/>
              <w:jc w:val="left"/>
              <w:rPr/>
            </w:pPr>
            <w:r>
              <w:rPr/>
              <w:t> </w:t>
            </w:r>
          </w:p>
        </w:tc>
        <w:tc>
          <w:tcPr>
            <w:tcW w:w="890" w:type="dxa"/>
            <w:tcBorders>
              <w:bottom w:val="single" w:sz="2" w:space="0" w:color="000000"/>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182</w:t>
            </w:r>
          </w:p>
        </w:tc>
        <w:tc>
          <w:tcPr>
            <w:tcW w:w="80" w:type="dxa"/>
            <w:tcBorders>
              <w:bottom w:val="single" w:sz="2" w:space="0" w:color="000000"/>
            </w:tcBorders>
            <w:shd w:fill="FFFFFF" w:val="clear"/>
            <w:tcMar>
              <w:top w:w="0" w:type="dxa"/>
            </w:tcMar>
            <w:vAlign w:val="center"/>
          </w:tcPr>
          <w:p>
            <w:pPr>
              <w:pStyle w:val="TableContents"/>
              <w:bidi w:val="0"/>
              <w:spacing w:before="0" w:after="283"/>
              <w:jc w:val="left"/>
              <w:rPr/>
            </w:pPr>
            <w:r>
              <w:rPr/>
              <w:t> </w:t>
            </w:r>
          </w:p>
        </w:tc>
      </w:tr>
      <w:tr>
        <w:trPr/>
        <w:tc>
          <w:tcPr>
            <w:tcW w:w="7475" w:type="dxa"/>
            <w:tcBorders>
              <w:bottom w:val="single" w:sz="2" w:space="0" w:color="000000"/>
            </w:tcBorders>
            <w:shd w:fill="CCEE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NET CASH PROVIDED BY OPERATING ACTIVITIES</w:t>
            </w:r>
          </w:p>
        </w:tc>
        <w:tc>
          <w:tcPr>
            <w:tcW w:w="60" w:type="dxa"/>
            <w:tcBorders>
              <w:bottom w:val="single" w:sz="2" w:space="0" w:color="000000"/>
            </w:tcBorders>
            <w:shd w:fill="CCEEFF" w:val="clear"/>
            <w:tcMar>
              <w:top w:w="0"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top w:w="0" w:type="dxa"/>
            </w:tcMar>
            <w:vAlign w:val="center"/>
          </w:tcPr>
          <w:p>
            <w:pPr>
              <w:pStyle w:val="TableContents"/>
              <w:bidi w:val="0"/>
              <w:spacing w:before="0" w:after="283"/>
              <w:ind w:left="0" w:right="0" w:hanging="0"/>
              <w:jc w:val="left"/>
              <w:rPr/>
            </w:pPr>
            <w:r>
              <w:rPr/>
              <w:t> </w:t>
            </w:r>
          </w:p>
        </w:tc>
        <w:tc>
          <w:tcPr>
            <w:tcW w:w="890" w:type="dxa"/>
            <w:tcBorders>
              <w:bottom w:val="single" w:sz="2" w:space="0" w:color="000000"/>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130,222</w:t>
            </w:r>
          </w:p>
        </w:tc>
        <w:tc>
          <w:tcPr>
            <w:tcW w:w="80" w:type="dxa"/>
            <w:tcBorders>
              <w:bottom w:val="single" w:sz="2" w:space="0" w:color="000000"/>
            </w:tcBorders>
            <w:shd w:fill="CCEEFF" w:val="clear"/>
            <w:tcMar>
              <w:top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top w:w="0" w:type="dxa"/>
            </w:tcMar>
            <w:vAlign w:val="center"/>
          </w:tcPr>
          <w:p>
            <w:pPr>
              <w:pStyle w:val="TableContents"/>
              <w:bidi w:val="0"/>
              <w:spacing w:before="0" w:after="283"/>
              <w:ind w:left="0" w:right="0" w:hanging="0"/>
              <w:jc w:val="left"/>
              <w:rPr/>
            </w:pPr>
            <w:r>
              <w:rPr/>
              <w:t> </w:t>
            </w:r>
          </w:p>
        </w:tc>
        <w:tc>
          <w:tcPr>
            <w:tcW w:w="890" w:type="dxa"/>
            <w:tcBorders>
              <w:bottom w:val="single" w:sz="2" w:space="0" w:color="000000"/>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44,222</w:t>
            </w:r>
          </w:p>
        </w:tc>
        <w:tc>
          <w:tcPr>
            <w:tcW w:w="80" w:type="dxa"/>
            <w:tcBorders>
              <w:bottom w:val="single" w:sz="2" w:space="0" w:color="000000"/>
            </w:tcBorders>
            <w:shd w:fill="CCEEFF" w:val="clear"/>
            <w:tcMar>
              <w:top w:w="0" w:type="dxa"/>
            </w:tcMar>
            <w:vAlign w:val="center"/>
          </w:tcPr>
          <w:p>
            <w:pPr>
              <w:pStyle w:val="TableContents"/>
              <w:bidi w:val="0"/>
              <w:spacing w:before="0" w:after="283"/>
              <w:jc w:val="left"/>
              <w:rPr/>
            </w:pPr>
            <w:r>
              <w:rPr/>
              <w:t> </w:t>
            </w:r>
          </w:p>
        </w:tc>
      </w:tr>
      <w:tr>
        <w:trPr/>
        <w:tc>
          <w:tcPr>
            <w:tcW w:w="7475"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jc w:val="left"/>
              <w:rPr/>
            </w:pPr>
            <w:r>
              <w:rPr/>
              <w:t> </w:t>
            </w:r>
          </w:p>
        </w:tc>
        <w:tc>
          <w:tcPr>
            <w:tcW w:w="890" w:type="dxa"/>
            <w:tcBorders/>
            <w:shd w:fill="FFFFFF" w:val="clear"/>
            <w:tcMar>
              <w:top w:w="0" w:type="dxa"/>
              <w:bottom w:w="0" w:type="dxa"/>
            </w:tcMar>
            <w:vAlign w:val="center"/>
          </w:tcPr>
          <w:p>
            <w:pPr>
              <w:pStyle w:val="TableContents"/>
              <w:bidi w:val="0"/>
              <w:spacing w:before="0" w:after="283"/>
              <w:jc w:val="left"/>
              <w:rPr/>
            </w:pPr>
            <w:r>
              <w:rPr/>
              <w:t> </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jc w:val="left"/>
              <w:rPr/>
            </w:pPr>
            <w:r>
              <w:rPr/>
              <w:t> </w:t>
            </w:r>
          </w:p>
        </w:tc>
        <w:tc>
          <w:tcPr>
            <w:tcW w:w="890" w:type="dxa"/>
            <w:tcBorders/>
            <w:shd w:fill="FFFFFF" w:val="clear"/>
            <w:tcMar>
              <w:top w:w="0" w:type="dxa"/>
              <w:bottom w:w="0" w:type="dxa"/>
            </w:tcMar>
            <w:vAlign w:val="center"/>
          </w:tcPr>
          <w:p>
            <w:pPr>
              <w:pStyle w:val="TableContents"/>
              <w:bidi w:val="0"/>
              <w:spacing w:before="0" w:after="283"/>
              <w:jc w:val="left"/>
              <w:rPr/>
            </w:pPr>
            <w:r>
              <w:rPr/>
              <w:t> </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r>
      <w:tr>
        <w:trPr/>
        <w:tc>
          <w:tcPr>
            <w:tcW w:w="7475"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CASH FLOWS FROM INVESTING ACTIVITIES:</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jc w:val="left"/>
              <w:rPr/>
            </w:pPr>
            <w:r>
              <w:rPr/>
              <w:t> </w:t>
            </w:r>
          </w:p>
        </w:tc>
        <w:tc>
          <w:tcPr>
            <w:tcW w:w="890" w:type="dxa"/>
            <w:tcBorders/>
            <w:shd w:fill="CCEEFF" w:val="clear"/>
            <w:tcMar>
              <w:top w:w="0" w:type="dxa"/>
              <w:bottom w:w="0" w:type="dxa"/>
            </w:tcMar>
            <w:vAlign w:val="center"/>
          </w:tcPr>
          <w:p>
            <w:pPr>
              <w:pStyle w:val="TableContents"/>
              <w:bidi w:val="0"/>
              <w:spacing w:before="0" w:after="283"/>
              <w:jc w:val="left"/>
              <w:rPr/>
            </w:pPr>
            <w:r>
              <w:rPr/>
              <w:t> </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jc w:val="left"/>
              <w:rPr/>
            </w:pPr>
            <w:r>
              <w:rPr/>
              <w:t> </w:t>
            </w:r>
          </w:p>
        </w:tc>
        <w:tc>
          <w:tcPr>
            <w:tcW w:w="890" w:type="dxa"/>
            <w:tcBorders/>
            <w:shd w:fill="CCEEFF" w:val="clear"/>
            <w:tcMar>
              <w:top w:w="0" w:type="dxa"/>
              <w:bottom w:w="0" w:type="dxa"/>
            </w:tcMar>
            <w:vAlign w:val="center"/>
          </w:tcPr>
          <w:p>
            <w:pPr>
              <w:pStyle w:val="TableContents"/>
              <w:bidi w:val="0"/>
              <w:spacing w:before="0" w:after="283"/>
              <w:jc w:val="left"/>
              <w:rPr/>
            </w:pPr>
            <w:r>
              <w:rPr/>
              <w:t> </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r>
      <w:tr>
        <w:trPr/>
        <w:tc>
          <w:tcPr>
            <w:tcW w:w="7475"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From mortgage-backed securities investments:</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jc w:val="left"/>
              <w:rPr/>
            </w:pPr>
            <w:r>
              <w:rPr/>
              <w:t> </w:t>
            </w:r>
          </w:p>
        </w:tc>
        <w:tc>
          <w:tcPr>
            <w:tcW w:w="890" w:type="dxa"/>
            <w:tcBorders/>
            <w:shd w:fill="FFFFFF" w:val="clear"/>
            <w:tcMar>
              <w:top w:w="0" w:type="dxa"/>
              <w:bottom w:w="0" w:type="dxa"/>
            </w:tcMar>
            <w:vAlign w:val="center"/>
          </w:tcPr>
          <w:p>
            <w:pPr>
              <w:pStyle w:val="TableContents"/>
              <w:bidi w:val="0"/>
              <w:spacing w:before="0" w:after="283"/>
              <w:jc w:val="left"/>
              <w:rPr/>
            </w:pPr>
            <w:r>
              <w:rPr/>
              <w:t> </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jc w:val="left"/>
              <w:rPr/>
            </w:pPr>
            <w:r>
              <w:rPr/>
              <w:t> </w:t>
            </w:r>
          </w:p>
        </w:tc>
        <w:tc>
          <w:tcPr>
            <w:tcW w:w="890" w:type="dxa"/>
            <w:tcBorders/>
            <w:shd w:fill="FFFFFF" w:val="clear"/>
            <w:tcMar>
              <w:top w:w="0" w:type="dxa"/>
              <w:bottom w:w="0" w:type="dxa"/>
            </w:tcMar>
            <w:vAlign w:val="center"/>
          </w:tcPr>
          <w:p>
            <w:pPr>
              <w:pStyle w:val="TableContents"/>
              <w:bidi w:val="0"/>
              <w:spacing w:before="0" w:after="283"/>
              <w:jc w:val="left"/>
              <w:rPr/>
            </w:pPr>
            <w:r>
              <w:rPr/>
              <w:t> </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r>
      <w:tr>
        <w:trPr/>
        <w:tc>
          <w:tcPr>
            <w:tcW w:w="7475" w:type="dxa"/>
            <w:tcBorders/>
            <w:shd w:fill="CCEEFF" w:val="clear"/>
            <w:tcMar>
              <w:top w:w="0" w:type="dxa"/>
              <w:bottom w:w="0" w:type="dxa"/>
            </w:tcMar>
            <w:vAlign w:val="center"/>
          </w:tcPr>
          <w:p>
            <w:pPr>
              <w:pStyle w:val="TableContents"/>
              <w:bidi w:val="0"/>
              <w:spacing w:before="0" w:after="0"/>
              <w:ind w:left="360" w:right="0" w:hanging="0"/>
              <w:jc w:val="left"/>
              <w:rPr>
                <w:rFonts w:ascii="Times New Roman" w:hAnsi="Times New Roman"/>
                <w:caps w:val="false"/>
                <w:smallCaps w:val="false"/>
                <w:sz w:val="18"/>
              </w:rPr>
            </w:pPr>
            <w:r>
              <w:rPr>
                <w:rFonts w:ascii="Times New Roman" w:hAnsi="Times New Roman"/>
                <w:caps w:val="false"/>
                <w:smallCaps w:val="false"/>
                <w:sz w:val="18"/>
              </w:rPr>
              <w:t>Purchases</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890"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(2,273,827</w:t>
            </w:r>
          </w:p>
        </w:tc>
        <w:tc>
          <w:tcPr>
            <w:tcW w:w="80" w:type="dxa"/>
            <w:tcBorders/>
            <w:shd w:fill="CCEEFF" w:val="clear"/>
            <w:tcMar>
              <w:top w:w="0" w:type="dxa"/>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890"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(2,728,263</w:t>
            </w:r>
          </w:p>
        </w:tc>
        <w:tc>
          <w:tcPr>
            <w:tcW w:w="80" w:type="dxa"/>
            <w:tcBorders/>
            <w:shd w:fill="CCEEFF" w:val="clear"/>
            <w:tcMar>
              <w:top w:w="0" w:type="dxa"/>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7475" w:type="dxa"/>
            <w:tcBorders/>
            <w:shd w:fill="FFFFFF" w:val="clear"/>
            <w:tcMar>
              <w:top w:w="0" w:type="dxa"/>
              <w:bottom w:w="0" w:type="dxa"/>
            </w:tcMar>
            <w:vAlign w:val="center"/>
          </w:tcPr>
          <w:p>
            <w:pPr>
              <w:pStyle w:val="TableContents"/>
              <w:bidi w:val="0"/>
              <w:spacing w:before="0" w:after="0"/>
              <w:ind w:left="360" w:right="0" w:hanging="0"/>
              <w:jc w:val="left"/>
              <w:rPr>
                <w:rFonts w:ascii="Times New Roman" w:hAnsi="Times New Roman"/>
                <w:caps w:val="false"/>
                <w:smallCaps w:val="false"/>
                <w:sz w:val="18"/>
              </w:rPr>
            </w:pPr>
            <w:r>
              <w:rPr>
                <w:rFonts w:ascii="Times New Roman" w:hAnsi="Times New Roman"/>
                <w:caps w:val="false"/>
                <w:smallCaps w:val="false"/>
                <w:sz w:val="18"/>
              </w:rPr>
              <w:t>Sales and maturities</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890"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356,475</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890"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733,904</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r>
      <w:tr>
        <w:trPr/>
        <w:tc>
          <w:tcPr>
            <w:tcW w:w="7475" w:type="dxa"/>
            <w:tcBorders/>
            <w:shd w:fill="CCEEFF" w:val="clear"/>
            <w:tcMar>
              <w:top w:w="0" w:type="dxa"/>
              <w:bottom w:w="0" w:type="dxa"/>
            </w:tcMar>
            <w:vAlign w:val="center"/>
          </w:tcPr>
          <w:p>
            <w:pPr>
              <w:pStyle w:val="TableContents"/>
              <w:bidi w:val="0"/>
              <w:spacing w:before="0" w:after="0"/>
              <w:ind w:left="360" w:right="0" w:hanging="0"/>
              <w:jc w:val="left"/>
              <w:rPr>
                <w:rFonts w:ascii="Times New Roman" w:hAnsi="Times New Roman"/>
                <w:caps w:val="false"/>
                <w:smallCaps w:val="false"/>
                <w:sz w:val="18"/>
              </w:rPr>
            </w:pPr>
            <w:r>
              <w:rPr>
                <w:rFonts w:ascii="Times New Roman" w:hAnsi="Times New Roman"/>
                <w:caps w:val="false"/>
                <w:smallCaps w:val="false"/>
                <w:sz w:val="18"/>
              </w:rPr>
              <w:t>Principal repayments</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890"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863,500</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890"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332,154</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r>
      <w:tr>
        <w:trPr/>
        <w:tc>
          <w:tcPr>
            <w:tcW w:w="7475"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Purchases of U.S. Treasury securities, available-for-sale</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jc w:val="left"/>
              <w:rPr/>
            </w:pPr>
            <w:r>
              <w:rPr/>
              <w:t> </w:t>
            </w:r>
          </w:p>
        </w:tc>
        <w:tc>
          <w:tcPr>
            <w:tcW w:w="890" w:type="dxa"/>
            <w:tcBorders/>
            <w:shd w:fill="FFFFFF" w:val="clear"/>
            <w:tcMar>
              <w:top w:w="0" w:type="dxa"/>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(183,025</w:t>
            </w:r>
          </w:p>
        </w:tc>
        <w:tc>
          <w:tcPr>
            <w:tcW w:w="80" w:type="dxa"/>
            <w:tcBorders/>
            <w:shd w:fill="FFFFFF" w:val="clear"/>
            <w:tcMar>
              <w:top w:w="0" w:type="dxa"/>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jc w:val="left"/>
              <w:rPr/>
            </w:pPr>
            <w:r>
              <w:rPr/>
              <w:t> </w:t>
            </w:r>
          </w:p>
        </w:tc>
        <w:tc>
          <w:tcPr>
            <w:tcW w:w="890" w:type="dxa"/>
            <w:tcBorders/>
            <w:shd w:fill="FFFFFF" w:val="clear"/>
            <w:tcMar>
              <w:top w:w="0" w:type="dxa"/>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(74,098</w:t>
            </w:r>
          </w:p>
        </w:tc>
        <w:tc>
          <w:tcPr>
            <w:tcW w:w="80" w:type="dxa"/>
            <w:tcBorders/>
            <w:shd w:fill="FFFFFF" w:val="clear"/>
            <w:tcMar>
              <w:top w:w="0" w:type="dxa"/>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7475"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Proceeds from maturity of U.S. Treasury securities, available-for-sale</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jc w:val="left"/>
              <w:rPr/>
            </w:pPr>
            <w:r>
              <w:rPr/>
              <w:t> </w:t>
            </w:r>
          </w:p>
        </w:tc>
        <w:tc>
          <w:tcPr>
            <w:tcW w:w="890" w:type="dxa"/>
            <w:tcBorders/>
            <w:shd w:fill="CCEEFF" w:val="clear"/>
            <w:tcMar>
              <w:top w:w="0" w:type="dxa"/>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135,000</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jc w:val="left"/>
              <w:rPr/>
            </w:pPr>
            <w:r>
              <w:rPr/>
              <w:t> </w:t>
            </w:r>
          </w:p>
        </w:tc>
        <w:tc>
          <w:tcPr>
            <w:tcW w:w="890" w:type="dxa"/>
            <w:tcBorders/>
            <w:shd w:fill="CCEEFF" w:val="clear"/>
            <w:tcMar>
              <w:top w:w="0" w:type="dxa"/>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50,000</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r>
      <w:tr>
        <w:trPr/>
        <w:tc>
          <w:tcPr>
            <w:tcW w:w="7475"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Net payments on reverse repurchase agreements</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jc w:val="left"/>
              <w:rPr/>
            </w:pPr>
            <w:r>
              <w:rPr/>
              <w:t> </w:t>
            </w:r>
          </w:p>
        </w:tc>
        <w:tc>
          <w:tcPr>
            <w:tcW w:w="890" w:type="dxa"/>
            <w:tcBorders/>
            <w:shd w:fill="FFFFFF" w:val="clear"/>
            <w:tcMar>
              <w:top w:w="0" w:type="dxa"/>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(367,215</w:t>
            </w:r>
          </w:p>
        </w:tc>
        <w:tc>
          <w:tcPr>
            <w:tcW w:w="80" w:type="dxa"/>
            <w:tcBorders/>
            <w:shd w:fill="FFFFFF" w:val="clear"/>
            <w:tcMar>
              <w:top w:w="0" w:type="dxa"/>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jc w:val="left"/>
              <w:rPr/>
            </w:pPr>
            <w:r>
              <w:rPr/>
              <w:t> </w:t>
            </w:r>
          </w:p>
        </w:tc>
        <w:tc>
          <w:tcPr>
            <w:tcW w:w="890" w:type="dxa"/>
            <w:tcBorders/>
            <w:shd w:fill="FFFFFF" w:val="clear"/>
            <w:tcMar>
              <w:top w:w="0" w:type="dxa"/>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r>
      <w:tr>
        <w:trPr/>
        <w:tc>
          <w:tcPr>
            <w:tcW w:w="7475" w:type="dxa"/>
            <w:tcBorders>
              <w:bottom w:val="single" w:sz="2" w:space="0" w:color="000000"/>
            </w:tcBorders>
            <w:shd w:fill="CCEE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Net proceeds from (payments on) derivative instruments</w:t>
            </w:r>
          </w:p>
        </w:tc>
        <w:tc>
          <w:tcPr>
            <w:tcW w:w="60" w:type="dxa"/>
            <w:tcBorders>
              <w:bottom w:val="single" w:sz="2" w:space="0" w:color="000000"/>
            </w:tcBorders>
            <w:shd w:fill="CCEEFF" w:val="clear"/>
            <w:tcMar>
              <w:top w:w="0"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top w:w="0" w:type="dxa"/>
            </w:tcMar>
            <w:vAlign w:val="center"/>
          </w:tcPr>
          <w:p>
            <w:pPr>
              <w:pStyle w:val="TableContents"/>
              <w:bidi w:val="0"/>
              <w:spacing w:before="0" w:after="283"/>
              <w:ind w:left="0" w:right="0" w:hanging="0"/>
              <w:jc w:val="left"/>
              <w:rPr/>
            </w:pPr>
            <w:r>
              <w:rPr/>
              <w:t> </w:t>
            </w:r>
          </w:p>
        </w:tc>
        <w:tc>
          <w:tcPr>
            <w:tcW w:w="890" w:type="dxa"/>
            <w:tcBorders>
              <w:bottom w:val="single" w:sz="2" w:space="0" w:color="000000"/>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460,032</w:t>
            </w:r>
          </w:p>
        </w:tc>
        <w:tc>
          <w:tcPr>
            <w:tcW w:w="80" w:type="dxa"/>
            <w:tcBorders>
              <w:bottom w:val="single" w:sz="2" w:space="0" w:color="000000"/>
            </w:tcBorders>
            <w:shd w:fill="CCEEFF" w:val="clear"/>
            <w:tcMar>
              <w:top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top w:w="0" w:type="dxa"/>
            </w:tcMar>
            <w:vAlign w:val="center"/>
          </w:tcPr>
          <w:p>
            <w:pPr>
              <w:pStyle w:val="TableContents"/>
              <w:bidi w:val="0"/>
              <w:spacing w:before="0" w:after="283"/>
              <w:ind w:left="0" w:right="0" w:hanging="0"/>
              <w:jc w:val="left"/>
              <w:rPr/>
            </w:pPr>
            <w:r>
              <w:rPr/>
              <w:t> </w:t>
            </w:r>
          </w:p>
        </w:tc>
        <w:tc>
          <w:tcPr>
            <w:tcW w:w="890" w:type="dxa"/>
            <w:tcBorders>
              <w:bottom w:val="single" w:sz="2" w:space="0" w:color="000000"/>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(131,446</w:t>
            </w:r>
          </w:p>
        </w:tc>
        <w:tc>
          <w:tcPr>
            <w:tcW w:w="80" w:type="dxa"/>
            <w:tcBorders>
              <w:bottom w:val="single" w:sz="2" w:space="0" w:color="000000"/>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7475" w:type="dxa"/>
            <w:tcBorders>
              <w:bottom w:val="single" w:sz="2" w:space="0" w:color="000000"/>
            </w:tcBorders>
            <w:shd w:fill="FFFF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NET CASH USED IN INVESTING ACTIVITIES</w:t>
            </w:r>
          </w:p>
        </w:tc>
        <w:tc>
          <w:tcPr>
            <w:tcW w:w="60" w:type="dxa"/>
            <w:tcBorders>
              <w:bottom w:val="single" w:sz="2" w:space="0" w:color="000000"/>
            </w:tcBorders>
            <w:shd w:fill="FFFFFF" w:val="clear"/>
            <w:tcMar>
              <w:top w:w="0"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top w:w="0" w:type="dxa"/>
            </w:tcMar>
            <w:vAlign w:val="center"/>
          </w:tcPr>
          <w:p>
            <w:pPr>
              <w:pStyle w:val="TableContents"/>
              <w:bidi w:val="0"/>
              <w:spacing w:before="0" w:after="283"/>
              <w:ind w:left="0" w:right="0" w:hanging="0"/>
              <w:jc w:val="left"/>
              <w:rPr/>
            </w:pPr>
            <w:r>
              <w:rPr/>
              <w:t> </w:t>
            </w:r>
          </w:p>
        </w:tc>
        <w:tc>
          <w:tcPr>
            <w:tcW w:w="890" w:type="dxa"/>
            <w:tcBorders>
              <w:bottom w:val="single" w:sz="2" w:space="0" w:color="000000"/>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(1,009,060</w:t>
            </w:r>
          </w:p>
        </w:tc>
        <w:tc>
          <w:tcPr>
            <w:tcW w:w="80" w:type="dxa"/>
            <w:tcBorders>
              <w:bottom w:val="single" w:sz="2" w:space="0" w:color="000000"/>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FFFFFF" w:val="clear"/>
            <w:tcMar>
              <w:top w:w="0"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top w:w="0" w:type="dxa"/>
            </w:tcMar>
            <w:vAlign w:val="center"/>
          </w:tcPr>
          <w:p>
            <w:pPr>
              <w:pStyle w:val="TableContents"/>
              <w:bidi w:val="0"/>
              <w:spacing w:before="0" w:after="283"/>
              <w:ind w:left="0" w:right="0" w:hanging="0"/>
              <w:jc w:val="left"/>
              <w:rPr/>
            </w:pPr>
            <w:r>
              <w:rPr/>
              <w:t> </w:t>
            </w:r>
          </w:p>
        </w:tc>
        <w:tc>
          <w:tcPr>
            <w:tcW w:w="890" w:type="dxa"/>
            <w:tcBorders>
              <w:bottom w:val="single" w:sz="2" w:space="0" w:color="000000"/>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(1,817,749</w:t>
            </w:r>
          </w:p>
        </w:tc>
        <w:tc>
          <w:tcPr>
            <w:tcW w:w="80" w:type="dxa"/>
            <w:tcBorders>
              <w:bottom w:val="single" w:sz="2" w:space="0" w:color="000000"/>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7475"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jc w:val="left"/>
              <w:rPr/>
            </w:pPr>
            <w:r>
              <w:rPr/>
              <w:t> </w:t>
            </w:r>
          </w:p>
        </w:tc>
        <w:tc>
          <w:tcPr>
            <w:tcW w:w="890" w:type="dxa"/>
            <w:tcBorders/>
            <w:shd w:fill="CCEEFF" w:val="clear"/>
            <w:tcMar>
              <w:top w:w="0" w:type="dxa"/>
              <w:bottom w:w="0" w:type="dxa"/>
            </w:tcMar>
            <w:vAlign w:val="center"/>
          </w:tcPr>
          <w:p>
            <w:pPr>
              <w:pStyle w:val="TableContents"/>
              <w:bidi w:val="0"/>
              <w:spacing w:before="0" w:after="283"/>
              <w:jc w:val="left"/>
              <w:rPr/>
            </w:pPr>
            <w:r>
              <w:rPr/>
              <w:t> </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jc w:val="left"/>
              <w:rPr/>
            </w:pPr>
            <w:r>
              <w:rPr/>
              <w:t> </w:t>
            </w:r>
          </w:p>
        </w:tc>
        <w:tc>
          <w:tcPr>
            <w:tcW w:w="890" w:type="dxa"/>
            <w:tcBorders/>
            <w:shd w:fill="CCEEFF" w:val="clear"/>
            <w:tcMar>
              <w:top w:w="0" w:type="dxa"/>
              <w:bottom w:w="0" w:type="dxa"/>
            </w:tcMar>
            <w:vAlign w:val="center"/>
          </w:tcPr>
          <w:p>
            <w:pPr>
              <w:pStyle w:val="TableContents"/>
              <w:bidi w:val="0"/>
              <w:spacing w:before="0" w:after="283"/>
              <w:jc w:val="left"/>
              <w:rPr/>
            </w:pPr>
            <w:r>
              <w:rPr/>
              <w:t> </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r>
      <w:tr>
        <w:trPr/>
        <w:tc>
          <w:tcPr>
            <w:tcW w:w="7475"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CASH FLOWS FROM FINANCING ACTIVITIES:</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jc w:val="left"/>
              <w:rPr/>
            </w:pPr>
            <w:r>
              <w:rPr/>
              <w:t> </w:t>
            </w:r>
          </w:p>
        </w:tc>
        <w:tc>
          <w:tcPr>
            <w:tcW w:w="890" w:type="dxa"/>
            <w:tcBorders/>
            <w:shd w:fill="FFFFFF" w:val="clear"/>
            <w:tcMar>
              <w:top w:w="0" w:type="dxa"/>
              <w:bottom w:w="0" w:type="dxa"/>
            </w:tcMar>
            <w:vAlign w:val="center"/>
          </w:tcPr>
          <w:p>
            <w:pPr>
              <w:pStyle w:val="TableContents"/>
              <w:bidi w:val="0"/>
              <w:spacing w:before="0" w:after="283"/>
              <w:jc w:val="left"/>
              <w:rPr/>
            </w:pPr>
            <w:r>
              <w:rPr/>
              <w:t> </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jc w:val="left"/>
              <w:rPr/>
            </w:pPr>
            <w:r>
              <w:rPr/>
              <w:t> </w:t>
            </w:r>
          </w:p>
        </w:tc>
        <w:tc>
          <w:tcPr>
            <w:tcW w:w="890" w:type="dxa"/>
            <w:tcBorders/>
            <w:shd w:fill="FFFFFF" w:val="clear"/>
            <w:tcMar>
              <w:top w:w="0" w:type="dxa"/>
              <w:bottom w:w="0" w:type="dxa"/>
            </w:tcMar>
            <w:vAlign w:val="center"/>
          </w:tcPr>
          <w:p>
            <w:pPr>
              <w:pStyle w:val="TableContents"/>
              <w:bidi w:val="0"/>
              <w:spacing w:before="0" w:after="283"/>
              <w:jc w:val="left"/>
              <w:rPr/>
            </w:pPr>
            <w:r>
              <w:rPr/>
              <w:t> </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r>
      <w:tr>
        <w:trPr/>
        <w:tc>
          <w:tcPr>
            <w:tcW w:w="7475"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Proceeds from repurchase agreements</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890"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42,801,202</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890"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28,368,377</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r>
      <w:tr>
        <w:trPr/>
        <w:tc>
          <w:tcPr>
            <w:tcW w:w="7475"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Principal payments on repurchase agreements</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890"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(41,829,753</w:t>
            </w:r>
          </w:p>
        </w:tc>
        <w:tc>
          <w:tcPr>
            <w:tcW w:w="80" w:type="dxa"/>
            <w:tcBorders/>
            <w:shd w:fill="FFFFFF" w:val="clear"/>
            <w:tcMar>
              <w:top w:w="0" w:type="dxa"/>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890"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(26,738,041</w:t>
            </w:r>
          </w:p>
        </w:tc>
        <w:tc>
          <w:tcPr>
            <w:tcW w:w="80" w:type="dxa"/>
            <w:tcBorders/>
            <w:shd w:fill="FFFFFF" w:val="clear"/>
            <w:tcMar>
              <w:top w:w="0" w:type="dxa"/>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7475"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Cash dividends</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890"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(131,046</w:t>
            </w:r>
          </w:p>
        </w:tc>
        <w:tc>
          <w:tcPr>
            <w:tcW w:w="80" w:type="dxa"/>
            <w:tcBorders/>
            <w:shd w:fill="CCEEFF" w:val="clear"/>
            <w:tcMar>
              <w:top w:w="0" w:type="dxa"/>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890"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(73,026</w:t>
            </w:r>
          </w:p>
        </w:tc>
        <w:tc>
          <w:tcPr>
            <w:tcW w:w="80" w:type="dxa"/>
            <w:tcBorders/>
            <w:shd w:fill="CCEEFF" w:val="clear"/>
            <w:tcMar>
              <w:top w:w="0" w:type="dxa"/>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7475"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Proceeds from issuance of common stock, net of issuance costs</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890"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135,525</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890"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344,840</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r>
      <w:tr>
        <w:trPr/>
        <w:tc>
          <w:tcPr>
            <w:tcW w:w="7475" w:type="dxa"/>
            <w:tcBorders>
              <w:bottom w:val="single" w:sz="2" w:space="0" w:color="000000"/>
            </w:tcBorders>
            <w:shd w:fill="CCEE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Common stock repurchases, including shares withheld from employee stock awards for payment of taxes</w:t>
            </w:r>
          </w:p>
        </w:tc>
        <w:tc>
          <w:tcPr>
            <w:tcW w:w="60" w:type="dxa"/>
            <w:tcBorders>
              <w:bottom w:val="single" w:sz="2" w:space="0" w:color="000000"/>
            </w:tcBorders>
            <w:shd w:fill="CCEEFF" w:val="clear"/>
            <w:tcMar>
              <w:top w:w="0"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top w:w="0" w:type="dxa"/>
            </w:tcMar>
            <w:vAlign w:val="center"/>
          </w:tcPr>
          <w:p>
            <w:pPr>
              <w:pStyle w:val="TableContents"/>
              <w:bidi w:val="0"/>
              <w:spacing w:before="0" w:after="283"/>
              <w:ind w:left="0" w:right="0" w:hanging="0"/>
              <w:jc w:val="left"/>
              <w:rPr/>
            </w:pPr>
            <w:r>
              <w:rPr/>
              <w:t> </w:t>
            </w:r>
          </w:p>
        </w:tc>
        <w:tc>
          <w:tcPr>
            <w:tcW w:w="890" w:type="dxa"/>
            <w:tcBorders>
              <w:bottom w:val="single" w:sz="2" w:space="0" w:color="000000"/>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(8,016</w:t>
            </w:r>
          </w:p>
        </w:tc>
        <w:tc>
          <w:tcPr>
            <w:tcW w:w="80" w:type="dxa"/>
            <w:tcBorders>
              <w:bottom w:val="single" w:sz="2" w:space="0" w:color="000000"/>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CCEEFF" w:val="clear"/>
            <w:tcMar>
              <w:top w:w="0"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top w:w="0" w:type="dxa"/>
            </w:tcMar>
            <w:vAlign w:val="center"/>
          </w:tcPr>
          <w:p>
            <w:pPr>
              <w:pStyle w:val="TableContents"/>
              <w:bidi w:val="0"/>
              <w:spacing w:before="0" w:after="283"/>
              <w:ind w:left="0" w:right="0" w:hanging="0"/>
              <w:jc w:val="left"/>
              <w:rPr/>
            </w:pPr>
            <w:r>
              <w:rPr/>
              <w:t> </w:t>
            </w:r>
          </w:p>
        </w:tc>
        <w:tc>
          <w:tcPr>
            <w:tcW w:w="890" w:type="dxa"/>
            <w:tcBorders>
              <w:bottom w:val="single" w:sz="2" w:space="0" w:color="000000"/>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(7,348</w:t>
            </w:r>
          </w:p>
        </w:tc>
        <w:tc>
          <w:tcPr>
            <w:tcW w:w="80" w:type="dxa"/>
            <w:tcBorders>
              <w:bottom w:val="single" w:sz="2" w:space="0" w:color="000000"/>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7475" w:type="dxa"/>
            <w:tcBorders>
              <w:bottom w:val="single" w:sz="2" w:space="0" w:color="000000"/>
            </w:tcBorders>
            <w:shd w:fill="FFFF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NET CASH PROVIDED BY FINANCING ACTIVITIES</w:t>
            </w:r>
          </w:p>
        </w:tc>
        <w:tc>
          <w:tcPr>
            <w:tcW w:w="60" w:type="dxa"/>
            <w:tcBorders>
              <w:bottom w:val="single" w:sz="2" w:space="0" w:color="000000"/>
            </w:tcBorders>
            <w:shd w:fill="FFFFFF" w:val="clear"/>
            <w:tcMar>
              <w:top w:w="0"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top w:w="0" w:type="dxa"/>
            </w:tcMar>
            <w:vAlign w:val="center"/>
          </w:tcPr>
          <w:p>
            <w:pPr>
              <w:pStyle w:val="TableContents"/>
              <w:bidi w:val="0"/>
              <w:spacing w:before="0" w:after="283"/>
              <w:ind w:left="0" w:right="0" w:hanging="0"/>
              <w:jc w:val="left"/>
              <w:rPr/>
            </w:pPr>
            <w:r>
              <w:rPr/>
              <w:t> </w:t>
            </w:r>
          </w:p>
        </w:tc>
        <w:tc>
          <w:tcPr>
            <w:tcW w:w="890" w:type="dxa"/>
            <w:tcBorders>
              <w:bottom w:val="single" w:sz="2" w:space="0" w:color="000000"/>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967,912</w:t>
            </w:r>
          </w:p>
        </w:tc>
        <w:tc>
          <w:tcPr>
            <w:tcW w:w="80" w:type="dxa"/>
            <w:tcBorders>
              <w:bottom w:val="single" w:sz="2" w:space="0" w:color="000000"/>
            </w:tcBorders>
            <w:shd w:fill="FFFFFF" w:val="clear"/>
            <w:tcMar>
              <w:top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top w:w="0" w:type="dxa"/>
            </w:tcMar>
            <w:vAlign w:val="center"/>
          </w:tcPr>
          <w:p>
            <w:pPr>
              <w:pStyle w:val="TableContents"/>
              <w:bidi w:val="0"/>
              <w:spacing w:before="0" w:after="283"/>
              <w:ind w:left="0" w:right="0" w:hanging="0"/>
              <w:jc w:val="left"/>
              <w:rPr/>
            </w:pPr>
            <w:r>
              <w:rPr/>
              <w:t> </w:t>
            </w:r>
          </w:p>
        </w:tc>
        <w:tc>
          <w:tcPr>
            <w:tcW w:w="890" w:type="dxa"/>
            <w:tcBorders>
              <w:bottom w:val="single" w:sz="2" w:space="0" w:color="000000"/>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1,894,802</w:t>
            </w:r>
          </w:p>
        </w:tc>
        <w:tc>
          <w:tcPr>
            <w:tcW w:w="80" w:type="dxa"/>
            <w:tcBorders>
              <w:bottom w:val="single" w:sz="2" w:space="0" w:color="000000"/>
            </w:tcBorders>
            <w:shd w:fill="FFFFFF" w:val="clear"/>
            <w:tcMar>
              <w:top w:w="0" w:type="dxa"/>
            </w:tcMar>
            <w:vAlign w:val="center"/>
          </w:tcPr>
          <w:p>
            <w:pPr>
              <w:pStyle w:val="TableContents"/>
              <w:bidi w:val="0"/>
              <w:spacing w:before="0" w:after="283"/>
              <w:jc w:val="left"/>
              <w:rPr/>
            </w:pPr>
            <w:r>
              <w:rPr/>
              <w:t> </w:t>
            </w:r>
          </w:p>
        </w:tc>
      </w:tr>
      <w:tr>
        <w:trPr/>
        <w:tc>
          <w:tcPr>
            <w:tcW w:w="7475"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jc w:val="left"/>
              <w:rPr/>
            </w:pPr>
            <w:r>
              <w:rPr/>
              <w:t> </w:t>
            </w:r>
          </w:p>
        </w:tc>
        <w:tc>
          <w:tcPr>
            <w:tcW w:w="890" w:type="dxa"/>
            <w:tcBorders/>
            <w:shd w:fill="CCEEFF" w:val="clear"/>
            <w:tcMar>
              <w:top w:w="0" w:type="dxa"/>
              <w:bottom w:w="0" w:type="dxa"/>
            </w:tcMar>
            <w:vAlign w:val="center"/>
          </w:tcPr>
          <w:p>
            <w:pPr>
              <w:pStyle w:val="TableContents"/>
              <w:bidi w:val="0"/>
              <w:spacing w:before="0" w:after="283"/>
              <w:jc w:val="left"/>
              <w:rPr/>
            </w:pPr>
            <w:r>
              <w:rPr/>
              <w:t> </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jc w:val="left"/>
              <w:rPr/>
            </w:pPr>
            <w:r>
              <w:rPr/>
              <w:t> </w:t>
            </w:r>
          </w:p>
        </w:tc>
        <w:tc>
          <w:tcPr>
            <w:tcW w:w="890" w:type="dxa"/>
            <w:tcBorders/>
            <w:shd w:fill="CCEEFF" w:val="clear"/>
            <w:tcMar>
              <w:top w:w="0" w:type="dxa"/>
              <w:bottom w:w="0" w:type="dxa"/>
            </w:tcMar>
            <w:vAlign w:val="center"/>
          </w:tcPr>
          <w:p>
            <w:pPr>
              <w:pStyle w:val="TableContents"/>
              <w:bidi w:val="0"/>
              <w:spacing w:before="0" w:after="283"/>
              <w:jc w:val="left"/>
              <w:rPr/>
            </w:pPr>
            <w:r>
              <w:rPr/>
              <w:t> </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r>
      <w:tr>
        <w:trPr/>
        <w:tc>
          <w:tcPr>
            <w:tcW w:w="7475"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NET INCREASE IN CASH, CASH EQUIVALENTS AND RESTRICTED CASH</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890"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89,074</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890"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121,275</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r>
      <w:tr>
        <w:trPr/>
        <w:tc>
          <w:tcPr>
            <w:tcW w:w="7475" w:type="dxa"/>
            <w:tcBorders>
              <w:bottom w:val="single" w:sz="2" w:space="0" w:color="000000"/>
            </w:tcBorders>
            <w:shd w:fill="CCEE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CASH, CASH EQUIVALENTS AND RESTRICTED CASH, beginning of the period</w:t>
            </w:r>
          </w:p>
        </w:tc>
        <w:tc>
          <w:tcPr>
            <w:tcW w:w="60" w:type="dxa"/>
            <w:tcBorders>
              <w:bottom w:val="single" w:sz="2" w:space="0" w:color="000000"/>
            </w:tcBorders>
            <w:shd w:fill="CCEEFF" w:val="clear"/>
            <w:tcMar>
              <w:top w:w="0"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top w:w="0" w:type="dxa"/>
            </w:tcMar>
            <w:vAlign w:val="center"/>
          </w:tcPr>
          <w:p>
            <w:pPr>
              <w:pStyle w:val="TableContents"/>
              <w:bidi w:val="0"/>
              <w:spacing w:before="0" w:after="283"/>
              <w:ind w:left="0" w:right="0" w:hanging="0"/>
              <w:jc w:val="left"/>
              <w:rPr/>
            </w:pPr>
            <w:r>
              <w:rPr/>
              <w:t> </w:t>
            </w:r>
          </w:p>
        </w:tc>
        <w:tc>
          <w:tcPr>
            <w:tcW w:w="890" w:type="dxa"/>
            <w:tcBorders>
              <w:bottom w:val="single" w:sz="2" w:space="0" w:color="000000"/>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724,561</w:t>
            </w:r>
          </w:p>
        </w:tc>
        <w:tc>
          <w:tcPr>
            <w:tcW w:w="80" w:type="dxa"/>
            <w:tcBorders>
              <w:bottom w:val="single" w:sz="2" w:space="0" w:color="000000"/>
            </w:tcBorders>
            <w:shd w:fill="CCEEFF" w:val="clear"/>
            <w:tcMar>
              <w:top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top w:w="0" w:type="dxa"/>
            </w:tcMar>
            <w:vAlign w:val="center"/>
          </w:tcPr>
          <w:p>
            <w:pPr>
              <w:pStyle w:val="TableContents"/>
              <w:bidi w:val="0"/>
              <w:spacing w:before="0" w:after="283"/>
              <w:ind w:left="0" w:right="0" w:hanging="0"/>
              <w:jc w:val="left"/>
              <w:rPr/>
            </w:pPr>
            <w:r>
              <w:rPr/>
              <w:t> </w:t>
            </w:r>
          </w:p>
        </w:tc>
        <w:tc>
          <w:tcPr>
            <w:tcW w:w="890" w:type="dxa"/>
            <w:tcBorders>
              <w:bottom w:val="single" w:sz="2" w:space="0" w:color="000000"/>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335,053</w:t>
            </w:r>
          </w:p>
        </w:tc>
        <w:tc>
          <w:tcPr>
            <w:tcW w:w="80" w:type="dxa"/>
            <w:tcBorders>
              <w:bottom w:val="single" w:sz="2" w:space="0" w:color="000000"/>
            </w:tcBorders>
            <w:shd w:fill="CCEEFF" w:val="clear"/>
            <w:tcMar>
              <w:top w:w="0" w:type="dxa"/>
            </w:tcMar>
            <w:vAlign w:val="center"/>
          </w:tcPr>
          <w:p>
            <w:pPr>
              <w:pStyle w:val="TableContents"/>
              <w:bidi w:val="0"/>
              <w:spacing w:before="0" w:after="283"/>
              <w:jc w:val="left"/>
              <w:rPr/>
            </w:pPr>
            <w:r>
              <w:rPr/>
              <w:t> </w:t>
            </w:r>
          </w:p>
        </w:tc>
      </w:tr>
      <w:tr>
        <w:trPr/>
        <w:tc>
          <w:tcPr>
            <w:tcW w:w="7475" w:type="dxa"/>
            <w:tcBorders>
              <w:bottom w:val="double" w:sz="6" w:space="0" w:color="000000"/>
            </w:tcBorders>
            <w:shd w:fill="FFFF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CASH, CASH EQUIVALENTS AND RESTRICTED CASH, end of the period</w:t>
            </w:r>
          </w:p>
        </w:tc>
        <w:tc>
          <w:tcPr>
            <w:tcW w:w="60" w:type="dxa"/>
            <w:tcBorders>
              <w:bottom w:val="double" w:sz="6" w:space="0" w:color="000000"/>
            </w:tcBorders>
            <w:shd w:fill="FFFFFF" w:val="clear"/>
            <w:tcMar>
              <w:top w:w="0"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top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90" w:type="dxa"/>
            <w:tcBorders>
              <w:bottom w:val="double" w:sz="6" w:space="0" w:color="000000"/>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813,635</w:t>
            </w:r>
          </w:p>
        </w:tc>
        <w:tc>
          <w:tcPr>
            <w:tcW w:w="80" w:type="dxa"/>
            <w:tcBorders>
              <w:bottom w:val="double" w:sz="6" w:space="0" w:color="000000"/>
            </w:tcBorders>
            <w:shd w:fill="FFFFFF" w:val="clear"/>
            <w:tcMar>
              <w:top w:w="0"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top w:w="0"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top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90" w:type="dxa"/>
            <w:tcBorders>
              <w:bottom w:val="double" w:sz="6" w:space="0" w:color="000000"/>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456,328</w:t>
            </w:r>
          </w:p>
        </w:tc>
        <w:tc>
          <w:tcPr>
            <w:tcW w:w="80" w:type="dxa"/>
            <w:tcBorders>
              <w:bottom w:val="double" w:sz="6" w:space="0" w:color="000000"/>
            </w:tcBorders>
            <w:shd w:fill="FFFFFF" w:val="clear"/>
            <w:tcMar>
              <w:top w:w="0" w:type="dxa"/>
            </w:tcMar>
            <w:vAlign w:val="center"/>
          </w:tcPr>
          <w:p>
            <w:pPr>
              <w:pStyle w:val="TableContents"/>
              <w:bidi w:val="0"/>
              <w:spacing w:before="0" w:after="283"/>
              <w:jc w:val="left"/>
              <w:rPr/>
            </w:pPr>
            <w:r>
              <w:rPr/>
              <w:t> </w:t>
            </w:r>
          </w:p>
        </w:tc>
      </w:tr>
      <w:tr>
        <w:trPr/>
        <w:tc>
          <w:tcPr>
            <w:tcW w:w="7475"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jc w:val="left"/>
              <w:rPr/>
            </w:pPr>
            <w:r>
              <w:rPr/>
              <w:t> </w:t>
            </w:r>
          </w:p>
        </w:tc>
        <w:tc>
          <w:tcPr>
            <w:tcW w:w="890" w:type="dxa"/>
            <w:tcBorders/>
            <w:shd w:fill="CCEEFF" w:val="clear"/>
            <w:tcMar>
              <w:top w:w="0" w:type="dxa"/>
              <w:bottom w:w="0" w:type="dxa"/>
            </w:tcMar>
            <w:vAlign w:val="center"/>
          </w:tcPr>
          <w:p>
            <w:pPr>
              <w:pStyle w:val="TableContents"/>
              <w:bidi w:val="0"/>
              <w:spacing w:before="0" w:after="283"/>
              <w:jc w:val="left"/>
              <w:rPr/>
            </w:pPr>
            <w:r>
              <w:rPr/>
              <w:t> </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jc w:val="left"/>
              <w:rPr/>
            </w:pPr>
            <w:r>
              <w:rPr/>
              <w:t> </w:t>
            </w:r>
          </w:p>
        </w:tc>
        <w:tc>
          <w:tcPr>
            <w:tcW w:w="890" w:type="dxa"/>
            <w:tcBorders/>
            <w:shd w:fill="CCEEFF" w:val="clear"/>
            <w:tcMar>
              <w:top w:w="0" w:type="dxa"/>
              <w:bottom w:w="0" w:type="dxa"/>
            </w:tcMar>
            <w:vAlign w:val="center"/>
          </w:tcPr>
          <w:p>
            <w:pPr>
              <w:pStyle w:val="TableContents"/>
              <w:bidi w:val="0"/>
              <w:spacing w:before="0" w:after="283"/>
              <w:jc w:val="left"/>
              <w:rPr/>
            </w:pPr>
            <w:r>
              <w:rPr/>
              <w:t> </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r>
      <w:tr>
        <w:trPr/>
        <w:tc>
          <w:tcPr>
            <w:tcW w:w="7475"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SUPPLEMENTAL DISCLOSURE OF CASH FLOW INFORMATION:</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jc w:val="left"/>
              <w:rPr/>
            </w:pPr>
            <w:r>
              <w:rPr/>
              <w:t> </w:t>
            </w:r>
          </w:p>
        </w:tc>
        <w:tc>
          <w:tcPr>
            <w:tcW w:w="890" w:type="dxa"/>
            <w:tcBorders/>
            <w:shd w:fill="FFFFFF" w:val="clear"/>
            <w:tcMar>
              <w:top w:w="0" w:type="dxa"/>
              <w:bottom w:w="0" w:type="dxa"/>
            </w:tcMar>
            <w:vAlign w:val="center"/>
          </w:tcPr>
          <w:p>
            <w:pPr>
              <w:pStyle w:val="TableContents"/>
              <w:bidi w:val="0"/>
              <w:spacing w:before="0" w:after="283"/>
              <w:jc w:val="left"/>
              <w:rPr/>
            </w:pPr>
            <w:r>
              <w:rPr/>
              <w:t> </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jc w:val="left"/>
              <w:rPr/>
            </w:pPr>
            <w:r>
              <w:rPr/>
              <w:t> </w:t>
            </w:r>
          </w:p>
        </w:tc>
        <w:tc>
          <w:tcPr>
            <w:tcW w:w="890" w:type="dxa"/>
            <w:tcBorders/>
            <w:shd w:fill="FFFFFF" w:val="clear"/>
            <w:tcMar>
              <w:top w:w="0" w:type="dxa"/>
              <w:bottom w:w="0" w:type="dxa"/>
            </w:tcMar>
            <w:vAlign w:val="center"/>
          </w:tcPr>
          <w:p>
            <w:pPr>
              <w:pStyle w:val="TableContents"/>
              <w:bidi w:val="0"/>
              <w:spacing w:before="0" w:after="283"/>
              <w:jc w:val="left"/>
              <w:rPr/>
            </w:pPr>
            <w:r>
              <w:rPr/>
              <w:t> </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r>
      <w:tr>
        <w:trPr/>
        <w:tc>
          <w:tcPr>
            <w:tcW w:w="7475"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Cash paid during the period for:</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jc w:val="left"/>
              <w:rPr/>
            </w:pPr>
            <w:r>
              <w:rPr/>
              <w:t> </w:t>
            </w:r>
          </w:p>
        </w:tc>
        <w:tc>
          <w:tcPr>
            <w:tcW w:w="890" w:type="dxa"/>
            <w:tcBorders/>
            <w:shd w:fill="CCEEFF" w:val="clear"/>
            <w:tcMar>
              <w:top w:w="0" w:type="dxa"/>
              <w:bottom w:w="0" w:type="dxa"/>
            </w:tcMar>
            <w:vAlign w:val="center"/>
          </w:tcPr>
          <w:p>
            <w:pPr>
              <w:pStyle w:val="TableContents"/>
              <w:bidi w:val="0"/>
              <w:spacing w:before="0" w:after="283"/>
              <w:jc w:val="left"/>
              <w:rPr/>
            </w:pPr>
            <w:r>
              <w:rPr/>
              <w:t> </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jc w:val="left"/>
              <w:rPr/>
            </w:pPr>
            <w:r>
              <w:rPr/>
              <w:t> </w:t>
            </w:r>
          </w:p>
        </w:tc>
        <w:tc>
          <w:tcPr>
            <w:tcW w:w="890" w:type="dxa"/>
            <w:tcBorders/>
            <w:shd w:fill="CCEEFF" w:val="clear"/>
            <w:tcMar>
              <w:top w:w="0" w:type="dxa"/>
              <w:bottom w:w="0" w:type="dxa"/>
            </w:tcMar>
            <w:vAlign w:val="center"/>
          </w:tcPr>
          <w:p>
            <w:pPr>
              <w:pStyle w:val="TableContents"/>
              <w:bidi w:val="0"/>
              <w:spacing w:before="0" w:after="283"/>
              <w:jc w:val="left"/>
              <w:rPr/>
            </w:pPr>
            <w:r>
              <w:rPr/>
              <w:t> </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r>
      <w:tr>
        <w:trPr/>
        <w:tc>
          <w:tcPr>
            <w:tcW w:w="7475" w:type="dxa"/>
            <w:tcBorders/>
            <w:shd w:fill="FFFFFF" w:val="clear"/>
            <w:tcMar>
              <w:top w:w="0" w:type="dxa"/>
              <w:bottom w:w="0" w:type="dxa"/>
            </w:tcMar>
            <w:vAlign w:val="center"/>
          </w:tcPr>
          <w:p>
            <w:pPr>
              <w:pStyle w:val="TableContents"/>
              <w:bidi w:val="0"/>
              <w:spacing w:before="0" w:after="0"/>
              <w:ind w:left="360" w:right="0" w:hanging="0"/>
              <w:jc w:val="left"/>
              <w:rPr>
                <w:rFonts w:ascii="Times New Roman" w:hAnsi="Times New Roman"/>
                <w:caps w:val="false"/>
                <w:smallCaps w:val="false"/>
                <w:sz w:val="18"/>
              </w:rPr>
            </w:pPr>
            <w:r>
              <w:rPr>
                <w:rFonts w:ascii="Times New Roman" w:hAnsi="Times New Roman"/>
                <w:caps w:val="false"/>
                <w:smallCaps w:val="false"/>
                <w:sz w:val="18"/>
              </w:rPr>
              <w:t>Interest</w:t>
            </w:r>
          </w:p>
        </w:tc>
        <w:tc>
          <w:tcPr>
            <w:tcW w:w="60"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top w:w="0" w:type="dxa"/>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90"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187,113</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top w:w="0" w:type="dxa"/>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90"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127,414</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See Notes to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7" w:name="notes"/>
      <w:bookmarkEnd w:id="7"/>
      <w:r>
        <w:rPr>
          <w:rFonts w:ascii="Times New Roman" w:hAnsi="Times New Roman"/>
          <w:b/>
          <w:caps w:val="false"/>
          <w:smallCaps w:val="false"/>
          <w:sz w:val="20"/>
        </w:rPr>
        <w:t>ORCHID ISLAND CAPITAL,</w:t>
      </w:r>
      <w:r>
        <w:rPr>
          <w:rFonts w:ascii="Times New Roman" w:hAnsi="Times New Roman"/>
          <w:caps w:val="false"/>
          <w:smallCaps w:val="false"/>
          <w:sz w:val="20"/>
        </w:rPr>
        <w:t> </w:t>
      </w:r>
      <w:r>
        <w:rPr>
          <w:rFonts w:ascii="Times New Roman" w:hAnsi="Times New Roman"/>
          <w:b/>
          <w:caps w:val="false"/>
          <w:smallCaps w:val="false"/>
          <w:sz w:val="20"/>
        </w:rPr>
        <w:t>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FINANCIAL STATEMENTS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 2026</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w:t>
      </w:r>
      <w:r>
        <w:rPr>
          <w:rFonts w:ascii="Times New Roman" w:hAnsi="Times New Roman"/>
          <w:b/>
          <w:caps w:val="false"/>
          <w:smallCaps w:val="false"/>
          <w:sz w:val="20"/>
        </w:rPr>
        <w:t xml:space="preserve"> ORGANIZATION AND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Organization and Business Description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Orchid Island Capital, Inc. (“Orchid” or the “Company”) was incorporated in Maryland on </w:t>
      </w:r>
      <w:r>
        <w:rPr>
          <w:rStyle w:val="Emphasis"/>
          <w:rFonts w:ascii="Times New Roman" w:hAnsi="Times New Roman"/>
          <w:caps w:val="false"/>
          <w:smallCaps w:val="false"/>
          <w:sz w:val="20"/>
        </w:rPr>
        <w:t xml:space="preserve">August 17, 2010 </w:t>
      </w:r>
      <w:r>
        <w:rPr>
          <w:rFonts w:ascii="Times New Roman" w:hAnsi="Times New Roman"/>
          <w:caps w:val="false"/>
          <w:smallCaps w:val="false"/>
          <w:sz w:val="20"/>
        </w:rPr>
        <w:t xml:space="preserve">for the purpose of creating and managing a leveraged investment portfolio consisting of residential mortgage-backed securities (“RMBS”).  From incorporation to the completion of Orchid’s initial public offering of its common stock on </w:t>
      </w:r>
      <w:r>
        <w:rPr>
          <w:rStyle w:val="Emphasis"/>
          <w:rFonts w:ascii="Times New Roman" w:hAnsi="Times New Roman"/>
          <w:caps w:val="false"/>
          <w:smallCaps w:val="false"/>
          <w:sz w:val="20"/>
        </w:rPr>
        <w:t xml:space="preserve">February 20, 2013, </w:t>
      </w:r>
      <w:r>
        <w:rPr>
          <w:rFonts w:ascii="Times New Roman" w:hAnsi="Times New Roman"/>
          <w:caps w:val="false"/>
          <w:smallCaps w:val="false"/>
          <w:sz w:val="20"/>
        </w:rPr>
        <w:t xml:space="preserve">Orchid was a wholly owned subsidiary of Bimini Capital Management, Inc. (“Bimini”).  Orchid began operations on </w:t>
      </w:r>
      <w:r>
        <w:rPr>
          <w:rStyle w:val="Emphasis"/>
          <w:rFonts w:ascii="Times New Roman" w:hAnsi="Times New Roman"/>
          <w:caps w:val="false"/>
          <w:smallCaps w:val="false"/>
          <w:sz w:val="20"/>
        </w:rPr>
        <w:t>November 24, 2010 (</w:t>
      </w:r>
      <w:r>
        <w:rPr>
          <w:rFonts w:ascii="Times New Roman" w:hAnsi="Times New Roman"/>
          <w:caps w:val="false"/>
          <w:smallCaps w:val="false"/>
          <w:sz w:val="20"/>
        </w:rPr>
        <w:t xml:space="preserve">the date of commencement of operations).  From incorporation through </w:t>
      </w:r>
      <w:r>
        <w:rPr>
          <w:rStyle w:val="Emphasis"/>
          <w:rFonts w:ascii="Times New Roman" w:hAnsi="Times New Roman"/>
          <w:caps w:val="false"/>
          <w:smallCaps w:val="false"/>
          <w:sz w:val="20"/>
        </w:rPr>
        <w:t xml:space="preserve">November 24, 2010, </w:t>
      </w:r>
      <w:r>
        <w:rPr>
          <w:rFonts w:ascii="Times New Roman" w:hAnsi="Times New Roman"/>
          <w:caps w:val="false"/>
          <w:smallCaps w:val="false"/>
          <w:sz w:val="20"/>
        </w:rPr>
        <w:t>Orchid’s only activity was the issuance of common stock to Bimini.</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shd w:fill="FFFFFF" w:val="clear"/>
        </w:rPr>
        <w:t xml:space="preserve">On </w:t>
      </w:r>
      <w:r>
        <w:rPr>
          <w:rStyle w:val="Emphasis"/>
          <w:rFonts w:ascii="Times New Roman" w:hAnsi="Times New Roman"/>
          <w:caps w:val="false"/>
          <w:smallCaps w:val="false"/>
          <w:sz w:val="20"/>
          <w:shd w:fill="FFFFFF" w:val="clear"/>
        </w:rPr>
        <w:t xml:space="preserve">June 11, 2024, </w:t>
      </w:r>
      <w:r>
        <w:rPr>
          <w:rFonts w:ascii="Times New Roman" w:hAnsi="Times New Roman"/>
          <w:caps w:val="false"/>
          <w:smallCaps w:val="false"/>
          <w:sz w:val="20"/>
          <w:shd w:fill="FFFFFF" w:val="clear"/>
        </w:rPr>
        <w:t xml:space="preserve">Orchid entered into an equity distribution agreement (the </w:t>
      </w:r>
      <w:r>
        <w:rPr>
          <w:rStyle w:val="Emphasis"/>
          <w:rFonts w:ascii="Times New Roman" w:hAnsi="Times New Roman"/>
          <w:caps w:val="false"/>
          <w:smallCaps w:val="false"/>
          <w:sz w:val="20"/>
          <w:shd w:fill="FFFFFF" w:val="clear"/>
        </w:rPr>
        <w:t>“June 2024 </w:t>
      </w:r>
      <w:r>
        <w:rPr>
          <w:rFonts w:ascii="Times New Roman" w:hAnsi="Times New Roman"/>
          <w:caps w:val="false"/>
          <w:smallCaps w:val="false"/>
          <w:sz w:val="20"/>
          <w:shd w:fill="FFFFFF" w:val="clear"/>
        </w:rPr>
        <w:t xml:space="preserve">Equity Distribution Agreement”) with </w:t>
      </w:r>
      <w:r>
        <w:rPr>
          <w:rStyle w:val="Emphasis"/>
          <w:rFonts w:ascii="Times New Roman" w:hAnsi="Times New Roman"/>
          <w:caps w:val="false"/>
          <w:smallCaps w:val="false"/>
          <w:sz w:val="20"/>
          <w:shd w:fill="FFFFFF" w:val="clear"/>
        </w:rPr>
        <w:t>three</w:t>
      </w:r>
      <w:r>
        <w:rPr>
          <w:rFonts w:ascii="Times New Roman" w:hAnsi="Times New Roman"/>
          <w:caps w:val="false"/>
          <w:smallCaps w:val="false"/>
          <w:sz w:val="20"/>
          <w:shd w:fill="FFFFFF" w:val="clear"/>
        </w:rPr>
        <w:t xml:space="preserve"> sales agents pursuant to which the Company could offer and sell, from time to time, up to an aggregate amount of $250,000,000 of gross proceeds from the sales of shares of the Company’s common stock in transactions that were deemed to be “at the market” offerings and privately negotiated transactions. The Company issued a total of 30,513,253 shares under the </w:t>
      </w:r>
      <w:r>
        <w:rPr>
          <w:rStyle w:val="Emphasis"/>
          <w:rFonts w:ascii="Times New Roman" w:hAnsi="Times New Roman"/>
          <w:caps w:val="false"/>
          <w:smallCaps w:val="false"/>
          <w:sz w:val="20"/>
          <w:shd w:fill="FFFFFF" w:val="clear"/>
        </w:rPr>
        <w:t xml:space="preserve">June 2024 </w:t>
      </w:r>
      <w:r>
        <w:rPr>
          <w:rFonts w:ascii="Times New Roman" w:hAnsi="Times New Roman"/>
          <w:caps w:val="false"/>
          <w:smallCaps w:val="false"/>
          <w:sz w:val="20"/>
          <w:shd w:fill="FFFFFF" w:val="clear"/>
        </w:rPr>
        <w:t xml:space="preserve">Equity Distribution Agreement for aggregate gross proceeds of approximately $250.0 million and net proceeds of approximately $245.8 million, after commissions and fees, prior to its termination in </w:t>
      </w:r>
      <w:r>
        <w:rPr>
          <w:rStyle w:val="Emphasis"/>
          <w:rFonts w:ascii="Times New Roman" w:hAnsi="Times New Roman"/>
          <w:caps w:val="false"/>
          <w:smallCaps w:val="false"/>
          <w:sz w:val="20"/>
          <w:shd w:fill="FFFFFF" w:val="clear"/>
        </w:rPr>
        <w:t>February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24, 2025, </w:t>
      </w:r>
      <w:r>
        <w:rPr>
          <w:rFonts w:ascii="Times New Roman" w:hAnsi="Times New Roman"/>
          <w:caps w:val="false"/>
          <w:smallCaps w:val="false"/>
          <w:sz w:val="20"/>
        </w:rPr>
        <w:t xml:space="preserve">Orchid entered into an equity distribution agreement (the </w:t>
      </w:r>
      <w:r>
        <w:rPr>
          <w:rStyle w:val="Emphasis"/>
          <w:rFonts w:ascii="Times New Roman" w:hAnsi="Times New Roman"/>
          <w:caps w:val="false"/>
          <w:smallCaps w:val="false"/>
          <w:sz w:val="20"/>
        </w:rPr>
        <w:t xml:space="preserve">“February 2025 </w:t>
      </w:r>
      <w:r>
        <w:rPr>
          <w:rFonts w:ascii="Times New Roman" w:hAnsi="Times New Roman"/>
          <w:caps w:val="false"/>
          <w:smallCaps w:val="false"/>
          <w:sz w:val="20"/>
        </w:rPr>
        <w:t xml:space="preserve">Equity Distribution Agreement”) with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sales agents pursuant to which the Company could offer and sell, from time to time, up to an aggregate amount of $350,000,000 of gross proceeds from the sales of shares of the Company’s common stock in transactions that were deemed to be “at the market” offerings and privately negotiated transactions. On </w:t>
      </w:r>
      <w:r>
        <w:rPr>
          <w:rStyle w:val="Emphasis"/>
          <w:rFonts w:ascii="Times New Roman" w:hAnsi="Times New Roman"/>
          <w:caps w:val="false"/>
          <w:smallCaps w:val="false"/>
          <w:sz w:val="20"/>
        </w:rPr>
        <w:t xml:space="preserve"> July 28, 2025,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 xml:space="preserve">February 2025 </w:t>
      </w:r>
      <w:r>
        <w:rPr>
          <w:rFonts w:ascii="Times New Roman" w:hAnsi="Times New Roman"/>
          <w:caps w:val="false"/>
          <w:smallCaps w:val="false"/>
          <w:sz w:val="20"/>
        </w:rPr>
        <w:t xml:space="preserve">Equity Distribution Agreement was amended to increase the aggregate amount of gross proceeds from the sales of shares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offered by $150,000,000 to a total of $500,000,000. The Company issued a total of 59,492,504 shares under the </w:t>
      </w:r>
      <w:r>
        <w:rPr>
          <w:rStyle w:val="Emphasis"/>
          <w:rFonts w:ascii="Times New Roman" w:hAnsi="Times New Roman"/>
          <w:caps w:val="false"/>
          <w:smallCaps w:val="false"/>
          <w:sz w:val="20"/>
        </w:rPr>
        <w:t>February 2025 </w:t>
      </w:r>
      <w:r>
        <w:rPr>
          <w:rFonts w:ascii="Times New Roman" w:hAnsi="Times New Roman"/>
          <w:caps w:val="false"/>
          <w:smallCaps w:val="false"/>
          <w:sz w:val="20"/>
        </w:rPr>
        <w:t xml:space="preserve">Equity Distribution Agreement for aggregate gross proceeds of approximately $445.1 million and net proceeds of approximately $438.0 million, after commissions and fees, prior to its termination in </w:t>
      </w:r>
      <w:r>
        <w:rPr>
          <w:rStyle w:val="Emphasis"/>
          <w:rFonts w:ascii="Times New Roman" w:hAnsi="Times New Roman"/>
          <w:caps w:val="false"/>
          <w:smallCaps w:val="false"/>
          <w:sz w:val="20"/>
        </w:rPr>
        <w:t>October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shd w:fill="FFFFFF" w:val="clear"/>
        </w:rPr>
        <w:t xml:space="preserve">On </w:t>
      </w:r>
      <w:r>
        <w:rPr>
          <w:rStyle w:val="Emphasis"/>
          <w:rFonts w:ascii="Times New Roman" w:hAnsi="Times New Roman"/>
          <w:caps w:val="false"/>
          <w:smallCaps w:val="false"/>
          <w:sz w:val="20"/>
          <w:shd w:fill="FFFFFF" w:val="clear"/>
        </w:rPr>
        <w:t xml:space="preserve">October 27, 2025, </w:t>
      </w:r>
      <w:r>
        <w:rPr>
          <w:rFonts w:ascii="Times New Roman" w:hAnsi="Times New Roman"/>
          <w:caps w:val="false"/>
          <w:smallCaps w:val="false"/>
          <w:sz w:val="20"/>
          <w:shd w:fill="FFFFFF" w:val="clear"/>
        </w:rPr>
        <w:t xml:space="preserve">Orchid entered into an equity distribution agreement (the </w:t>
      </w:r>
      <w:r>
        <w:rPr>
          <w:rStyle w:val="Emphasis"/>
          <w:rFonts w:ascii="Times New Roman" w:hAnsi="Times New Roman"/>
          <w:caps w:val="false"/>
          <w:smallCaps w:val="false"/>
          <w:sz w:val="20"/>
          <w:shd w:fill="FFFFFF" w:val="clear"/>
        </w:rPr>
        <w:t xml:space="preserve">“October 2025 </w:t>
      </w:r>
      <w:r>
        <w:rPr>
          <w:rFonts w:ascii="Times New Roman" w:hAnsi="Times New Roman"/>
          <w:caps w:val="false"/>
          <w:smallCaps w:val="false"/>
          <w:sz w:val="20"/>
          <w:shd w:fill="FFFFFF" w:val="clear"/>
        </w:rPr>
        <w:t xml:space="preserve">Equity Distribution Agreement”) with </w:t>
      </w:r>
      <w:r>
        <w:rPr>
          <w:rStyle w:val="Emphasis"/>
          <w:rFonts w:ascii="Times New Roman" w:hAnsi="Times New Roman"/>
          <w:caps w:val="false"/>
          <w:smallCaps w:val="false"/>
          <w:sz w:val="20"/>
          <w:shd w:fill="FFFFFF" w:val="clear"/>
        </w:rPr>
        <w:t>four</w:t>
      </w:r>
      <w:r>
        <w:rPr>
          <w:rFonts w:ascii="Times New Roman" w:hAnsi="Times New Roman"/>
          <w:caps w:val="false"/>
          <w:smallCaps w:val="false"/>
          <w:sz w:val="20"/>
          <w:shd w:fill="FFFFFF" w:val="clear"/>
        </w:rPr>
        <w:t xml:space="preserve"> sales agents pursuant to which the Company </w:t>
      </w:r>
      <w:r>
        <w:rPr>
          <w:rStyle w:val="Emphasis"/>
          <w:rFonts w:ascii="Times New Roman" w:hAnsi="Times New Roman"/>
          <w:caps w:val="false"/>
          <w:smallCaps w:val="false"/>
          <w:sz w:val="20"/>
          <w:shd w:fill="FFFFFF" w:val="clear"/>
        </w:rPr>
        <w:t xml:space="preserve">may </w:t>
      </w:r>
      <w:r>
        <w:rPr>
          <w:rFonts w:ascii="Times New Roman" w:hAnsi="Times New Roman"/>
          <w:caps w:val="false"/>
          <w:smallCaps w:val="false"/>
          <w:sz w:val="20"/>
          <w:shd w:fill="FFFFFF" w:val="clear"/>
        </w:rPr>
        <w:t xml:space="preserve">offer and sell, from time to time, up to an aggregate amount of $500,000,000 of gross proceeds from the sales of shares of the Company’s common stock in transactions that are deemed to be “at the market” offerings and privately negotiated transactions. From inception through </w:t>
      </w:r>
      <w:r>
        <w:rPr>
          <w:rStyle w:val="Emphasis"/>
          <w:rFonts w:ascii="Times New Roman" w:hAnsi="Times New Roman"/>
          <w:caps w:val="false"/>
          <w:smallCaps w:val="false"/>
          <w:sz w:val="20"/>
        </w:rPr>
        <w:t>June 30, 2026</w:t>
      </w:r>
      <w:r>
        <w:rPr>
          <w:rFonts w:ascii="Times New Roman" w:hAnsi="Times New Roman"/>
          <w:caps w:val="false"/>
          <w:smallCaps w:val="false"/>
          <w:sz w:val="20"/>
        </w:rPr>
        <w:t>, t</w:t>
      </w:r>
      <w:r>
        <w:rPr>
          <w:rFonts w:ascii="Times New Roman" w:hAnsi="Times New Roman"/>
          <w:caps w:val="false"/>
          <w:smallCaps w:val="false"/>
          <w:sz w:val="20"/>
          <w:shd w:fill="FFFFFF" w:val="clear"/>
        </w:rPr>
        <w:t xml:space="preserve">he Company issued a total of 48,824,644 shares under the </w:t>
      </w:r>
      <w:r>
        <w:rPr>
          <w:rStyle w:val="Emphasis"/>
          <w:rFonts w:ascii="Times New Roman" w:hAnsi="Times New Roman"/>
          <w:caps w:val="false"/>
          <w:smallCaps w:val="false"/>
          <w:sz w:val="20"/>
          <w:shd w:fill="FFFFFF" w:val="clear"/>
        </w:rPr>
        <w:t xml:space="preserve">October 2025 </w:t>
      </w:r>
      <w:r>
        <w:rPr>
          <w:rFonts w:ascii="Times New Roman" w:hAnsi="Times New Roman"/>
          <w:caps w:val="false"/>
          <w:smallCaps w:val="false"/>
          <w:sz w:val="20"/>
          <w:shd w:fill="FFFFFF" w:val="clear"/>
        </w:rPr>
        <w:t xml:space="preserve">Equity Distribution Agreement for aggregate gross proceeds of approximately $360.9 million, and net proceeds of approximately $355.2 million, after commissions and fees. For the </w:t>
      </w:r>
      <w:r>
        <w:rPr>
          <w:rStyle w:val="Emphasis"/>
          <w:rFonts w:ascii="Times New Roman" w:hAnsi="Times New Roman"/>
          <w:caps w:val="false"/>
          <w:smallCaps w:val="false"/>
          <w:sz w:val="20"/>
          <w:shd w:fill="FFFFFF" w:val="clear"/>
        </w:rPr>
        <w:t>six</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t</w:t>
      </w:r>
      <w:r>
        <w:rPr>
          <w:rFonts w:ascii="Times New Roman" w:hAnsi="Times New Roman"/>
          <w:caps w:val="false"/>
          <w:smallCaps w:val="false"/>
          <w:sz w:val="20"/>
          <w:shd w:fill="FFFFFF" w:val="clear"/>
        </w:rPr>
        <w:t xml:space="preserve">he Company issued a total of 18,558,681 shares under the </w:t>
      </w:r>
      <w:r>
        <w:rPr>
          <w:rStyle w:val="Emphasis"/>
          <w:rFonts w:ascii="Times New Roman" w:hAnsi="Times New Roman"/>
          <w:caps w:val="false"/>
          <w:smallCaps w:val="false"/>
          <w:sz w:val="20"/>
          <w:shd w:fill="FFFFFF" w:val="clear"/>
        </w:rPr>
        <w:t xml:space="preserve">October 2025 </w:t>
      </w:r>
      <w:r>
        <w:rPr>
          <w:rFonts w:ascii="Times New Roman" w:hAnsi="Times New Roman"/>
          <w:caps w:val="false"/>
          <w:smallCaps w:val="false"/>
          <w:sz w:val="20"/>
          <w:shd w:fill="FFFFFF" w:val="clear"/>
        </w:rPr>
        <w:t>Equity Distribution Agreement for aggregate gross proceeds of approximately $137.7 million, and net proceeds of approximately $135.5 million, after commissions and fees.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Basis of Presentation and Use of Estimates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accompanying unaudited financial statements have been prepared in accordance with accounting principles generally accepted in the United States (“GAAP”) for interim financial information and with the instructions to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-Q and Article </w:t>
      </w:r>
      <w:r>
        <w:rPr>
          <w:rStyle w:val="Emphasis"/>
          <w:rFonts w:ascii="Times New Roman" w:hAnsi="Times New Roman"/>
          <w:caps w:val="false"/>
          <w:smallCaps w:val="false"/>
          <w:sz w:val="20"/>
        </w:rPr>
        <w:t>10</w:t>
      </w:r>
      <w:r>
        <w:rPr>
          <w:rFonts w:ascii="Times New Roman" w:hAnsi="Times New Roman"/>
          <w:caps w:val="false"/>
          <w:smallCaps w:val="false"/>
          <w:sz w:val="20"/>
        </w:rPr>
        <w:t> of Regulation S-</w:t>
      </w:r>
      <w:r>
        <w:rPr>
          <w:rStyle w:val="Emphasis"/>
          <w:rFonts w:ascii="Times New Roman" w:hAnsi="Times New Roman"/>
          <w:caps w:val="false"/>
          <w:smallCaps w:val="false"/>
          <w:sz w:val="20"/>
        </w:rPr>
        <w:t>X.</w:t>
      </w:r>
      <w:r>
        <w:rPr>
          <w:rFonts w:ascii="Times New Roman" w:hAnsi="Times New Roman"/>
          <w:caps w:val="false"/>
          <w:smallCaps w:val="false"/>
          <w:sz w:val="20"/>
        </w:rPr>
        <w:t xml:space="preserve"> Accordingly, they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all of the information and footnotes required by GAAP for complete financial statements. In the opinion of management, all adjustments (consisting of normal recurring accruals) considered necessary for a fair statement of results for the interim period have been included. Operating results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-month periods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the results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expected for the year ending </w:t>
      </w:r>
      <w:r>
        <w:rPr>
          <w:rStyle w:val="Emphasis"/>
          <w:rFonts w:ascii="Times New Roman" w:hAnsi="Times New Roman"/>
          <w:caps w:val="false"/>
          <w:smallCaps w:val="false"/>
          <w:sz w:val="20"/>
        </w:rPr>
        <w:t>December 31, 2026</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The balance sheet at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has been derived from the audited financial statements at that date but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all of the information and footnotes required by GAAP for complete financial statements. For further information, refer to the financial statements and footnotes thereto included in the Company’s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for the year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360"/>
        <w:jc w:val="left"/>
        <w:rPr/>
      </w:pPr>
      <w:r>
        <w:rPr>
          <w:rFonts w:ascii="Times New Roman" w:hAnsi="Times New Roman"/>
          <w:caps w:val="false"/>
          <w:smallCaps w:val="false"/>
          <w:sz w:val="20"/>
        </w:rPr>
        <w:t xml:space="preserve">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significantly differ from those estimates. The significant estimates affecting the accompanying financial statements are the fair values of RMBS and derivatives. Management believes the estimates and assumptions underlying the financial statements are reasonable based on the information available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Variable Interest Entities (</w:t>
      </w:r>
      <w:r>
        <w:rPr>
          <w:rFonts w:ascii="Times New Roman" w:hAnsi="Times New Roman"/>
          <w:caps w:val="false"/>
          <w:smallCaps w:val="false"/>
          <w:sz w:val="20"/>
        </w:rPr>
        <w:t>“</w:t>
      </w:r>
      <w:r>
        <w:rPr>
          <w:rFonts w:ascii="Times New Roman" w:hAnsi="Times New Roman"/>
          <w:b/>
          <w:caps w:val="false"/>
          <w:smallCaps w:val="false"/>
          <w:sz w:val="20"/>
        </w:rPr>
        <w:t>VIEs</w:t>
      </w:r>
      <w:r>
        <w:rPr>
          <w:rFonts w:ascii="Times New Roman" w:hAnsi="Times New Roman"/>
          <w:caps w:val="false"/>
          <w:smallCaps w:val="false"/>
          <w:sz w:val="20"/>
        </w:rPr>
        <w:t>”</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Company obtains interests in VIEs through its investments in mortgage-backed securities. The Company’s interests in these VIEs are passive in nature and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expected to result in the Company obtaining a controlling financial interest in these VIEs in the future. As a result,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consolidate these VIEs and accounts for these interests in these VIEs as mortgage-backed securities. See Note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for additional information regarding the Company’s investments in mortgage-backed securities. The maximum exposure to loss for these VIEs is the carrying value of the mortgage-backed securities.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b/>
          <w:caps w:val="false"/>
          <w:smallCaps w:val="false"/>
          <w:sz w:val="20"/>
        </w:rPr>
      </w:pPr>
      <w:r>
        <w:rPr>
          <w:rFonts w:ascii="Times New Roman" w:hAnsi="Times New Roman"/>
          <w:b/>
          <w:caps w:val="false"/>
          <w:smallCaps w:val="false"/>
          <w:sz w:val="20"/>
        </w:rPr>
        <w:t>Cash and Cash Equivalents and Restricted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Cash and cash equivalents include cash on deposit with financial institutions and highly liquid investments with original maturities of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or less at the time of purchase. Restricted cash includes cash pledged as collateral for repurchase agreements and other borrowings, and interest rate swaps and other derivative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following table provides a reconciliation of cash, cash equivalents, and restricted cash reported within the statement of financial position that sum to the total of the same such amounts shown in the statement of cash flows.</w:t>
      </w:r>
    </w:p>
    <w:p>
      <w:pPr>
        <w:pStyle w:val="TextBody"/>
        <w:bidi w:val="0"/>
        <w:spacing w:before="0" w:after="0"/>
        <w:ind w:left="0" w:right="0" w:hanging="0"/>
        <w:jc w:val="left"/>
        <w:rPr>
          <w:caps w:val="false"/>
          <w:smallCaps w:val="false"/>
        </w:rPr>
      </w:pPr>
      <w:r>
        <w:rPr>
          <w:caps w:val="false"/>
          <w:smallCaps w:val="false"/>
        </w:rPr>
        <w:t> </w:t>
      </w:r>
    </w:p>
    <w:tbl>
      <w:tblPr>
        <w:tblW w:w="6403" w:type="dxa"/>
        <w:jc w:val="left"/>
        <w:tblInd w:w="0" w:type="dxa"/>
        <w:tblLayout w:type="fixed"/>
        <w:tblCellMar>
          <w:top w:w="0" w:type="dxa"/>
          <w:left w:w="0" w:type="dxa"/>
          <w:bottom w:w="28" w:type="dxa"/>
          <w:right w:w="0" w:type="dxa"/>
        </w:tblCellMar>
      </w:tblPr>
      <w:tblGrid>
        <w:gridCol w:w="3665"/>
        <w:gridCol w:w="60"/>
        <w:gridCol w:w="164"/>
        <w:gridCol w:w="905"/>
        <w:gridCol w:w="60"/>
        <w:gridCol w:w="60"/>
        <w:gridCol w:w="219"/>
        <w:gridCol w:w="1210"/>
        <w:gridCol w:w="60"/>
      </w:tblGrid>
      <w:tr>
        <w:trPr/>
        <w:tc>
          <w:tcPr>
            <w:tcW w:w="366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vAlign w:val="center"/>
          </w:tcPr>
          <w:p>
            <w:pPr>
              <w:pStyle w:val="TableContents"/>
              <w:bidi w:val="0"/>
              <w:spacing w:before="0" w:after="283"/>
              <w:jc w:val="left"/>
              <w:rPr/>
            </w:pPr>
            <w:r>
              <w:rPr/>
              <w:t> </w:t>
            </w:r>
          </w:p>
        </w:tc>
        <w:tc>
          <w:tcPr>
            <w:tcW w:w="90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19" w:type="dxa"/>
            <w:tcBorders>
              <w:bottom w:val="single" w:sz="2" w:space="0" w:color="000000"/>
            </w:tcBorders>
            <w:shd w:fill="FFFFFF" w:val="clear"/>
            <w:vAlign w:val="center"/>
          </w:tcPr>
          <w:p>
            <w:pPr>
              <w:pStyle w:val="TableContents"/>
              <w:bidi w:val="0"/>
              <w:spacing w:before="0" w:after="283"/>
              <w:jc w:val="left"/>
              <w:rPr/>
            </w:pPr>
            <w:r>
              <w:rPr/>
              <w:t> </w:t>
            </w:r>
          </w:p>
        </w:tc>
        <w:tc>
          <w:tcPr>
            <w:tcW w:w="121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66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6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June 30, 2026</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42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December 31, 2025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66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Cash and cash equivalents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64"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90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682,598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19"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121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665,865</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66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Restricted cash</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131,037</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1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21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58,696</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665" w:type="dxa"/>
            <w:tcBorders>
              <w:bottom w:val="double" w:sz="6" w:space="0" w:color="000000"/>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Total cash, cash equivalents and restricted cash</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90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813,635</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19"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121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724,561</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Company maintains cash balances at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banks, an overnight cash sweep position backed by Federal Deposit Insurance Corporation ("FDIC") insured deposit balances at participating banks, a government securities backed overnight sweep fund, and excess margin on account with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exchange clearing members. At times, balances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exceed federally insured limits. The Company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experienced any losses related to these balances. Restricted cash balances are uninsured, but are held in separate customer accounts that are segregated from the general funds of the counterparty. The Company limits uninsured balances to only large, well-known banks and exchange clearing members and believes that it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exposed to any significant credit risk on cash and cash equivalents or restricted cash balances.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Mortgage-Backed Securities and U.S. Treasury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Company invests primarily in mortgage pass-through (“PT”) residential mortgage backed securities (“RMBS”) and collateralized mortgage obligations (“CMOs”) issued by Freddie Mac, Fannie Mae or Ginnie Mae, interest-only (“IO”) securities and inverse interest-only (“IIO”) securities representing interest in or obligations backed by pools of RMBS. The Company refers to RMBS and CMOs as PT RMBS. The Company refers to IO and IIO securities as structured RMBS. The Company also invests in U.S. Treasury Notes ("T-Notes") and U.S. Treasury Bills (collectively, "U.S. Treasury securities"), primarily to satisfy collateral requirements of derivative counterparties. The Company has elected to account for its investment in RMBS under the fair value option. The Company recorded changes in fair value in net income. The Company has designated its U.S. Treasury securities as available-for-sale, and changes in fair value during the period for reasons other than expected credit losses are recognized in other comprehensive income (loss).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Company records securities transactions on the trade date. Security purchases that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settled as of the balance sheet date are included in the portfolio balance with an offsetting liability recorded, whereas securities sold that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settled as of the balance sheet date are removed from the portfolio balance with an offsetting receivable recorded.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360"/>
        <w:jc w:val="left"/>
        <w:rPr/>
      </w:pPr>
      <w:r>
        <w:rPr>
          <w:rFonts w:ascii="Times New Roman" w:hAnsi="Times New Roman"/>
          <w:caps w:val="false"/>
          <w:smallCaps w:val="false"/>
          <w:sz w:val="20"/>
        </w:rPr>
        <w:t xml:space="preserve">Fair value is defined as the price that would be received to sell the asset or paid to transfer the liability in an orderly transaction between market participants at the measurement date. The fair value measurement assumes that the transaction to sell the asset or transfer the liability either occurs in the principal market for the asset or liability, or in the absence of a principal market, occurs in the most advantageous market for the asset or liability. Estimated fair values for RMBS are based on independent pricing sources and/or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party broker quotes, when available. Estimated fair values for U.S. Treasury securities are based on quoted prices for identical assets in active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Income on PT RMBS is based on the stated interest rate of the security. Premiums or discounts present at the date of purchase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amortized. Premium lost and discount accretion resulting from monthly principal repayments are reflected in unrealized gains (losses) on RMBS in the statements of comprehensive income (loss). For IO securities, the income is accrued based on the carrying value and the effective yield. The difference between income accrued and the interest received on the security is characterized as a return of investment and serves to reduce the asset’s carrying value. At each reporting date, the effective yield is adjusted prospectively for future reporting periods based on the new estimate of prepayments and the contractual terms of the security. For IIO securities, effective yield and income recognition calculations also take into account the index value applicable to the security. Income on U.S. Treasury securities is based on the stated interest rate (if any) of the security. Premiums or discounts associated with the purchase are amortized or accreted income over the life of the investment and reported in the statements of comprehensive income (loss) as interest income.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Changes in fair value of investments for which the fair value option is elected are recorded in earnings and reported as unrealized gains or losses on mortgage-backed securities and U.S. Treasury securities in the accompanying statements of comprehensive income (loss). Realized gains and losses on sales of investments for which the fair value option has been elected, using the specific identification method, are reported as a separate component of net portfolio income on the statements of comprehensive income (loss). Changes in fair value of U.S. Treasury securities that are classified as available-for-sale are reported in accumulated other comprehensive income (loss) ("OCI"). Upon the sale of a security designated as available-for-sale, we determine the cost of the security and the amount of unrealized gain or loss to reclassify out of accumulated OCI into earnings based on the specific identification method.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Company evaluated securities for allowance for credit losses and since all of the Company's available-for-sale securities designated investments consist of U.S. Treasury securities, which are backed by the full faith and credit of the U.S. government,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record an allowance for credit losses.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Derivative and Other Hedging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Company uses derivative and other hedging instruments to manage interest rate risk, facilitate asset/liability strategies and manage other exposures, and it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continue to do so in the future. The principal instruments that the Company has used to date are T-Note, Secured Overnight Financing Rate ("SOFR"),  federal funds (“Fed Funds”) and ERIS SOFR Swap futures contracts, short positions in U.S. Treasury securities, interest rate swaps, options to enter in interest rate swaps (“interest rate swaptions”), dual digital options, interest rate caps and floors, and “to-be-announced” (“TBA”) securities transactions, but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enter into other derivative and other hedging instruments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Company accounts for TBA securities as derivative instruments. Gains and losses associated with TBA securities transactions are reported in gain (loss) on derivative instruments in the accompanying statements of comprehensive income (loss).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Company enters into short-sales of U.S. Treasury securities by borrowing the securities under reverse repurchase agreements and selling them into the market. The Company accounts for these as securities borrowing transactions and recognizes an obligation to return the borrowed securities at fair value on our accompanying balance sheets based on the value of the underlying U.S. Treasury security as of the reporting date. Gains and losses associated with U.S. Treasury security short positions are recognized in gain (loss) on derivative instruments, net in our statements of comprehensive income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Derivative and other hedging instruments are carried at fair value, and changes in fair value are recorded in income as gains or losses on derivative and other hedging instruments for each period. The Company’s derivative financial instruments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designated as hedge accounting relationships, but rather are used as economic hedges of its portfolio assets and liabilities. Gains and losses on derivatives, except those that result in cash receipts or payments, are included in operating activities on the statements of cash flows. Cash payments and cash receipts from settlements of derivatives, including current period net cash settlements on interest rate swaps, are classified as an investing activity on the statements of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360"/>
        <w:jc w:val="left"/>
        <w:rPr/>
      </w:pPr>
      <w:r>
        <w:rPr>
          <w:rFonts w:ascii="Times New Roman" w:hAnsi="Times New Roman"/>
          <w:caps w:val="false"/>
          <w:smallCaps w:val="false"/>
          <w:sz w:val="20"/>
        </w:rPr>
        <w:t xml:space="preserve">Holding derivatives creates exposure to credit risk related to the potential for failure on the part of counterparties and exchanges to honor their commitments. In the event of default by a counterparty,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have difficulty recovering its collateral and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receive payments provided for under the terms of the agreement. The Company’s derivative agreements require it to post or receive collateral to mitigate such risk. In addition, the Company uses only registered central clearing exchanges and well-established commercial banks as counterparties, monitors positions with individual counterparties and adjusts posted collateral as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fair value of financial instruments for which it is practicable to estimate that value is disclosed either in the body of the financial statements or in the accompanying notes. RMBS, Fed Funds, SOFR and T-Note futures contracts, interest rate swaps, interest rate swaptions, dual digital options, interest rate floors and caps, and TBA securities are accounted for at fair value in the balance sheets. The methods and assumptions used to estimate fair value for these instruments are presented in Note </w:t>
      </w:r>
      <w:r>
        <w:rPr>
          <w:rStyle w:val="Emphasis"/>
          <w:rFonts w:ascii="Times New Roman" w:hAnsi="Times New Roman"/>
          <w:caps w:val="false"/>
          <w:smallCaps w:val="false"/>
          <w:sz w:val="20"/>
        </w:rPr>
        <w:t>13</w:t>
      </w:r>
      <w:r>
        <w:rPr>
          <w:rFonts w:ascii="Times New Roman" w:hAnsi="Times New Roman"/>
          <w:caps w:val="false"/>
          <w:smallCaps w:val="false"/>
          <w:sz w:val="20"/>
        </w:rPr>
        <w:t> of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Repurchase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Company finances the acquisition of the majority of its RMBS through the use of repurchase agreements under master repurchase agreements. Repurchase agreements are accounted for as collateralized financing transactions, which are carried at their contractual amounts, including accrued interest, as specified in the respective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40"/>
        <w:jc w:val="left"/>
        <w:rPr>
          <w:rFonts w:ascii="Times New Roman" w:hAnsi="Times New Roman"/>
          <w:b/>
          <w:caps w:val="false"/>
          <w:smallCaps w:val="false"/>
          <w:sz w:val="20"/>
        </w:rPr>
      </w:pPr>
      <w:r>
        <w:rPr>
          <w:rFonts w:ascii="Times New Roman" w:hAnsi="Times New Roman"/>
          <w:b/>
          <w:caps w:val="false"/>
          <w:smallCaps w:val="false"/>
          <w:sz w:val="20"/>
        </w:rPr>
        <w:t>Reverse Repurchase Agreements and Obligations to Return Securities Borrowed under Reverse Repurchase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20"/>
        <w:jc w:val="left"/>
        <w:rPr/>
      </w:pPr>
      <w:r>
        <w:rPr>
          <w:rFonts w:ascii="Times New Roman" w:hAnsi="Times New Roman"/>
          <w:caps w:val="false"/>
          <w:smallCaps w:val="false"/>
          <w:sz w:val="20"/>
        </w:rPr>
        <w:t xml:space="preserve">The Company borrows securities to cover short sales of U.S. Treasury securities through reverse repurchase transactions under our master repurchase agreements. We account for these as securities borrowing transactions and recognize an obligation to return the borrowed securities at fair value on the balance sheet based on the value of the underlying borrowed securities as of the reporting date. The securities received as collateral in connection with our reverse repurchase agreements mitigate our credit risk exposure to counterparties. Our reverse repurchase agreements typically have maturities of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 days or 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Manager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Company is externally managed by Bimini Advisors, LLC (the “Manager” or “Bimini Advisors”), a Maryland limited liability company and wholly-owned subsidiary of Bimini. The Company’s management agreement with the Manager provides for payment to the Manager of a management fee and reimbursement of certain operating expenses, which are accrued and expensed during the period for which they are earned or incurred. Refer to Note </w:t>
      </w:r>
      <w:r>
        <w:rPr>
          <w:rStyle w:val="Emphasis"/>
          <w:rFonts w:ascii="Times New Roman" w:hAnsi="Times New Roman"/>
          <w:caps w:val="false"/>
          <w:smallCaps w:val="false"/>
          <w:sz w:val="20"/>
        </w:rPr>
        <w:t>14</w:t>
      </w:r>
      <w:r>
        <w:rPr>
          <w:rFonts w:ascii="Times New Roman" w:hAnsi="Times New Roman"/>
          <w:caps w:val="false"/>
          <w:smallCaps w:val="false"/>
          <w:sz w:val="20"/>
        </w:rPr>
        <w:t> for the terms of the management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Basic earnings per share (“EPS”) is calculated as net income or loss attributable to common stockholders divided by the weighted average number of shares of common stock outstanding during the period. Diluted EPS is calculated using the treasury stock or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-class method, as applicable, for common stock equivalents, if any. However, the common stock equivalents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included in computing diluted EPS if the result is anti-dilutive.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grant equity-based compensation to non-employee members of its Board of Directors and to the executive officers and employees of the Manager. Stock-based awards issued include performance units ("PUs"), deferred stock units ("DSUs") and immediately vested common stock awards. Compensation expense is measured and recognized for all stock-based payment awards made to employees and non-employee directors based on the fair value of the Company’s common stock on the date of grant. Compensation expense is recognized over each award’s respective service period using the graded vesting attribution method.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estimate forfeiture rates; but rather, adjusts for forfeitures in the periods in which they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Income Taxes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Orchid has elected and is organized and operated so as to qualify to be taxed as a real estate investment trust (“REIT”) under the Internal Revenue Code of </w:t>
      </w:r>
      <w:r>
        <w:rPr>
          <w:rStyle w:val="Emphasis"/>
          <w:rFonts w:ascii="Times New Roman" w:hAnsi="Times New Roman"/>
          <w:caps w:val="false"/>
          <w:smallCaps w:val="false"/>
          <w:sz w:val="20"/>
        </w:rPr>
        <w:t>1986,</w:t>
      </w:r>
      <w:r>
        <w:rPr>
          <w:rFonts w:ascii="Times New Roman" w:hAnsi="Times New Roman"/>
          <w:caps w:val="false"/>
          <w:smallCaps w:val="false"/>
          <w:sz w:val="20"/>
        </w:rPr>
        <w:t xml:space="preserve"> as amended (the “Code”). REITs are generally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subject to U.S. federal income tax on their REIT taxable income provided that they distribute to their stockholders all of their REIT taxable income on an annual basis. A REIT must distribute at least </w:t>
      </w:r>
      <w:r>
        <w:rPr>
          <w:rStyle w:val="Emphasis"/>
          <w:rFonts w:ascii="Times New Roman" w:hAnsi="Times New Roman"/>
          <w:caps w:val="false"/>
          <w:smallCaps w:val="false"/>
          <w:sz w:val="20"/>
        </w:rPr>
        <w:t>90%</w:t>
      </w:r>
      <w:r>
        <w:rPr>
          <w:rFonts w:ascii="Times New Roman" w:hAnsi="Times New Roman"/>
          <w:caps w:val="false"/>
          <w:smallCaps w:val="false"/>
          <w:sz w:val="20"/>
        </w:rPr>
        <w:t xml:space="preserve"> of its REIT taxable income, determined without regard to the deductions for dividends paid and excluding net capital gain, and meet other requirements of the Code to retain its tax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360"/>
        <w:jc w:val="left"/>
        <w:rPr/>
      </w:pPr>
      <w:r>
        <w:rPr>
          <w:rFonts w:ascii="Times New Roman" w:hAnsi="Times New Roman"/>
          <w:caps w:val="false"/>
          <w:smallCaps w:val="false"/>
          <w:sz w:val="20"/>
        </w:rPr>
        <w:t xml:space="preserve">Orchid assesses the likelihood, based on their technical merit, that uncertain tax positions will be sustained upon examination based on the facts, circumstances and information available at the end of each period. All of Orchid’s tax positions are categorized as highly certain. There 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accrual for any tax, interest or penalties related to Orchid’s tax position assessment. The measurement of uncertain tax positions is adjusted when new information is available, or when an event occurs that requires a change.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b/>
          <w:caps w:val="false"/>
          <w:smallCaps w:val="false"/>
          <w:sz w:val="20"/>
        </w:rPr>
      </w:pPr>
      <w:r>
        <w:rPr>
          <w:rFonts w:ascii="Times New Roman" w:hAnsi="Times New Roman"/>
          <w:b/>
          <w:caps w:val="false"/>
          <w:smallCaps w:val="false"/>
          <w:sz w:val="20"/>
        </w:rPr>
        <w:t>Recent Accounting Pronouncements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2024, </w:t>
      </w:r>
      <w:r>
        <w:rPr>
          <w:rFonts w:ascii="Times New Roman" w:hAnsi="Times New Roman"/>
          <w:caps w:val="false"/>
          <w:smallCaps w:val="false"/>
          <w:sz w:val="20"/>
        </w:rPr>
        <w:t xml:space="preserve">the Financial Accounting Standards Board issued Accounting Standards Update ("ASU")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w:t>
      </w:r>
      <w:r>
        <w:rPr>
          <w:rFonts w:ascii="Times New Roman" w:hAnsi="Times New Roman"/>
          <w:i/>
          <w:caps w:val="false"/>
          <w:smallCaps w:val="false"/>
          <w:sz w:val="20"/>
        </w:rPr>
        <w:t>"Income Statement</w:t>
      </w:r>
      <w:r>
        <w:rPr>
          <w:rFonts w:ascii="Times New Roman" w:hAnsi="Times New Roman"/>
          <w:caps w:val="false"/>
          <w:smallCaps w:val="false"/>
          <w:sz w:val="20"/>
        </w:rPr>
        <w:t>—</w:t>
      </w:r>
      <w:r>
        <w:rPr>
          <w:rFonts w:ascii="Times New Roman" w:hAnsi="Times New Roman"/>
          <w:i/>
          <w:caps w:val="false"/>
          <w:smallCaps w:val="false"/>
          <w:sz w:val="20"/>
        </w:rPr>
        <w:t>Reporting Comprehensive Income</w:t>
      </w:r>
      <w:r>
        <w:rPr>
          <w:rFonts w:ascii="Times New Roman" w:hAnsi="Times New Roman"/>
          <w:caps w:val="false"/>
          <w:smallCaps w:val="false"/>
          <w:sz w:val="20"/>
        </w:rPr>
        <w:t>—</w:t>
      </w:r>
      <w:r>
        <w:rPr>
          <w:rFonts w:ascii="Times New Roman" w:hAnsi="Times New Roman"/>
          <w:i/>
          <w:caps w:val="false"/>
          <w:smallCaps w:val="false"/>
          <w:sz w:val="20"/>
        </w:rPr>
        <w:t xml:space="preserve">Expense Disaggregation Disclosures (Subtopic </w:t>
      </w:r>
      <w:r>
        <w:rPr>
          <w:rStyle w:val="Emphasis"/>
          <w:rFonts w:ascii="Times New Roman" w:hAnsi="Times New Roman"/>
          <w:i/>
          <w:caps w:val="false"/>
          <w:smallCaps w:val="false"/>
          <w:sz w:val="20"/>
        </w:rPr>
        <w:t>220</w:t>
      </w:r>
      <w:r>
        <w:rPr>
          <w:rFonts w:ascii="Times New Roman" w:hAnsi="Times New Roman"/>
          <w:i/>
          <w:caps w:val="false"/>
          <w:smallCaps w:val="false"/>
          <w:sz w:val="20"/>
        </w:rPr>
        <w:t>-</w:t>
      </w:r>
      <w:r>
        <w:rPr>
          <w:rStyle w:val="Emphasis"/>
          <w:rFonts w:ascii="Times New Roman" w:hAnsi="Times New Roman"/>
          <w:i/>
          <w:caps w:val="false"/>
          <w:smallCaps w:val="false"/>
          <w:sz w:val="20"/>
        </w:rPr>
        <w:t>40</w:t>
      </w:r>
      <w:r>
        <w:rPr>
          <w:rFonts w:ascii="Times New Roman" w:hAnsi="Times New Roman"/>
          <w:i/>
          <w:caps w:val="false"/>
          <w:smallCaps w:val="false"/>
          <w:sz w:val="20"/>
        </w:rPr>
        <w:t>): Disaggregation of Income Statement Expenses</w:t>
      </w:r>
      <w:r>
        <w:rPr>
          <w:rFonts w:ascii="Times New Roman" w:hAnsi="Times New Roman"/>
          <w:caps w:val="false"/>
          <w:smallCaps w:val="false"/>
          <w:sz w:val="20"/>
        </w:rPr>
        <w:t xml:space="preserve">". The amendments in the ASU require disclosures about specific types of expenses included in the expense captions presented on the Statements of Income, as well as disclosures about selling expenses.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is effective for fiscal years beginning after </w:t>
      </w:r>
      <w:r>
        <w:rPr>
          <w:rStyle w:val="Emphasis"/>
          <w:rFonts w:ascii="Times New Roman" w:hAnsi="Times New Roman"/>
          <w:caps w:val="false"/>
          <w:smallCaps w:val="false"/>
          <w:sz w:val="20"/>
        </w:rPr>
        <w:t xml:space="preserve">December 15, 2026. </w:t>
      </w:r>
      <w:r>
        <w:rPr>
          <w:rFonts w:ascii="Times New Roman" w:hAnsi="Times New Roman"/>
          <w:caps w:val="false"/>
          <w:smallCaps w:val="false"/>
          <w:sz w:val="20"/>
        </w:rPr>
        <w:t>We are currently evaluating the impact of adoption on our financial disclosures.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2.</w:t>
      </w:r>
      <w:r>
        <w:rPr>
          <w:rFonts w:ascii="Times New Roman" w:hAnsi="Times New Roman"/>
          <w:b/>
          <w:caps w:val="false"/>
          <w:smallCaps w:val="false"/>
          <w:sz w:val="20"/>
        </w:rPr>
        <w:t xml:space="preserve"> MORTGAGE-BACKED SECURITIES, AT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following table presents the Company’s RMBS portfolio that are remeasured at fair value through earnings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7655" w:type="dxa"/>
        <w:jc w:val="left"/>
        <w:tblInd w:w="0" w:type="dxa"/>
        <w:tblLayout w:type="fixed"/>
        <w:tblCellMar>
          <w:top w:w="0" w:type="dxa"/>
          <w:left w:w="0" w:type="dxa"/>
          <w:bottom w:w="28" w:type="dxa"/>
          <w:right w:w="0" w:type="dxa"/>
        </w:tblCellMar>
      </w:tblPr>
      <w:tblGrid>
        <w:gridCol w:w="1295"/>
        <w:gridCol w:w="60"/>
        <w:gridCol w:w="110"/>
        <w:gridCol w:w="830"/>
        <w:gridCol w:w="60"/>
        <w:gridCol w:w="60"/>
        <w:gridCol w:w="110"/>
        <w:gridCol w:w="830"/>
        <w:gridCol w:w="60"/>
        <w:gridCol w:w="60"/>
        <w:gridCol w:w="110"/>
        <w:gridCol w:w="830"/>
        <w:gridCol w:w="60"/>
        <w:gridCol w:w="60"/>
        <w:gridCol w:w="110"/>
        <w:gridCol w:w="830"/>
        <w:gridCol w:w="60"/>
        <w:gridCol w:w="60"/>
        <w:gridCol w:w="110"/>
        <w:gridCol w:w="830"/>
        <w:gridCol w:w="60"/>
        <w:gridCol w:w="60"/>
        <w:gridCol w:w="110"/>
        <w:gridCol w:w="830"/>
        <w:gridCol w:w="60"/>
      </w:tblGrid>
      <w:tr>
        <w:trPr/>
        <w:tc>
          <w:tcPr>
            <w:tcW w:w="129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29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060" w:type="dxa"/>
            <w:gridSpan w:val="10"/>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June 30, 2026</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060" w:type="dxa"/>
            <w:gridSpan w:val="10"/>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December 31, 2025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29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Par Value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40"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Cost(1)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Fair Value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Par Value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40"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Cost(1)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Fair Value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29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Fixed-rate RMBS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11,396,946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11,602,269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11,528,198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10,345,029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10,558,236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10,615,570</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129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Other(2)(3)(4)</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14,963</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11,966</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16,103</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13,088</w:t>
            </w:r>
          </w:p>
        </w:tc>
        <w:tc>
          <w:tcPr>
            <w:tcW w:w="60" w:type="dxa"/>
            <w:tcBorders>
              <w:bottom w:val="single" w:sz="2" w:space="0" w:color="000000"/>
            </w:tcBorders>
            <w:shd w:fill="FFFFFF" w:val="clear"/>
            <w:vAlign w:val="center"/>
          </w:tcPr>
          <w:p>
            <w:pPr>
              <w:pStyle w:val="TableContents"/>
              <w:bidi w:val="0"/>
              <w:spacing w:before="0" w:after="0"/>
              <w:jc w:val="left"/>
              <w:rPr/>
            </w:pPr>
            <w:r>
              <w:rPr/>
              <w:t> </w:t>
            </w:r>
          </w:p>
        </w:tc>
      </w:tr>
      <w:tr>
        <w:trPr/>
        <w:tc>
          <w:tcPr>
            <w:tcW w:w="1295" w:type="dxa"/>
            <w:tcBorders>
              <w:bottom w:val="double" w:sz="6"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3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11,396,946</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3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11,617,232</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3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11,540,164</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3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10,345,029</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3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10,574,339</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3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10,628,658</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18"/>
              </w:rPr>
              <w:t>(</w:t>
            </w:r>
            <w:r>
              <w:rPr>
                <w:rStyle w:val="Emphasis"/>
                <w:rFonts w:ascii="Times New Roman;Times;serif" w:hAnsi="Times New Roman;Times;serif"/>
                <w:caps w:val="false"/>
                <w:smallCaps w:val="false"/>
                <w:sz w:val="18"/>
              </w:rPr>
              <w:t>1</w:t>
            </w:r>
            <w:r>
              <w:rPr>
                <w:rFonts w:ascii="Times New Roman;Times;serif" w:hAnsi="Times New Roman;Times;serif"/>
                <w:caps w:val="false"/>
                <w:smallCaps w:val="false"/>
                <w:sz w:val="18"/>
              </w:rPr>
              <w:t>)</w:t>
            </w:r>
          </w:p>
        </w:tc>
        <w:tc>
          <w:tcPr>
            <w:tcW w:w="9980" w:type="dxa"/>
            <w:tcBorders/>
            <w:vAlign w:val="center"/>
          </w:tcPr>
          <w:p>
            <w:pPr>
              <w:pStyle w:val="TableContents"/>
              <w:bidi w:val="0"/>
              <w:spacing w:before="0" w:after="283"/>
              <w:jc w:val="left"/>
              <w:rPr>
                <w:sz w:val="18"/>
              </w:rPr>
            </w:pPr>
            <w:r>
              <w:rPr>
                <w:sz w:val="18"/>
              </w:rPr>
              <w:t>The cost information in the table above represents the aggregate current par value, multiplied by the purchase price of each security in the portfolio.</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283"/>
              <w:jc w:val="left"/>
              <w:rPr/>
            </w:pPr>
            <w:r>
              <w:rPr>
                <w:sz w:val="18"/>
              </w:rPr>
              <w:t>(</w:t>
            </w:r>
            <w:r>
              <w:rPr>
                <w:rStyle w:val="Emphasis"/>
                <w:sz w:val="18"/>
              </w:rPr>
              <w:t>2</w:t>
            </w:r>
            <w:r>
              <w:rPr>
                <w:sz w:val="18"/>
              </w:rPr>
              <w:t>)</w:t>
            </w:r>
          </w:p>
        </w:tc>
        <w:tc>
          <w:tcPr>
            <w:tcW w:w="9989" w:type="dxa"/>
            <w:tcBorders/>
            <w:vAlign w:val="center"/>
          </w:tcPr>
          <w:p>
            <w:pPr>
              <w:pStyle w:val="TableContents"/>
              <w:bidi w:val="0"/>
              <w:spacing w:before="0" w:after="283"/>
              <w:jc w:val="left"/>
              <w:rPr>
                <w:sz w:val="18"/>
              </w:rPr>
            </w:pPr>
            <w:r>
              <w:rPr>
                <w:sz w:val="18"/>
              </w:rPr>
              <w:t>Other securities are comprised of interest-only and inverse interest-only securities.</w:t>
            </w:r>
          </w:p>
        </w:tc>
      </w:tr>
      <w:tr>
        <w:trPr/>
        <w:tc>
          <w:tcPr>
            <w:tcW w:w="216"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18"/>
              </w:rPr>
              <w:t>(</w:t>
            </w:r>
            <w:r>
              <w:rPr>
                <w:rStyle w:val="Emphasis"/>
                <w:rFonts w:ascii="Times New Roman;Times;serif" w:hAnsi="Times New Roman;Times;serif"/>
                <w:caps w:val="false"/>
                <w:smallCaps w:val="false"/>
                <w:sz w:val="18"/>
              </w:rPr>
              <w:t>3</w:t>
            </w:r>
            <w:r>
              <w:rPr>
                <w:rFonts w:ascii="Times New Roman;Times;serif" w:hAnsi="Times New Roman;Times;serif"/>
                <w:caps w:val="false"/>
                <w:smallCaps w:val="false"/>
                <w:sz w:val="18"/>
              </w:rPr>
              <w:t>)</w:t>
            </w:r>
          </w:p>
        </w:tc>
        <w:tc>
          <w:tcPr>
            <w:tcW w:w="9989" w:type="dxa"/>
            <w:tcBorders/>
            <w:vAlign w:val="center"/>
          </w:tcPr>
          <w:p>
            <w:pPr>
              <w:pStyle w:val="TableContents"/>
              <w:bidi w:val="0"/>
              <w:spacing w:before="0" w:after="283"/>
              <w:jc w:val="left"/>
              <w:rPr/>
            </w:pPr>
            <w:r>
              <w:rPr>
                <w:sz w:val="18"/>
              </w:rPr>
              <w:t xml:space="preserve">The notional balance for the interest-only securities portfolio was $68.5 million and $72.9 million as of </w:t>
            </w:r>
            <w:r>
              <w:rPr>
                <w:rStyle w:val="Emphasis"/>
                <w:sz w:val="18"/>
              </w:rPr>
              <w:t>June 30, 2026</w:t>
            </w:r>
            <w:r>
              <w:rPr>
                <w:sz w:val="18"/>
              </w:rPr>
              <w:t xml:space="preserve"> and </w:t>
            </w:r>
            <w:r>
              <w:rPr>
                <w:rStyle w:val="Emphasis"/>
                <w:sz w:val="18"/>
              </w:rPr>
              <w:t>December 31, 2025</w:t>
            </w:r>
            <w:r>
              <w:rPr>
                <w:sz w:val="18"/>
              </w:rPr>
              <w:t>, respectively.</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18"/>
              </w:rPr>
              <w:t>(</w:t>
            </w:r>
            <w:r>
              <w:rPr>
                <w:rStyle w:val="Emphasis"/>
                <w:rFonts w:ascii="Times New Roman;Times;serif" w:hAnsi="Times New Roman;Times;serif"/>
                <w:caps w:val="false"/>
                <w:smallCaps w:val="false"/>
                <w:sz w:val="18"/>
              </w:rPr>
              <w:t>4</w:t>
            </w:r>
            <w:r>
              <w:rPr>
                <w:rFonts w:ascii="Times New Roman;Times;serif" w:hAnsi="Times New Roman;Times;serif"/>
                <w:caps w:val="false"/>
                <w:smallCaps w:val="false"/>
                <w:sz w:val="18"/>
              </w:rPr>
              <w:t>)</w:t>
            </w:r>
          </w:p>
        </w:tc>
        <w:tc>
          <w:tcPr>
            <w:tcW w:w="9994" w:type="dxa"/>
            <w:tcBorders/>
            <w:vAlign w:val="center"/>
          </w:tcPr>
          <w:p>
            <w:pPr>
              <w:pStyle w:val="TableContents"/>
              <w:bidi w:val="0"/>
              <w:spacing w:before="0" w:after="283"/>
              <w:jc w:val="left"/>
              <w:rPr/>
            </w:pPr>
            <w:r>
              <w:rPr>
                <w:sz w:val="18"/>
              </w:rPr>
              <w:t xml:space="preserve">The notional balance for the inverse interest-only securities portfolio was $14.1 million and $17.7 million as of </w:t>
            </w:r>
            <w:r>
              <w:rPr>
                <w:rStyle w:val="Emphasis"/>
                <w:sz w:val="18"/>
              </w:rPr>
              <w:t>June 30, 2026</w:t>
            </w:r>
            <w:r>
              <w:rPr>
                <w:sz w:val="18"/>
              </w:rPr>
              <w:t xml:space="preserve"> and </w:t>
            </w:r>
            <w:r>
              <w:rPr>
                <w:rStyle w:val="Emphasis"/>
                <w:sz w:val="18"/>
              </w:rPr>
              <w:t>December 31, 2025</w:t>
            </w:r>
            <w:r>
              <w:rPr>
                <w:sz w:val="18"/>
              </w:rPr>
              <w:t>, respectively.</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The following table is a summary of the Company’s net gain (loss) from the sale of RMBS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w:t>
      </w:r>
    </w:p>
    <w:p>
      <w:pPr>
        <w:pStyle w:val="TextBody"/>
        <w:bidi w:val="0"/>
        <w:spacing w:before="0" w:after="0"/>
        <w:ind w:left="340" w:right="0" w:hanging="0"/>
        <w:jc w:val="left"/>
        <w:rPr>
          <w:caps w:val="false"/>
          <w:smallCaps w:val="false"/>
        </w:rPr>
      </w:pPr>
      <w:r>
        <w:rPr>
          <w:caps w:val="false"/>
          <w:smallCaps w:val="false"/>
        </w:rPr>
        <w:t> </w:t>
      </w:r>
    </w:p>
    <w:tbl>
      <w:tblPr>
        <w:tblW w:w="4678" w:type="dxa"/>
        <w:jc w:val="left"/>
        <w:tblInd w:w="0" w:type="dxa"/>
        <w:tblLayout w:type="fixed"/>
        <w:tblCellMar>
          <w:top w:w="0" w:type="dxa"/>
          <w:left w:w="0" w:type="dxa"/>
          <w:bottom w:w="28" w:type="dxa"/>
          <w:right w:w="0" w:type="dxa"/>
        </w:tblCellMar>
      </w:tblPr>
      <w:tblGrid>
        <w:gridCol w:w="2435"/>
        <w:gridCol w:w="60"/>
        <w:gridCol w:w="137"/>
        <w:gridCol w:w="828"/>
        <w:gridCol w:w="99"/>
        <w:gridCol w:w="74"/>
        <w:gridCol w:w="137"/>
        <w:gridCol w:w="828"/>
        <w:gridCol w:w="80"/>
      </w:tblGrid>
      <w:tr>
        <w:trPr/>
        <w:tc>
          <w:tcPr>
            <w:tcW w:w="243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vAlign w:val="center"/>
          </w:tcPr>
          <w:p>
            <w:pPr>
              <w:pStyle w:val="TableContents"/>
              <w:bidi w:val="0"/>
              <w:spacing w:before="0" w:after="283"/>
              <w:jc w:val="left"/>
              <w:rPr/>
            </w:pPr>
            <w:r>
              <w:rPr/>
              <w:t> </w:t>
            </w:r>
          </w:p>
        </w:tc>
        <w:tc>
          <w:tcPr>
            <w:tcW w:w="828" w:type="dxa"/>
            <w:tcBorders>
              <w:bottom w:val="single" w:sz="2" w:space="0" w:color="000000"/>
            </w:tcBorders>
            <w:shd w:fill="FFFFFF" w:val="clear"/>
            <w:vAlign w:val="center"/>
          </w:tcPr>
          <w:p>
            <w:pPr>
              <w:pStyle w:val="TableContents"/>
              <w:bidi w:val="0"/>
              <w:spacing w:before="0" w:after="283"/>
              <w:jc w:val="left"/>
              <w:rPr/>
            </w:pPr>
            <w:r>
              <w:rPr/>
              <w:t> </w:t>
            </w:r>
          </w:p>
        </w:tc>
        <w:tc>
          <w:tcPr>
            <w:tcW w:w="99" w:type="dxa"/>
            <w:tcBorders>
              <w:bottom w:val="single" w:sz="2" w:space="0" w:color="000000"/>
            </w:tcBorders>
            <w:shd w:fill="FFFFFF" w:val="clear"/>
            <w:vAlign w:val="center"/>
          </w:tcPr>
          <w:p>
            <w:pPr>
              <w:pStyle w:val="TableContents"/>
              <w:bidi w:val="0"/>
              <w:spacing w:before="0" w:after="283"/>
              <w:jc w:val="left"/>
              <w:rPr/>
            </w:pPr>
            <w:r>
              <w:rPr/>
              <w:t> </w:t>
            </w:r>
          </w:p>
        </w:tc>
        <w:tc>
          <w:tcPr>
            <w:tcW w:w="74" w:type="dxa"/>
            <w:tcBorders>
              <w:bottom w:val="single" w:sz="2" w:space="0" w:color="000000"/>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vAlign w:val="center"/>
          </w:tcPr>
          <w:p>
            <w:pPr>
              <w:pStyle w:val="TableContents"/>
              <w:bidi w:val="0"/>
              <w:spacing w:before="0" w:after="283"/>
              <w:jc w:val="left"/>
              <w:rPr/>
            </w:pPr>
            <w:r>
              <w:rPr/>
              <w:t> </w:t>
            </w:r>
          </w:p>
        </w:tc>
        <w:tc>
          <w:tcPr>
            <w:tcW w:w="828"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4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103" w:type="dxa"/>
            <w:gridSpan w:val="6"/>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Six Months Ended June 30,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43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6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2026</w:t>
            </w:r>
          </w:p>
        </w:tc>
        <w:tc>
          <w:tcPr>
            <w:tcW w:w="99" w:type="dxa"/>
            <w:tcBorders>
              <w:bottom w:val="single" w:sz="2" w:space="0" w:color="000000"/>
            </w:tcBorders>
            <w:shd w:fill="FFFFFF" w:val="clear"/>
            <w:vAlign w:val="center"/>
          </w:tcPr>
          <w:p>
            <w:pPr>
              <w:pStyle w:val="TableContents"/>
              <w:bidi w:val="0"/>
              <w:spacing w:before="0" w:after="283"/>
              <w:jc w:val="left"/>
              <w:rPr/>
            </w:pPr>
            <w:r>
              <w:rPr/>
              <w:t> </w:t>
            </w:r>
          </w:p>
        </w:tc>
        <w:tc>
          <w:tcPr>
            <w:tcW w:w="7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6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2025</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43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Proceeds from sales of RMBS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7"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2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356,475</w:t>
            </w:r>
          </w:p>
        </w:tc>
        <w:tc>
          <w:tcPr>
            <w:tcW w:w="99"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ind w:left="0" w:right="0" w:hanging="0"/>
              <w:jc w:val="left"/>
              <w:rPr/>
            </w:pPr>
            <w:r>
              <w:rPr/>
              <w:t> </w:t>
            </w:r>
          </w:p>
        </w:tc>
        <w:tc>
          <w:tcPr>
            <w:tcW w:w="137"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2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733,904</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43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Carrying value of RMBS sold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2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(355,551</w:t>
            </w:r>
          </w:p>
        </w:tc>
        <w:tc>
          <w:tcPr>
            <w:tcW w:w="99"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74" w:type="dxa"/>
            <w:tcBorders>
              <w:bottom w:val="single" w:sz="2" w:space="0" w:color="000000"/>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2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(743,192</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435" w:type="dxa"/>
            <w:tcBorders>
              <w:bottom w:val="double" w:sz="6"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gain (loss) on sales of RMBS</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28"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924</w:t>
            </w:r>
          </w:p>
        </w:tc>
        <w:tc>
          <w:tcPr>
            <w:tcW w:w="99" w:type="dxa"/>
            <w:tcBorders>
              <w:bottom w:val="double" w:sz="6" w:space="0" w:color="000000"/>
            </w:tcBorders>
            <w:shd w:fill="CCEEFF" w:val="clear"/>
            <w:vAlign w:val="center"/>
          </w:tcPr>
          <w:p>
            <w:pPr>
              <w:pStyle w:val="TableContents"/>
              <w:bidi w:val="0"/>
              <w:spacing w:before="0" w:after="283"/>
              <w:jc w:val="left"/>
              <w:rPr/>
            </w:pPr>
            <w:r>
              <w:rPr/>
              <w:t> </w:t>
            </w:r>
          </w:p>
        </w:tc>
        <w:tc>
          <w:tcPr>
            <w:tcW w:w="74"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28"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(9,288</w:t>
            </w:r>
          </w:p>
        </w:tc>
        <w:tc>
          <w:tcPr>
            <w:tcW w:w="8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4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 w:type="dxa"/>
            <w:tcBorders/>
            <w:shd w:fill="FFFFFF" w:val="clear"/>
            <w:tcMar>
              <w:bottom w:w="0" w:type="dxa"/>
            </w:tcMar>
            <w:vAlign w:val="center"/>
          </w:tcPr>
          <w:p>
            <w:pPr>
              <w:pStyle w:val="TableContents"/>
              <w:bidi w:val="0"/>
              <w:spacing w:before="0" w:after="283"/>
              <w:jc w:val="left"/>
              <w:rPr/>
            </w:pPr>
            <w:r>
              <w:rPr/>
              <w:t> </w:t>
            </w:r>
          </w:p>
        </w:tc>
        <w:tc>
          <w:tcPr>
            <w:tcW w:w="828"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137" w:type="dxa"/>
            <w:tcBorders/>
            <w:shd w:fill="FFFFFF" w:val="clear"/>
            <w:tcMar>
              <w:bottom w:w="0" w:type="dxa"/>
            </w:tcMar>
            <w:vAlign w:val="center"/>
          </w:tcPr>
          <w:p>
            <w:pPr>
              <w:pStyle w:val="TableContents"/>
              <w:bidi w:val="0"/>
              <w:spacing w:before="0" w:after="283"/>
              <w:jc w:val="left"/>
              <w:rPr/>
            </w:pPr>
            <w:r>
              <w:rPr/>
              <w:t> </w:t>
            </w:r>
          </w:p>
        </w:tc>
        <w:tc>
          <w:tcPr>
            <w:tcW w:w="828"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43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Gross gain on sales of RMBS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7"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2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924</w:t>
            </w:r>
          </w:p>
        </w:tc>
        <w:tc>
          <w:tcPr>
            <w:tcW w:w="99"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ind w:left="0" w:right="0" w:hanging="0"/>
              <w:jc w:val="left"/>
              <w:rPr/>
            </w:pPr>
            <w:r>
              <w:rPr/>
              <w:t> </w:t>
            </w:r>
          </w:p>
        </w:tc>
        <w:tc>
          <w:tcPr>
            <w:tcW w:w="137"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2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43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Gross loss on sales of RMBS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2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99" w:type="dxa"/>
            <w:tcBorders>
              <w:bottom w:val="single" w:sz="2" w:space="0" w:color="000000"/>
            </w:tcBorders>
            <w:shd w:fill="FFFFFF" w:val="clear"/>
            <w:vAlign w:val="center"/>
          </w:tcPr>
          <w:p>
            <w:pPr>
              <w:pStyle w:val="TableContents"/>
              <w:bidi w:val="0"/>
              <w:spacing w:before="0" w:after="283"/>
              <w:jc w:val="left"/>
              <w:rPr/>
            </w:pPr>
            <w:r>
              <w:rPr/>
              <w:t> </w:t>
            </w:r>
          </w:p>
        </w:tc>
        <w:tc>
          <w:tcPr>
            <w:tcW w:w="74" w:type="dxa"/>
            <w:tcBorders>
              <w:bottom w:val="single" w:sz="2" w:space="0" w:color="000000"/>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2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(9,288</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435" w:type="dxa"/>
            <w:tcBorders>
              <w:bottom w:val="double" w:sz="6"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gain (loss) on sales of RMBS</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28"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924</w:t>
            </w:r>
          </w:p>
        </w:tc>
        <w:tc>
          <w:tcPr>
            <w:tcW w:w="99" w:type="dxa"/>
            <w:tcBorders>
              <w:bottom w:val="double" w:sz="6" w:space="0" w:color="000000"/>
            </w:tcBorders>
            <w:shd w:fill="CCEEFF" w:val="clear"/>
            <w:vAlign w:val="center"/>
          </w:tcPr>
          <w:p>
            <w:pPr>
              <w:pStyle w:val="TableContents"/>
              <w:bidi w:val="0"/>
              <w:spacing w:before="0" w:after="283"/>
              <w:jc w:val="left"/>
              <w:rPr/>
            </w:pPr>
            <w:r>
              <w:rPr/>
              <w:t> </w:t>
            </w:r>
          </w:p>
        </w:tc>
        <w:tc>
          <w:tcPr>
            <w:tcW w:w="74"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28"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(9,288</w:t>
            </w:r>
          </w:p>
        </w:tc>
        <w:tc>
          <w:tcPr>
            <w:tcW w:w="8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firstLine="36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3.</w:t>
      </w:r>
      <w:r>
        <w:rPr>
          <w:rFonts w:ascii="Times New Roman" w:hAnsi="Times New Roman"/>
          <w:b/>
          <w:caps w:val="false"/>
          <w:smallCaps w:val="false"/>
          <w:sz w:val="20"/>
        </w:rPr>
        <w:t xml:space="preserve"> U.S. TREASURY SECURITIES, AVAILABLE-FOR-SALE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The following table presents the amortized cost, gross unrealized holding gains and losses, and fair value of available-for-sale investments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U.S. Treasury securities are held primarily to satisfy collateral requirements of the Company's repurchase and derivative counterparties.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tbl>
      <w:tblPr>
        <w:tblW w:w="7265" w:type="dxa"/>
        <w:jc w:val="left"/>
        <w:tblInd w:w="0" w:type="dxa"/>
        <w:tblLayout w:type="fixed"/>
        <w:tblCellMar>
          <w:top w:w="0" w:type="dxa"/>
          <w:left w:w="0" w:type="dxa"/>
          <w:bottom w:w="28" w:type="dxa"/>
          <w:right w:w="0" w:type="dxa"/>
        </w:tblCellMar>
      </w:tblPr>
      <w:tblGrid>
        <w:gridCol w:w="3620"/>
        <w:gridCol w:w="60"/>
        <w:gridCol w:w="118"/>
        <w:gridCol w:w="652"/>
        <w:gridCol w:w="60"/>
        <w:gridCol w:w="60"/>
        <w:gridCol w:w="227"/>
        <w:gridCol w:w="603"/>
        <w:gridCol w:w="60"/>
        <w:gridCol w:w="60"/>
        <w:gridCol w:w="197"/>
        <w:gridCol w:w="633"/>
        <w:gridCol w:w="80"/>
        <w:gridCol w:w="60"/>
        <w:gridCol w:w="110"/>
        <w:gridCol w:w="605"/>
        <w:gridCol w:w="60"/>
      </w:tblGrid>
      <w:tr>
        <w:trPr/>
        <w:tc>
          <w:tcPr>
            <w:tcW w:w="362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8" w:type="dxa"/>
            <w:tcBorders>
              <w:bottom w:val="single" w:sz="2" w:space="0" w:color="000000"/>
            </w:tcBorders>
            <w:shd w:fill="FFFFFF" w:val="clear"/>
            <w:vAlign w:val="center"/>
          </w:tcPr>
          <w:p>
            <w:pPr>
              <w:pStyle w:val="TableContents"/>
              <w:bidi w:val="0"/>
              <w:spacing w:before="0" w:after="283"/>
              <w:jc w:val="left"/>
              <w:rPr/>
            </w:pPr>
            <w:r>
              <w:rPr/>
              <w:t> </w:t>
            </w:r>
          </w:p>
        </w:tc>
        <w:tc>
          <w:tcPr>
            <w:tcW w:w="652"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27" w:type="dxa"/>
            <w:tcBorders>
              <w:bottom w:val="single" w:sz="2" w:space="0" w:color="000000"/>
            </w:tcBorders>
            <w:shd w:fill="FFFFFF" w:val="clear"/>
            <w:vAlign w:val="center"/>
          </w:tcPr>
          <w:p>
            <w:pPr>
              <w:pStyle w:val="TableContents"/>
              <w:bidi w:val="0"/>
              <w:spacing w:before="0" w:after="283"/>
              <w:jc w:val="left"/>
              <w:rPr/>
            </w:pPr>
            <w:r>
              <w:rPr/>
              <w:t> </w:t>
            </w:r>
          </w:p>
        </w:tc>
        <w:tc>
          <w:tcPr>
            <w:tcW w:w="603"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vAlign w:val="center"/>
          </w:tcPr>
          <w:p>
            <w:pPr>
              <w:pStyle w:val="TableContents"/>
              <w:bidi w:val="0"/>
              <w:spacing w:before="0" w:after="283"/>
              <w:jc w:val="left"/>
              <w:rPr/>
            </w:pPr>
            <w:r>
              <w:rPr/>
              <w:t> </w:t>
            </w:r>
          </w:p>
        </w:tc>
        <w:tc>
          <w:tcPr>
            <w:tcW w:w="633"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60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62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jc w:val="left"/>
              <w:rPr/>
            </w:pPr>
            <w:r>
              <w:rPr/>
              <w:t> </w:t>
            </w:r>
          </w:p>
        </w:tc>
        <w:tc>
          <w:tcPr>
            <w:tcW w:w="652"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Gross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Gross</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62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7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Amortized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Unrealized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Unrealized</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Fair</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62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Cost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Gains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Losses</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Value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62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b/>
                <w:sz w:val="18"/>
              </w:rPr>
            </w:pPr>
            <w:r>
              <w:rPr>
                <w:rFonts w:ascii="Times New Roman" w:hAnsi="Times New Roman"/>
                <w:b/>
                <w:sz w:val="18"/>
              </w:rPr>
              <w:t>June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65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shd w:fill="CCEEFF" w:val="clear"/>
            <w:tcMar>
              <w:bottom w:w="0" w:type="dxa"/>
            </w:tcMar>
            <w:vAlign w:val="center"/>
          </w:tcPr>
          <w:p>
            <w:pPr>
              <w:pStyle w:val="TableContents"/>
              <w:bidi w:val="0"/>
              <w:spacing w:before="0" w:after="283"/>
              <w:jc w:val="left"/>
              <w:rPr/>
            </w:pPr>
            <w:r>
              <w:rPr/>
              <w:t> </w:t>
            </w:r>
          </w:p>
        </w:tc>
        <w:tc>
          <w:tcPr>
            <w:tcW w:w="60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7" w:type="dxa"/>
            <w:tcBorders/>
            <w:shd w:fill="CCEEFF" w:val="clear"/>
            <w:tcMar>
              <w:bottom w:w="0" w:type="dxa"/>
            </w:tcMar>
            <w:vAlign w:val="center"/>
          </w:tcPr>
          <w:p>
            <w:pPr>
              <w:pStyle w:val="TableContents"/>
              <w:bidi w:val="0"/>
              <w:spacing w:before="0" w:after="283"/>
              <w:jc w:val="left"/>
              <w:rPr/>
            </w:pPr>
            <w:r>
              <w:rPr/>
              <w:t> </w:t>
            </w:r>
          </w:p>
        </w:tc>
        <w:tc>
          <w:tcPr>
            <w:tcW w:w="633"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362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U.S. Treasury Note, 4.125%, 10/31/2026 Maturity</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18"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52"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20,032</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227"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3"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97"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33"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(20</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1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5"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20,012</w:t>
            </w:r>
          </w:p>
        </w:tc>
        <w:tc>
          <w:tcPr>
            <w:tcW w:w="60" w:type="dxa"/>
            <w:tcBorders/>
            <w:shd w:fill="FFFFFF" w:val="clear"/>
            <w:tcMar>
              <w:bottom w:w="0" w:type="dxa"/>
            </w:tcMar>
            <w:vAlign w:val="center"/>
          </w:tcPr>
          <w:p>
            <w:pPr>
              <w:pStyle w:val="TableContents"/>
              <w:bidi w:val="0"/>
              <w:spacing w:before="0" w:after="0"/>
              <w:jc w:val="left"/>
              <w:rPr/>
            </w:pPr>
            <w:r>
              <w:rPr/>
              <w:t> </w:t>
            </w:r>
          </w:p>
        </w:tc>
      </w:tr>
      <w:tr>
        <w:trPr/>
        <w:tc>
          <w:tcPr>
            <w:tcW w:w="362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U.S. Treasury Note, 4.50%, 5/15/2027 Maturity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652"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65,818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shd w:fill="CCEEFF" w:val="clear"/>
            <w:tcMar>
              <w:bottom w:w="0" w:type="dxa"/>
            </w:tcMar>
            <w:vAlign w:val="center"/>
          </w:tcPr>
          <w:p>
            <w:pPr>
              <w:pStyle w:val="TableContents"/>
              <w:bidi w:val="0"/>
              <w:spacing w:before="0" w:after="283"/>
              <w:jc w:val="left"/>
              <w:rPr/>
            </w:pPr>
            <w:r>
              <w:rPr/>
              <w:t> </w:t>
            </w:r>
          </w:p>
        </w:tc>
        <w:tc>
          <w:tcPr>
            <w:tcW w:w="603"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7" w:type="dxa"/>
            <w:tcBorders/>
            <w:shd w:fill="CCEEFF" w:val="clear"/>
            <w:tcMar>
              <w:bottom w:w="0" w:type="dxa"/>
            </w:tcMar>
            <w:vAlign w:val="center"/>
          </w:tcPr>
          <w:p>
            <w:pPr>
              <w:pStyle w:val="TableContents"/>
              <w:bidi w:val="0"/>
              <w:spacing w:before="0" w:after="283"/>
              <w:jc w:val="left"/>
              <w:rPr/>
            </w:pPr>
            <w:r>
              <w:rPr/>
              <w:t> </w:t>
            </w:r>
          </w:p>
        </w:tc>
        <w:tc>
          <w:tcPr>
            <w:tcW w:w="633"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(92</w:t>
            </w:r>
          </w:p>
        </w:tc>
        <w:tc>
          <w:tcPr>
            <w:tcW w:w="8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65,726</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362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U.S. Treasury Note, 0.50%, 4/30/2027 Maturity</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18"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52"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97,150</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227"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3"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97"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33"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(26</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97,124</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r>
      <w:tr>
        <w:trPr/>
        <w:tc>
          <w:tcPr>
            <w:tcW w:w="3620" w:type="dxa"/>
            <w:tcBorders>
              <w:bottom w:val="double" w:sz="6"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CCEEFF" w:val="clear"/>
            <w:vAlign w:val="center"/>
          </w:tcPr>
          <w:p>
            <w:pPr>
              <w:pStyle w:val="TableContents"/>
              <w:bidi w:val="0"/>
              <w:spacing w:before="0" w:after="0"/>
              <w:ind w:left="0" w:right="0" w:hanging="0"/>
              <w:jc w:val="left"/>
              <w:rPr/>
            </w:pPr>
            <w:r>
              <w:rPr/>
              <w:t> </w:t>
            </w:r>
          </w:p>
        </w:tc>
        <w:tc>
          <w:tcPr>
            <w:tcW w:w="118" w:type="dxa"/>
            <w:tcBorders>
              <w:bottom w:val="double" w:sz="6" w:space="0" w:color="000000"/>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52" w:type="dxa"/>
            <w:tcBorders>
              <w:bottom w:val="double" w:sz="6"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183,000</w:t>
            </w:r>
          </w:p>
        </w:tc>
        <w:tc>
          <w:tcPr>
            <w:tcW w:w="60" w:type="dxa"/>
            <w:tcBorders>
              <w:bottom w:val="double" w:sz="6"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CCEEFF" w:val="clear"/>
            <w:vAlign w:val="center"/>
          </w:tcPr>
          <w:p>
            <w:pPr>
              <w:pStyle w:val="TableContents"/>
              <w:bidi w:val="0"/>
              <w:spacing w:before="0" w:after="0"/>
              <w:ind w:left="0" w:right="0" w:hanging="0"/>
              <w:jc w:val="left"/>
              <w:rPr/>
            </w:pPr>
            <w:r>
              <w:rPr/>
              <w:t> </w:t>
            </w:r>
          </w:p>
        </w:tc>
        <w:tc>
          <w:tcPr>
            <w:tcW w:w="227" w:type="dxa"/>
            <w:tcBorders>
              <w:bottom w:val="double" w:sz="6" w:space="0" w:color="000000"/>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3" w:type="dxa"/>
            <w:tcBorders>
              <w:bottom w:val="double" w:sz="6"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p>
        </w:tc>
        <w:tc>
          <w:tcPr>
            <w:tcW w:w="60" w:type="dxa"/>
            <w:tcBorders>
              <w:bottom w:val="double" w:sz="6"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CCEEFF" w:val="clear"/>
            <w:vAlign w:val="center"/>
          </w:tcPr>
          <w:p>
            <w:pPr>
              <w:pStyle w:val="TableContents"/>
              <w:bidi w:val="0"/>
              <w:spacing w:before="0" w:after="0"/>
              <w:ind w:left="0" w:right="0" w:hanging="0"/>
              <w:jc w:val="left"/>
              <w:rPr/>
            </w:pPr>
            <w:r>
              <w:rPr/>
              <w:t> </w:t>
            </w:r>
          </w:p>
        </w:tc>
        <w:tc>
          <w:tcPr>
            <w:tcW w:w="197" w:type="dxa"/>
            <w:tcBorders>
              <w:bottom w:val="double" w:sz="6" w:space="0" w:color="000000"/>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33" w:type="dxa"/>
            <w:tcBorders>
              <w:bottom w:val="double" w:sz="6"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(138</w:t>
            </w:r>
          </w:p>
        </w:tc>
        <w:tc>
          <w:tcPr>
            <w:tcW w:w="80" w:type="dxa"/>
            <w:tcBorders>
              <w:bottom w:val="double" w:sz="6" w:space="0" w:color="000000"/>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bottom w:val="double" w:sz="6" w:space="0" w:color="000000"/>
            </w:tcBorders>
            <w:shd w:fill="CCEEFF" w:val="cle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5" w:type="dxa"/>
            <w:tcBorders>
              <w:bottom w:val="double" w:sz="6"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182,862</w:t>
            </w:r>
          </w:p>
        </w:tc>
        <w:tc>
          <w:tcPr>
            <w:tcW w:w="60" w:type="dxa"/>
            <w:tcBorders>
              <w:bottom w:val="double" w:sz="6" w:space="0" w:color="000000"/>
            </w:tcBorders>
            <w:shd w:fill="CCEEFF" w:val="clear"/>
            <w:vAlign w:val="center"/>
          </w:tcPr>
          <w:p>
            <w:pPr>
              <w:pStyle w:val="TableContents"/>
              <w:bidi w:val="0"/>
              <w:spacing w:before="0" w:after="0"/>
              <w:jc w:val="left"/>
              <w:rPr/>
            </w:pPr>
            <w:r>
              <w:rPr/>
              <w:t> </w:t>
            </w:r>
          </w:p>
        </w:tc>
      </w:tr>
      <w:tr>
        <w:trPr/>
        <w:tc>
          <w:tcPr>
            <w:tcW w:w="362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b/>
                <w:sz w:val="18"/>
              </w:rPr>
            </w:pPr>
            <w:r>
              <w:rPr>
                <w:rFonts w:ascii="Times New Roman" w:hAnsi="Times New Roman"/>
                <w:b/>
                <w:sz w:val="18"/>
              </w:rPr>
              <w:t>December 31,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jc w:val="left"/>
              <w:rPr/>
            </w:pPr>
            <w:r>
              <w:rPr/>
              <w:t> </w:t>
            </w:r>
          </w:p>
        </w:tc>
        <w:tc>
          <w:tcPr>
            <w:tcW w:w="65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 w:type="dxa"/>
            <w:tcBorders/>
            <w:shd w:fill="FFFFFF" w:val="clear"/>
            <w:tcMar>
              <w:bottom w:w="0" w:type="dxa"/>
            </w:tcMar>
            <w:vAlign w:val="center"/>
          </w:tcPr>
          <w:p>
            <w:pPr>
              <w:pStyle w:val="TableContents"/>
              <w:bidi w:val="0"/>
              <w:spacing w:before="0" w:after="283"/>
              <w:jc w:val="left"/>
              <w:rPr/>
            </w:pPr>
            <w:r>
              <w:rPr/>
              <w:t> </w:t>
            </w:r>
          </w:p>
        </w:tc>
        <w:tc>
          <w:tcPr>
            <w:tcW w:w="60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7" w:type="dxa"/>
            <w:tcBorders/>
            <w:shd w:fill="FFFFFF" w:val="clear"/>
            <w:tcMar>
              <w:bottom w:w="0" w:type="dxa"/>
            </w:tcMar>
            <w:vAlign w:val="center"/>
          </w:tcPr>
          <w:p>
            <w:pPr>
              <w:pStyle w:val="TableContents"/>
              <w:bidi w:val="0"/>
              <w:spacing w:before="0" w:after="283"/>
              <w:jc w:val="left"/>
              <w:rPr/>
            </w:pPr>
            <w:r>
              <w:rPr/>
              <w:t> </w:t>
            </w:r>
          </w:p>
        </w:tc>
        <w:tc>
          <w:tcPr>
            <w:tcW w:w="633"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362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U.S. Treasury Note, 4.625%, 6/30/2026 Maturity</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18"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52"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100,136</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227"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3"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395</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97"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33"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p>
        </w:tc>
        <w:tc>
          <w:tcPr>
            <w:tcW w:w="8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1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100,531</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362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U.S. Treasury Note, 0.75%, 5/31/2026 Maturity</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18"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52"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34,579</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227"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3"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23</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97"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33" w:type="dxa"/>
            <w:tcBorders>
              <w:bottom w:val="single" w:sz="2" w:space="0" w:color="000000"/>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5"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34,602</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r>
      <w:tr>
        <w:trPr/>
        <w:tc>
          <w:tcPr>
            <w:tcW w:w="3620" w:type="dxa"/>
            <w:tcBorders>
              <w:bottom w:val="double" w:sz="6"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CCEEFF" w:val="clear"/>
            <w:vAlign w:val="center"/>
          </w:tcPr>
          <w:p>
            <w:pPr>
              <w:pStyle w:val="TableContents"/>
              <w:bidi w:val="0"/>
              <w:spacing w:before="0" w:after="0"/>
              <w:ind w:left="0" w:right="0" w:hanging="0"/>
              <w:jc w:val="left"/>
              <w:rPr/>
            </w:pPr>
            <w:r>
              <w:rPr/>
              <w:t> </w:t>
            </w:r>
          </w:p>
        </w:tc>
        <w:tc>
          <w:tcPr>
            <w:tcW w:w="118" w:type="dxa"/>
            <w:tcBorders>
              <w:bottom w:val="double" w:sz="6" w:space="0" w:color="000000"/>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52" w:type="dxa"/>
            <w:tcBorders>
              <w:bottom w:val="double" w:sz="6"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134,715</w:t>
            </w:r>
          </w:p>
        </w:tc>
        <w:tc>
          <w:tcPr>
            <w:tcW w:w="60" w:type="dxa"/>
            <w:tcBorders>
              <w:bottom w:val="double" w:sz="6"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CCEEFF" w:val="clear"/>
            <w:vAlign w:val="center"/>
          </w:tcPr>
          <w:p>
            <w:pPr>
              <w:pStyle w:val="TableContents"/>
              <w:bidi w:val="0"/>
              <w:spacing w:before="0" w:after="0"/>
              <w:ind w:left="0" w:right="0" w:hanging="0"/>
              <w:jc w:val="left"/>
              <w:rPr/>
            </w:pPr>
            <w:r>
              <w:rPr/>
              <w:t> </w:t>
            </w:r>
          </w:p>
        </w:tc>
        <w:tc>
          <w:tcPr>
            <w:tcW w:w="227" w:type="dxa"/>
            <w:tcBorders>
              <w:bottom w:val="double" w:sz="6" w:space="0" w:color="000000"/>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3" w:type="dxa"/>
            <w:tcBorders>
              <w:bottom w:val="double" w:sz="6"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418</w:t>
            </w:r>
          </w:p>
        </w:tc>
        <w:tc>
          <w:tcPr>
            <w:tcW w:w="60" w:type="dxa"/>
            <w:tcBorders>
              <w:bottom w:val="double" w:sz="6"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CCEEFF" w:val="clear"/>
            <w:vAlign w:val="center"/>
          </w:tcPr>
          <w:p>
            <w:pPr>
              <w:pStyle w:val="TableContents"/>
              <w:bidi w:val="0"/>
              <w:spacing w:before="0" w:after="0"/>
              <w:ind w:left="0" w:right="0" w:hanging="0"/>
              <w:jc w:val="left"/>
              <w:rPr/>
            </w:pPr>
            <w:r>
              <w:rPr/>
              <w:t> </w:t>
            </w:r>
          </w:p>
        </w:tc>
        <w:tc>
          <w:tcPr>
            <w:tcW w:w="197" w:type="dxa"/>
            <w:tcBorders>
              <w:bottom w:val="double" w:sz="6" w:space="0" w:color="000000"/>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33" w:type="dxa"/>
            <w:tcBorders>
              <w:bottom w:val="double" w:sz="6"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p>
        </w:tc>
        <w:tc>
          <w:tcPr>
            <w:tcW w:w="80" w:type="dxa"/>
            <w:tcBorders>
              <w:bottom w:val="double" w:sz="6"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CCEEFF" w:val="cle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5" w:type="dxa"/>
            <w:tcBorders>
              <w:bottom w:val="double" w:sz="6"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135,133</w:t>
            </w:r>
          </w:p>
        </w:tc>
        <w:tc>
          <w:tcPr>
            <w:tcW w:w="60" w:type="dxa"/>
            <w:tcBorders>
              <w:bottom w:val="double" w:sz="6" w:space="0" w:color="000000"/>
            </w:tcBorders>
            <w:shd w:fill="CCEEFF" w:val="clear"/>
            <w:vAlign w:val="center"/>
          </w:tcPr>
          <w:p>
            <w:pPr>
              <w:pStyle w:val="TableContents"/>
              <w:bidi w:val="0"/>
              <w:spacing w:before="0" w:after="0"/>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Because all of the Company's available-for-sale securities are backed by the full faith and credit of the U.S. government, the Company has not recorded an allowance for credit losses.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4.</w:t>
      </w:r>
      <w:r>
        <w:rPr>
          <w:rFonts w:ascii="Times New Roman" w:hAnsi="Times New Roman"/>
          <w:b/>
          <w:caps w:val="false"/>
          <w:smallCaps w:val="false"/>
          <w:sz w:val="20"/>
        </w:rPr>
        <w:t xml:space="preserve"> REPURCHASE AGREEMENTS AND REVERSE REPURCHASE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b/>
          <w:caps w:val="false"/>
          <w:smallCaps w:val="false"/>
          <w:sz w:val="20"/>
        </w:rPr>
      </w:pPr>
      <w:r>
        <w:rPr>
          <w:rFonts w:ascii="Times New Roman" w:hAnsi="Times New Roman"/>
          <w:b/>
          <w:caps w:val="false"/>
          <w:smallCaps w:val="false"/>
          <w:sz w:val="20"/>
        </w:rPr>
        <w:t>Repurchase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Company pledges certain of its RMBS as collateral under repurchase agreements with financial institutions. Interest rates are generally fixed based on prevailing rates corresponding to the terms of the borrowings, and interest is generally paid at the termination of a borrowing. If the fair value of the pledged securities declines, lenders will typically require the Company to post additional collateral or pay down borrowings to re-establish agreed upon collateral requirements, referred to as "margin calls." Similarly, if the fair value of the pledged securities increases, lenders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release collateral back to the Company.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the Company had met all margin call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Times;serif" w:hAnsi="Times New Roman;Times;serif"/>
          <w:sz w:val="20"/>
        </w:rPr>
        <w:t xml:space="preserve">As of </w:t>
      </w:r>
      <w:r>
        <w:rPr>
          <w:rStyle w:val="Emphasis"/>
          <w:rFonts w:ascii="Times New Roman;Times;serif" w:hAnsi="Times New Roman;Times;serif"/>
          <w:sz w:val="20"/>
        </w:rPr>
        <w:t>June 30, 2026</w:t>
      </w:r>
      <w:r>
        <w:rPr>
          <w:rFonts w:ascii="Times New Roman;Times;serif" w:hAnsi="Times New Roman;Times;serif"/>
          <w:sz w:val="20"/>
        </w:rPr>
        <w:t xml:space="preserve"> and </w:t>
      </w:r>
      <w:r>
        <w:rPr>
          <w:rStyle w:val="Emphasis"/>
          <w:rFonts w:ascii="Times New Roman;Times;serif" w:hAnsi="Times New Roman;Times;serif"/>
          <w:sz w:val="20"/>
        </w:rPr>
        <w:t>December 31, 2025</w:t>
      </w:r>
      <w:r>
        <w:rPr>
          <w:rFonts w:ascii="Times New Roman;Times;serif" w:hAnsi="Times New Roman;Times;serif"/>
          <w:sz w:val="20"/>
        </w:rPr>
        <w:t>, the Company’s repurchase agreements had remaining maturities as summarized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158"/>
        <w:gridCol w:w="60"/>
        <w:gridCol w:w="636"/>
        <w:gridCol w:w="464"/>
        <w:gridCol w:w="60"/>
        <w:gridCol w:w="60"/>
        <w:gridCol w:w="131"/>
        <w:gridCol w:w="884"/>
        <w:gridCol w:w="170"/>
        <w:gridCol w:w="60"/>
        <w:gridCol w:w="140"/>
        <w:gridCol w:w="949"/>
        <w:gridCol w:w="170"/>
        <w:gridCol w:w="60"/>
        <w:gridCol w:w="132"/>
        <w:gridCol w:w="728"/>
        <w:gridCol w:w="170"/>
        <w:gridCol w:w="60"/>
        <w:gridCol w:w="110"/>
        <w:gridCol w:w="830"/>
        <w:gridCol w:w="173"/>
      </w:tblGrid>
      <w:tr>
        <w:trPr/>
        <w:tc>
          <w:tcPr>
            <w:tcW w:w="4158"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 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36" w:type="dxa"/>
            <w:tcBorders>
              <w:bottom w:val="single" w:sz="2" w:space="0" w:color="000000"/>
            </w:tcBorders>
            <w:shd w:fill="FFFFFF" w:val="clear"/>
            <w:vAlign w:val="center"/>
          </w:tcPr>
          <w:p>
            <w:pPr>
              <w:pStyle w:val="TableContents"/>
              <w:bidi w:val="0"/>
              <w:spacing w:before="0" w:after="283"/>
              <w:jc w:val="left"/>
              <w:rPr/>
            </w:pPr>
            <w:r>
              <w:rPr/>
              <w:t> </w:t>
            </w:r>
          </w:p>
        </w:tc>
        <w:tc>
          <w:tcPr>
            <w:tcW w:w="464"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vAlign w:val="center"/>
          </w:tcPr>
          <w:p>
            <w:pPr>
              <w:pStyle w:val="TableContents"/>
              <w:bidi w:val="0"/>
              <w:spacing w:before="0" w:after="283"/>
              <w:jc w:val="left"/>
              <w:rPr/>
            </w:pPr>
            <w:r>
              <w:rPr/>
              <w:t> </w:t>
            </w:r>
          </w:p>
        </w:tc>
        <w:tc>
          <w:tcPr>
            <w:tcW w:w="884"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vAlign w:val="center"/>
          </w:tcPr>
          <w:p>
            <w:pPr>
              <w:pStyle w:val="TableContents"/>
              <w:bidi w:val="0"/>
              <w:spacing w:before="0" w:after="283"/>
              <w:jc w:val="left"/>
              <w:rPr/>
            </w:pPr>
            <w:r>
              <w:rPr/>
              <w:t> </w:t>
            </w:r>
          </w:p>
        </w:tc>
        <w:tc>
          <w:tcPr>
            <w:tcW w:w="949"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vAlign w:val="center"/>
          </w:tcPr>
          <w:p>
            <w:pPr>
              <w:pStyle w:val="TableContents"/>
              <w:bidi w:val="0"/>
              <w:spacing w:before="0" w:after="283"/>
              <w:jc w:val="left"/>
              <w:rPr/>
            </w:pPr>
            <w:r>
              <w:rPr/>
              <w:t> </w:t>
            </w:r>
          </w:p>
        </w:tc>
        <w:tc>
          <w:tcPr>
            <w:tcW w:w="728"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15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OVERNIGHT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1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BETWEEN 2</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89"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BETWEEN 31</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6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GREATER</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center"/>
              <w:rPr/>
            </w:pPr>
            <w:r>
              <w:rPr>
                <w:rStyle w:val="Emphasis"/>
              </w:rPr>
              <w:t> </w:t>
            </w:r>
          </w:p>
        </w:tc>
        <w:tc>
          <w:tcPr>
            <w:tcW w:w="173" w:type="dxa"/>
            <w:tcBorders/>
            <w:shd w:fill="FFFFFF" w:val="clear"/>
            <w:tcMar>
              <w:bottom w:w="0" w:type="dxa"/>
            </w:tcMar>
            <w:vAlign w:val="center"/>
          </w:tcPr>
          <w:p>
            <w:pPr>
              <w:pStyle w:val="TableContents"/>
              <w:bidi w:val="0"/>
              <w:spacing w:before="0" w:after="283"/>
              <w:jc w:val="left"/>
              <w:rPr/>
            </w:pPr>
            <w:r>
              <w:rPr/>
              <w:t> </w:t>
            </w:r>
          </w:p>
        </w:tc>
      </w:tr>
      <w:tr>
        <w:trPr/>
        <w:tc>
          <w:tcPr>
            <w:tcW w:w="415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(1 DAY 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1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AND</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89"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AND</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6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THAN</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center"/>
              <w:rPr/>
            </w:pPr>
            <w:r>
              <w:rPr>
                <w:rStyle w:val="Emphasis"/>
              </w:rPr>
              <w:t> </w:t>
            </w:r>
          </w:p>
        </w:tc>
        <w:tc>
          <w:tcPr>
            <w:tcW w:w="173" w:type="dxa"/>
            <w:tcBorders/>
            <w:shd w:fill="FFFFFF" w:val="clear"/>
            <w:tcMar>
              <w:bottom w:w="0" w:type="dxa"/>
            </w:tcMar>
            <w:vAlign w:val="center"/>
          </w:tcPr>
          <w:p>
            <w:pPr>
              <w:pStyle w:val="TableContents"/>
              <w:bidi w:val="0"/>
              <w:spacing w:before="0" w:after="283"/>
              <w:jc w:val="left"/>
              <w:rPr/>
            </w:pPr>
            <w:r>
              <w:rPr/>
              <w:t> </w:t>
            </w:r>
          </w:p>
        </w:tc>
      </w:tr>
      <w:tr>
        <w:trPr/>
        <w:tc>
          <w:tcPr>
            <w:tcW w:w="4158"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10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LESS)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1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30 DAYS</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8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90 DAYS</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90 DAYS</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TOTAL</w:t>
            </w:r>
          </w:p>
        </w:tc>
        <w:tc>
          <w:tcPr>
            <w:tcW w:w="173"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158"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June 30, 2026</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36" w:type="dxa"/>
            <w:tcBorders>
              <w:bottom w:val="single" w:sz="2" w:space="0" w:color="000000"/>
            </w:tcBorders>
            <w:shd w:fill="FFFFFF" w:val="clear"/>
            <w:vAlign w:val="center"/>
          </w:tcPr>
          <w:p>
            <w:pPr>
              <w:pStyle w:val="TableContents"/>
              <w:bidi w:val="0"/>
              <w:spacing w:before="0" w:after="283"/>
              <w:jc w:val="left"/>
              <w:rPr/>
            </w:pPr>
            <w:r>
              <w:rPr/>
              <w:t> </w:t>
            </w:r>
          </w:p>
        </w:tc>
        <w:tc>
          <w:tcPr>
            <w:tcW w:w="464"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vAlign w:val="center"/>
          </w:tcPr>
          <w:p>
            <w:pPr>
              <w:pStyle w:val="TableContents"/>
              <w:bidi w:val="0"/>
              <w:spacing w:before="0" w:after="283"/>
              <w:jc w:val="left"/>
              <w:rPr/>
            </w:pPr>
            <w:r>
              <w:rPr/>
              <w:t> </w:t>
            </w:r>
          </w:p>
        </w:tc>
        <w:tc>
          <w:tcPr>
            <w:tcW w:w="884"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vAlign w:val="center"/>
          </w:tcPr>
          <w:p>
            <w:pPr>
              <w:pStyle w:val="TableContents"/>
              <w:bidi w:val="0"/>
              <w:spacing w:before="0" w:after="283"/>
              <w:jc w:val="left"/>
              <w:rPr/>
            </w:pPr>
            <w:r>
              <w:rPr/>
              <w:t> </w:t>
            </w:r>
          </w:p>
        </w:tc>
        <w:tc>
          <w:tcPr>
            <w:tcW w:w="949"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vAlign w:val="center"/>
          </w:tcPr>
          <w:p>
            <w:pPr>
              <w:pStyle w:val="TableContents"/>
              <w:bidi w:val="0"/>
              <w:spacing w:before="0" w:after="283"/>
              <w:jc w:val="left"/>
              <w:rPr/>
            </w:pPr>
            <w:r>
              <w:rPr/>
              <w:t> </w:t>
            </w:r>
          </w:p>
        </w:tc>
        <w:tc>
          <w:tcPr>
            <w:tcW w:w="728"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158"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18"/>
              </w:rPr>
            </w:pPr>
            <w:r>
              <w:rPr>
                <w:rFonts w:ascii="Times New Roman" w:hAnsi="Times New Roman"/>
                <w:caps w:val="false"/>
                <w:smallCaps w:val="false"/>
                <w:sz w:val="18"/>
              </w:rPr>
              <w:t>Fair value of securities pledged, including accrued interest receivable</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36"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46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1"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8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7,522,852</w:t>
            </w:r>
          </w:p>
        </w:tc>
        <w:tc>
          <w:tcPr>
            <w:tcW w:w="1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40"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949"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3,876,650</w:t>
            </w:r>
          </w:p>
        </w:tc>
        <w:tc>
          <w:tcPr>
            <w:tcW w:w="1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2"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72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99,663</w:t>
            </w:r>
          </w:p>
        </w:tc>
        <w:tc>
          <w:tcPr>
            <w:tcW w:w="1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11,499,165</w:t>
            </w:r>
          </w:p>
        </w:tc>
        <w:tc>
          <w:tcPr>
            <w:tcW w:w="173" w:type="dxa"/>
            <w:tcBorders/>
            <w:shd w:fill="CCEEFF" w:val="clear"/>
            <w:tcMar>
              <w:bottom w:w="0" w:type="dxa"/>
            </w:tcMar>
            <w:vAlign w:val="center"/>
          </w:tcPr>
          <w:p>
            <w:pPr>
              <w:pStyle w:val="TableContents"/>
              <w:bidi w:val="0"/>
              <w:spacing w:before="0" w:after="283"/>
              <w:jc w:val="left"/>
              <w:rPr/>
            </w:pPr>
            <w:r>
              <w:rPr/>
              <w:t> </w:t>
            </w:r>
          </w:p>
        </w:tc>
      </w:tr>
      <w:tr>
        <w:trPr/>
        <w:tc>
          <w:tcPr>
            <w:tcW w:w="4158" w:type="dxa"/>
            <w:tcBorders/>
            <w:shd w:fill="FFFF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18"/>
              </w:rPr>
            </w:pPr>
            <w:r>
              <w:rPr>
                <w:rFonts w:ascii="Times New Roman" w:hAnsi="Times New Roman"/>
                <w:caps w:val="false"/>
                <w:smallCaps w:val="false"/>
                <w:sz w:val="18"/>
              </w:rPr>
              <w:t>Repurchase agreement liabilities associated with these securities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36"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46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1"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8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7,254,945</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0"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949"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3,750,480</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2"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72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81,490</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3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11,086,915</w:t>
            </w:r>
          </w:p>
        </w:tc>
        <w:tc>
          <w:tcPr>
            <w:tcW w:w="173" w:type="dxa"/>
            <w:tcBorders/>
            <w:shd w:fill="FFFFFF" w:val="clear"/>
            <w:tcMar>
              <w:bottom w:w="0" w:type="dxa"/>
            </w:tcMar>
            <w:vAlign w:val="center"/>
          </w:tcPr>
          <w:p>
            <w:pPr>
              <w:pStyle w:val="TableContents"/>
              <w:bidi w:val="0"/>
              <w:spacing w:before="0" w:after="283"/>
              <w:jc w:val="left"/>
              <w:rPr/>
            </w:pPr>
            <w:r>
              <w:rPr/>
              <w:t> </w:t>
            </w:r>
          </w:p>
        </w:tc>
      </w:tr>
      <w:tr>
        <w:trPr/>
        <w:tc>
          <w:tcPr>
            <w:tcW w:w="4158"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Net weighted average borrowing rate</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3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6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3.77</w:t>
            </w:r>
          </w:p>
        </w:tc>
        <w:tc>
          <w:tcPr>
            <w:tcW w:w="170" w:type="dxa"/>
            <w:tcBorders>
              <w:bottom w:val="single" w:sz="2" w:space="0" w:color="000000"/>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4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3.78</w:t>
            </w:r>
          </w:p>
        </w:tc>
        <w:tc>
          <w:tcPr>
            <w:tcW w:w="170" w:type="dxa"/>
            <w:tcBorders>
              <w:bottom w:val="single" w:sz="2" w:space="0" w:color="000000"/>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2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3.80</w:t>
            </w:r>
          </w:p>
        </w:tc>
        <w:tc>
          <w:tcPr>
            <w:tcW w:w="170" w:type="dxa"/>
            <w:tcBorders>
              <w:bottom w:val="single" w:sz="2" w:space="0" w:color="000000"/>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3.77</w:t>
            </w:r>
          </w:p>
        </w:tc>
        <w:tc>
          <w:tcPr>
            <w:tcW w:w="173" w:type="dxa"/>
            <w:tcBorders>
              <w:bottom w:val="single" w:sz="2" w:space="0" w:color="000000"/>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4158"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December 31, 2025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36" w:type="dxa"/>
            <w:tcBorders>
              <w:bottom w:val="single" w:sz="2" w:space="0" w:color="000000"/>
            </w:tcBorders>
            <w:shd w:fill="FFFFFF" w:val="clear"/>
            <w:vAlign w:val="center"/>
          </w:tcPr>
          <w:p>
            <w:pPr>
              <w:pStyle w:val="TableContents"/>
              <w:bidi w:val="0"/>
              <w:spacing w:before="0" w:after="283"/>
              <w:jc w:val="left"/>
              <w:rPr/>
            </w:pPr>
            <w:r>
              <w:rPr/>
              <w:t> </w:t>
            </w:r>
          </w:p>
        </w:tc>
        <w:tc>
          <w:tcPr>
            <w:tcW w:w="464"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vAlign w:val="center"/>
          </w:tcPr>
          <w:p>
            <w:pPr>
              <w:pStyle w:val="TableContents"/>
              <w:bidi w:val="0"/>
              <w:spacing w:before="0" w:after="283"/>
              <w:jc w:val="left"/>
              <w:rPr/>
            </w:pPr>
            <w:r>
              <w:rPr/>
              <w:t> </w:t>
            </w:r>
          </w:p>
        </w:tc>
        <w:tc>
          <w:tcPr>
            <w:tcW w:w="884"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vAlign w:val="center"/>
          </w:tcPr>
          <w:p>
            <w:pPr>
              <w:pStyle w:val="TableContents"/>
              <w:bidi w:val="0"/>
              <w:spacing w:before="0" w:after="283"/>
              <w:jc w:val="left"/>
              <w:rPr/>
            </w:pPr>
            <w:r>
              <w:rPr/>
              <w:t> </w:t>
            </w:r>
          </w:p>
        </w:tc>
        <w:tc>
          <w:tcPr>
            <w:tcW w:w="949"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vAlign w:val="center"/>
          </w:tcPr>
          <w:p>
            <w:pPr>
              <w:pStyle w:val="TableContents"/>
              <w:bidi w:val="0"/>
              <w:spacing w:before="0" w:after="283"/>
              <w:jc w:val="left"/>
              <w:rPr/>
            </w:pPr>
            <w:r>
              <w:rPr/>
              <w:t> </w:t>
            </w:r>
          </w:p>
        </w:tc>
        <w:tc>
          <w:tcPr>
            <w:tcW w:w="728"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158"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18"/>
              </w:rPr>
            </w:pPr>
            <w:r>
              <w:rPr>
                <w:rFonts w:ascii="Times New Roman" w:hAnsi="Times New Roman"/>
                <w:caps w:val="false"/>
                <w:smallCaps w:val="false"/>
                <w:sz w:val="18"/>
              </w:rPr>
              <w:t>Fair value of securities pledged, including accrued interest receivable</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36"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46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1"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8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6,821,306</w:t>
            </w:r>
          </w:p>
        </w:tc>
        <w:tc>
          <w:tcPr>
            <w:tcW w:w="1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40"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949"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3,445,678</w:t>
            </w:r>
          </w:p>
        </w:tc>
        <w:tc>
          <w:tcPr>
            <w:tcW w:w="1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2"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72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284,296</w:t>
            </w:r>
          </w:p>
        </w:tc>
        <w:tc>
          <w:tcPr>
            <w:tcW w:w="1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10,551,280</w:t>
            </w:r>
          </w:p>
        </w:tc>
        <w:tc>
          <w:tcPr>
            <w:tcW w:w="173" w:type="dxa"/>
            <w:tcBorders/>
            <w:shd w:fill="CCEEFF" w:val="clear"/>
            <w:tcMar>
              <w:bottom w:w="0" w:type="dxa"/>
            </w:tcMar>
            <w:vAlign w:val="center"/>
          </w:tcPr>
          <w:p>
            <w:pPr>
              <w:pStyle w:val="TableContents"/>
              <w:bidi w:val="0"/>
              <w:spacing w:before="0" w:after="283"/>
              <w:jc w:val="left"/>
              <w:rPr/>
            </w:pPr>
            <w:r>
              <w:rPr/>
              <w:t> </w:t>
            </w:r>
          </w:p>
        </w:tc>
      </w:tr>
      <w:tr>
        <w:trPr/>
        <w:tc>
          <w:tcPr>
            <w:tcW w:w="4158" w:type="dxa"/>
            <w:tcBorders/>
            <w:shd w:fill="FFFF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18"/>
              </w:rPr>
            </w:pPr>
            <w:r>
              <w:rPr>
                <w:rFonts w:ascii="Times New Roman" w:hAnsi="Times New Roman"/>
                <w:caps w:val="false"/>
                <w:smallCaps w:val="false"/>
                <w:sz w:val="18"/>
              </w:rPr>
              <w:t>Repurchase agreement liabilities associated with these securities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36"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46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1"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8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6,544,072</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0"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949"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3,297,567</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2"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72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273,827</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3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10,115,466</w:t>
            </w:r>
          </w:p>
        </w:tc>
        <w:tc>
          <w:tcPr>
            <w:tcW w:w="173" w:type="dxa"/>
            <w:tcBorders/>
            <w:shd w:fill="FFFFFF" w:val="clear"/>
            <w:tcMar>
              <w:bottom w:w="0" w:type="dxa"/>
            </w:tcMar>
            <w:vAlign w:val="center"/>
          </w:tcPr>
          <w:p>
            <w:pPr>
              <w:pStyle w:val="TableContents"/>
              <w:bidi w:val="0"/>
              <w:spacing w:before="0" w:after="283"/>
              <w:jc w:val="left"/>
              <w:rPr/>
            </w:pPr>
            <w:r>
              <w:rPr/>
              <w:t> </w:t>
            </w:r>
          </w:p>
        </w:tc>
      </w:tr>
      <w:tr>
        <w:trPr/>
        <w:tc>
          <w:tcPr>
            <w:tcW w:w="4158"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Net weighted average borrowing rate</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3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6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4.00</w:t>
            </w:r>
          </w:p>
        </w:tc>
        <w:tc>
          <w:tcPr>
            <w:tcW w:w="170" w:type="dxa"/>
            <w:tcBorders>
              <w:bottom w:val="single" w:sz="2" w:space="0" w:color="000000"/>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4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3.96</w:t>
            </w:r>
          </w:p>
        </w:tc>
        <w:tc>
          <w:tcPr>
            <w:tcW w:w="170" w:type="dxa"/>
            <w:tcBorders>
              <w:bottom w:val="single" w:sz="2" w:space="0" w:color="000000"/>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2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3.92</w:t>
            </w:r>
          </w:p>
        </w:tc>
        <w:tc>
          <w:tcPr>
            <w:tcW w:w="170" w:type="dxa"/>
            <w:tcBorders>
              <w:bottom w:val="single" w:sz="2" w:space="0" w:color="000000"/>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3.98</w:t>
            </w:r>
          </w:p>
        </w:tc>
        <w:tc>
          <w:tcPr>
            <w:tcW w:w="173" w:type="dxa"/>
            <w:tcBorders>
              <w:bottom w:val="single" w:sz="2" w:space="0" w:color="000000"/>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In addition, cash pledged to counterparties for repurchase agreements was approximately $111.5 million and $51.2 million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If, during the term of a repurchase agreement, a lender files for bankruptcy, the Company might experience difficulty recovering its pledged assets, which could result in an unsecured claim against the lender for the difference between the amount loaned to the Company plus interest due to the counterparty and the fair value of the collateral pledged to such lender, including the accrued interest receivable and cash posted by the Company as collateral. At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the Company had an aggregate amount at risk (the difference between the amount loaned to the Company, including interest payable and securities posted by the counterparty (if any), and the fair value of securities and cash pledged (if any), including accrued interest on such securities) with all counterparties of approximately $472.2 million.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 amount at risk with any individual counterparty that was greater than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of the Company’s equity at </w:t>
      </w:r>
      <w:r>
        <w:rPr>
          <w:rStyle w:val="Emphasis"/>
          <w:rFonts w:ascii="Times New Roman" w:hAnsi="Times New Roman"/>
          <w:caps w:val="false"/>
          <w:smallCaps w:val="false"/>
          <w:sz w:val="20"/>
        </w:rPr>
        <w:t>June 30, 2026</w:t>
      </w:r>
      <w:r>
        <w:rPr>
          <w:rFonts w:ascii="Times New Roman" w:hAnsi="Times New Roman"/>
          <w:caps w:val="false"/>
          <w:smallCaps w:val="false"/>
          <w:sz w:val="20"/>
        </w:rPr>
        <w:t> or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00"/>
        <w:jc w:val="left"/>
        <w:rPr>
          <w:rFonts w:ascii="Times New Roman" w:hAnsi="Times New Roman"/>
          <w:b/>
          <w:caps w:val="false"/>
          <w:smallCaps w:val="false"/>
          <w:sz w:val="20"/>
        </w:rPr>
      </w:pPr>
      <w:r>
        <w:rPr>
          <w:rFonts w:ascii="Times New Roman" w:hAnsi="Times New Roman"/>
          <w:b/>
          <w:caps w:val="false"/>
          <w:smallCaps w:val="false"/>
          <w:sz w:val="20"/>
        </w:rPr>
        <w:t>Reverse Repurchase Agreements</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firstLine="320"/>
        <w:jc w:val="left"/>
        <w:rPr/>
      </w:pPr>
      <w:r>
        <w:rPr>
          <w:rFonts w:ascii="Times New Roman" w:hAnsi="Times New Roman"/>
          <w:caps w:val="false"/>
          <w:smallCaps w:val="false"/>
          <w:sz w:val="20"/>
        </w:rPr>
        <w:t>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the Company had $495.8 million and $128.6 million of reverse repurchase agreements outstanding, respectively, for which we had associated obligations to return borrowed securities at fair value of $496.0 million and $128.7 million. </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DERIVATIVE AND OTHER HEDGING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table below summarizes fair value information about the Company’s derivative and other hedging instruments assets and liabilities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9613" w:type="dxa"/>
        <w:jc w:val="left"/>
        <w:tblInd w:w="0" w:type="dxa"/>
        <w:tblLayout w:type="fixed"/>
        <w:tblCellMar>
          <w:top w:w="0" w:type="dxa"/>
          <w:left w:w="0" w:type="dxa"/>
          <w:bottom w:w="28" w:type="dxa"/>
          <w:right w:w="0" w:type="dxa"/>
        </w:tblCellMar>
      </w:tblPr>
      <w:tblGrid>
        <w:gridCol w:w="4445"/>
        <w:gridCol w:w="2390"/>
        <w:gridCol w:w="60"/>
        <w:gridCol w:w="188"/>
        <w:gridCol w:w="881"/>
        <w:gridCol w:w="80"/>
        <w:gridCol w:w="60"/>
        <w:gridCol w:w="293"/>
        <w:gridCol w:w="1136"/>
        <w:gridCol w:w="80"/>
      </w:tblGrid>
      <w:tr>
        <w:trPr/>
        <w:tc>
          <w:tcPr>
            <w:tcW w:w="444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(in thousands)</w:t>
            </w:r>
          </w:p>
        </w:tc>
        <w:tc>
          <w:tcPr>
            <w:tcW w:w="239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vAlign w:val="center"/>
          </w:tcPr>
          <w:p>
            <w:pPr>
              <w:pStyle w:val="TableContents"/>
              <w:bidi w:val="0"/>
              <w:spacing w:before="0" w:after="283"/>
              <w:jc w:val="left"/>
              <w:rPr/>
            </w:pPr>
            <w:r>
              <w:rPr/>
              <w:t> </w:t>
            </w:r>
          </w:p>
        </w:tc>
        <w:tc>
          <w:tcPr>
            <w:tcW w:w="881"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93" w:type="dxa"/>
            <w:tcBorders>
              <w:bottom w:val="single" w:sz="2" w:space="0" w:color="000000"/>
            </w:tcBorders>
            <w:shd w:fill="FFFFFF" w:val="clear"/>
            <w:vAlign w:val="center"/>
          </w:tcPr>
          <w:p>
            <w:pPr>
              <w:pStyle w:val="TableContents"/>
              <w:bidi w:val="0"/>
              <w:spacing w:before="0" w:after="283"/>
              <w:jc w:val="left"/>
              <w:rPr/>
            </w:pPr>
            <w:r>
              <w:rPr/>
              <w:t> </w:t>
            </w:r>
          </w:p>
        </w:tc>
        <w:tc>
          <w:tcPr>
            <w:tcW w:w="1136"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44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Derivative and Other Hedging Instruments</w:t>
            </w:r>
          </w:p>
        </w:tc>
        <w:tc>
          <w:tcPr>
            <w:tcW w:w="2390" w:type="dxa"/>
            <w:tcBorders>
              <w:bottom w:val="single" w:sz="2" w:space="0" w:color="000000"/>
            </w:tcBorders>
            <w:shd w:fill="FFFFFF" w:val="clear"/>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18"/>
              </w:rPr>
              <w:t>Balance Sheet Location</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6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June 30, 2026</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42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December 31, 2025</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44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Assets</w:t>
            </w:r>
          </w:p>
        </w:tc>
        <w:tc>
          <w:tcPr>
            <w:tcW w:w="23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881"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3" w:type="dxa"/>
            <w:tcBorders/>
            <w:shd w:fill="CCEEFF" w:val="clear"/>
            <w:tcMar>
              <w:bottom w:w="0" w:type="dxa"/>
            </w:tcMar>
            <w:vAlign w:val="center"/>
          </w:tcPr>
          <w:p>
            <w:pPr>
              <w:pStyle w:val="TableContents"/>
              <w:bidi w:val="0"/>
              <w:spacing w:before="0" w:after="283"/>
              <w:jc w:val="left"/>
              <w:rPr/>
            </w:pPr>
            <w:r>
              <w:rPr/>
              <w:t> </w:t>
            </w:r>
          </w:p>
        </w:tc>
        <w:tc>
          <w:tcPr>
            <w:tcW w:w="1136"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44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Interest rate swaps</w:t>
            </w:r>
          </w:p>
        </w:tc>
        <w:tc>
          <w:tcPr>
            <w:tcW w:w="2390" w:type="dxa"/>
            <w:tcBorders/>
            <w:shd w:fill="FFFFFF" w:val="clear"/>
            <w:tcMar>
              <w:bottom w:w="0" w:type="dxa"/>
            </w:tcMar>
            <w:vAlign w:val="center"/>
          </w:tcPr>
          <w:p>
            <w:pPr>
              <w:pStyle w:val="TableContents"/>
              <w:bidi w:val="0"/>
              <w:spacing w:before="0" w:after="0"/>
              <w:ind w:left="0" w:right="0" w:hanging="0"/>
              <w:jc w:val="left"/>
              <w:rPr/>
            </w:pPr>
            <w:r>
              <w:rPr>
                <w:rStyle w:val="Emphasis"/>
                <w:rFonts w:ascii="Times New Roman" w:hAnsi="Times New Roman"/>
                <w:caps w:val="false"/>
                <w:smallCaps w:val="false"/>
                <w:sz w:val="18"/>
              </w:rPr>
              <w:t>Derivative assets, at fair value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88"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81"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11,520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93"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1136"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8,238</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44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Payer swaptions</w:t>
            </w:r>
          </w:p>
        </w:tc>
        <w:tc>
          <w:tcPr>
            <w:tcW w:w="2390" w:type="dxa"/>
            <w:tcBorders/>
            <w:shd w:fill="CCEEFF" w:val="clear"/>
            <w:tcMar>
              <w:bottom w:w="0" w:type="dxa"/>
            </w:tcMar>
            <w:vAlign w:val="center"/>
          </w:tcPr>
          <w:p>
            <w:pPr>
              <w:pStyle w:val="TableContents"/>
              <w:bidi w:val="0"/>
              <w:spacing w:before="0" w:after="0"/>
              <w:ind w:left="0" w:right="0" w:hanging="0"/>
              <w:jc w:val="left"/>
              <w:rPr/>
            </w:pPr>
            <w:r>
              <w:rPr>
                <w:rStyle w:val="Emphasis"/>
                <w:rFonts w:ascii="Times New Roman" w:hAnsi="Times New Roman"/>
                <w:sz w:val="18"/>
              </w:rPr>
              <w:t>Derivative assets, at fair value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881"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3,542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3" w:type="dxa"/>
            <w:tcBorders/>
            <w:shd w:fill="CCEEFF" w:val="clear"/>
            <w:tcMar>
              <w:bottom w:w="0" w:type="dxa"/>
            </w:tcMar>
            <w:vAlign w:val="center"/>
          </w:tcPr>
          <w:p>
            <w:pPr>
              <w:pStyle w:val="TableContents"/>
              <w:bidi w:val="0"/>
              <w:spacing w:before="0" w:after="283"/>
              <w:jc w:val="left"/>
              <w:rPr/>
            </w:pPr>
            <w:r>
              <w:rPr/>
              <w:t> </w:t>
            </w:r>
          </w:p>
        </w:tc>
        <w:tc>
          <w:tcPr>
            <w:tcW w:w="1136"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444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TBA securities</w:t>
            </w:r>
          </w:p>
        </w:tc>
        <w:tc>
          <w:tcPr>
            <w:tcW w:w="2390" w:type="dxa"/>
            <w:tcBorders>
              <w:bottom w:val="single" w:sz="2" w:space="0" w:color="000000"/>
            </w:tcBorders>
            <w:shd w:fill="FFFFFF" w:val="clear"/>
            <w:vAlign w:val="center"/>
          </w:tcPr>
          <w:p>
            <w:pPr>
              <w:pStyle w:val="TableContents"/>
              <w:bidi w:val="0"/>
              <w:spacing w:before="0" w:after="0"/>
              <w:ind w:left="0" w:right="0" w:hanging="0"/>
              <w:jc w:val="left"/>
              <w:rPr/>
            </w:pPr>
            <w:r>
              <w:rPr>
                <w:rStyle w:val="Emphasis"/>
                <w:rFonts w:ascii="Times New Roman" w:hAnsi="Times New Roman"/>
                <w:sz w:val="18"/>
              </w:rPr>
              <w:t>Derivative assets, at fair value</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88"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881"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293"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136"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1,015</w:t>
            </w:r>
          </w:p>
        </w:tc>
        <w:tc>
          <w:tcPr>
            <w:tcW w:w="80" w:type="dxa"/>
            <w:tcBorders>
              <w:bottom w:val="single" w:sz="2" w:space="0" w:color="000000"/>
            </w:tcBorders>
            <w:shd w:fill="FFFFFF" w:val="clear"/>
            <w:vAlign w:val="center"/>
          </w:tcPr>
          <w:p>
            <w:pPr>
              <w:pStyle w:val="TableContents"/>
              <w:bidi w:val="0"/>
              <w:spacing w:before="0" w:after="0"/>
              <w:jc w:val="left"/>
              <w:rPr/>
            </w:pPr>
            <w:r>
              <w:rPr/>
              <w:t> </w:t>
            </w:r>
          </w:p>
        </w:tc>
      </w:tr>
      <w:tr>
        <w:trPr/>
        <w:tc>
          <w:tcPr>
            <w:tcW w:w="6835" w:type="dxa"/>
            <w:gridSpan w:val="2"/>
            <w:tcBorders>
              <w:bottom w:val="double" w:sz="6" w:space="0" w:color="000000"/>
            </w:tcBorders>
            <w:shd w:fill="CCEE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18"/>
              </w:rPr>
              <w:t>Total derivative assets, at fair value</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81"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15,062</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93"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1136"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9,253</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r>
      <w:tr>
        <w:trPr/>
        <w:tc>
          <w:tcPr>
            <w:tcW w:w="4445" w:type="dxa"/>
            <w:tcBorders/>
            <w:shd w:fill="FFFFFF" w:val="clear"/>
            <w:tcMar>
              <w:bottom w:w="0" w:type="dxa"/>
            </w:tcMar>
            <w:vAlign w:val="center"/>
          </w:tcPr>
          <w:p>
            <w:pPr>
              <w:pStyle w:val="TableContents"/>
              <w:bidi w:val="0"/>
              <w:spacing w:before="0" w:after="283"/>
              <w:jc w:val="left"/>
              <w:rPr/>
            </w:pPr>
            <w:r>
              <w:rPr/>
              <w:t> </w:t>
            </w:r>
          </w:p>
        </w:tc>
        <w:tc>
          <w:tcPr>
            <w:tcW w:w="23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881"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3" w:type="dxa"/>
            <w:tcBorders/>
            <w:shd w:fill="FFFFFF" w:val="clear"/>
            <w:tcMar>
              <w:bottom w:w="0" w:type="dxa"/>
            </w:tcMar>
            <w:vAlign w:val="center"/>
          </w:tcPr>
          <w:p>
            <w:pPr>
              <w:pStyle w:val="TableContents"/>
              <w:bidi w:val="0"/>
              <w:spacing w:before="0" w:after="283"/>
              <w:jc w:val="left"/>
              <w:rPr/>
            </w:pPr>
            <w:r>
              <w:rPr/>
              <w:t> </w:t>
            </w:r>
          </w:p>
        </w:tc>
        <w:tc>
          <w:tcPr>
            <w:tcW w:w="1136"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44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Liabilities</w:t>
            </w:r>
          </w:p>
        </w:tc>
        <w:tc>
          <w:tcPr>
            <w:tcW w:w="23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881"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3" w:type="dxa"/>
            <w:tcBorders/>
            <w:shd w:fill="CCEEFF" w:val="clear"/>
            <w:tcMar>
              <w:bottom w:w="0" w:type="dxa"/>
            </w:tcMar>
            <w:vAlign w:val="center"/>
          </w:tcPr>
          <w:p>
            <w:pPr>
              <w:pStyle w:val="TableContents"/>
              <w:bidi w:val="0"/>
              <w:spacing w:before="0" w:after="283"/>
              <w:jc w:val="left"/>
              <w:rPr/>
            </w:pPr>
            <w:r>
              <w:rPr/>
              <w:t> </w:t>
            </w:r>
          </w:p>
        </w:tc>
        <w:tc>
          <w:tcPr>
            <w:tcW w:w="1136"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444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TBA securities</w:t>
            </w:r>
          </w:p>
        </w:tc>
        <w:tc>
          <w:tcPr>
            <w:tcW w:w="2390" w:type="dxa"/>
            <w:tcBorders>
              <w:bottom w:val="single" w:sz="2" w:space="0" w:color="000000"/>
            </w:tcBorders>
            <w:shd w:fill="FFFFFF" w:val="clear"/>
            <w:vAlign w:val="center"/>
          </w:tcPr>
          <w:p>
            <w:pPr>
              <w:pStyle w:val="TableContents"/>
              <w:bidi w:val="0"/>
              <w:spacing w:before="0" w:after="0"/>
              <w:ind w:left="0" w:right="0" w:hanging="0"/>
              <w:jc w:val="left"/>
              <w:rPr/>
            </w:pPr>
            <w:r>
              <w:rPr>
                <w:rStyle w:val="Emphasis"/>
                <w:rFonts w:ascii="Times New Roman" w:hAnsi="Times New Roman"/>
                <w:sz w:val="18"/>
              </w:rPr>
              <w:t>Derivative liabilities, at fair value</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88"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881"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4,723</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293"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1136"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1,846</w:t>
            </w:r>
          </w:p>
        </w:tc>
        <w:tc>
          <w:tcPr>
            <w:tcW w:w="80" w:type="dxa"/>
            <w:tcBorders>
              <w:bottom w:val="single" w:sz="2" w:space="0" w:color="000000"/>
            </w:tcBorders>
            <w:shd w:fill="FFFFFF" w:val="clear"/>
            <w:vAlign w:val="center"/>
          </w:tcPr>
          <w:p>
            <w:pPr>
              <w:pStyle w:val="TableContents"/>
              <w:bidi w:val="0"/>
              <w:spacing w:before="0" w:after="0"/>
              <w:jc w:val="left"/>
              <w:rPr/>
            </w:pPr>
            <w:r>
              <w:rPr/>
              <w:t> </w:t>
            </w:r>
          </w:p>
        </w:tc>
      </w:tr>
      <w:tr>
        <w:trPr/>
        <w:tc>
          <w:tcPr>
            <w:tcW w:w="6835" w:type="dxa"/>
            <w:gridSpan w:val="2"/>
            <w:tcBorders>
              <w:bottom w:val="double" w:sz="6" w:space="0" w:color="000000"/>
            </w:tcBorders>
            <w:shd w:fill="CCEE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18"/>
              </w:rPr>
              <w:t>Total derivative liabilities, at fair value</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81"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4,723</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93"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1136"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1,846</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r>
      <w:tr>
        <w:trPr/>
        <w:tc>
          <w:tcPr>
            <w:tcW w:w="4445" w:type="dxa"/>
            <w:tcBorders/>
            <w:shd w:fill="FFFFFF" w:val="clear"/>
            <w:tcMar>
              <w:bottom w:w="0" w:type="dxa"/>
            </w:tcMar>
            <w:vAlign w:val="center"/>
          </w:tcPr>
          <w:p>
            <w:pPr>
              <w:pStyle w:val="TableContents"/>
              <w:bidi w:val="0"/>
              <w:spacing w:before="0" w:after="283"/>
              <w:jc w:val="left"/>
              <w:rPr/>
            </w:pPr>
            <w:r>
              <w:rPr/>
              <w:t> </w:t>
            </w:r>
          </w:p>
        </w:tc>
        <w:tc>
          <w:tcPr>
            <w:tcW w:w="23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881"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3" w:type="dxa"/>
            <w:tcBorders/>
            <w:shd w:fill="FFFFFF" w:val="clear"/>
            <w:tcMar>
              <w:bottom w:w="0" w:type="dxa"/>
            </w:tcMar>
            <w:vAlign w:val="center"/>
          </w:tcPr>
          <w:p>
            <w:pPr>
              <w:pStyle w:val="TableContents"/>
              <w:bidi w:val="0"/>
              <w:spacing w:before="0" w:after="283"/>
              <w:jc w:val="left"/>
              <w:rPr/>
            </w:pPr>
            <w:r>
              <w:rPr/>
              <w:t> </w:t>
            </w:r>
          </w:p>
        </w:tc>
        <w:tc>
          <w:tcPr>
            <w:tcW w:w="1136"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44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Margin Balances Posted to (from) Counterparties</w:t>
            </w:r>
          </w:p>
        </w:tc>
        <w:tc>
          <w:tcPr>
            <w:tcW w:w="23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881"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3" w:type="dxa"/>
            <w:tcBorders/>
            <w:shd w:fill="CCEEFF" w:val="clear"/>
            <w:tcMar>
              <w:bottom w:w="0" w:type="dxa"/>
            </w:tcMar>
            <w:vAlign w:val="center"/>
          </w:tcPr>
          <w:p>
            <w:pPr>
              <w:pStyle w:val="TableContents"/>
              <w:bidi w:val="0"/>
              <w:spacing w:before="0" w:after="283"/>
              <w:jc w:val="left"/>
              <w:rPr/>
            </w:pPr>
            <w:r>
              <w:rPr/>
              <w:t> </w:t>
            </w:r>
          </w:p>
        </w:tc>
        <w:tc>
          <w:tcPr>
            <w:tcW w:w="1136"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44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Futures contracts</w:t>
            </w:r>
          </w:p>
        </w:tc>
        <w:tc>
          <w:tcPr>
            <w:tcW w:w="2390" w:type="dxa"/>
            <w:tcBorders/>
            <w:shd w:fill="FFFFFF" w:val="clear"/>
            <w:tcMar>
              <w:bottom w:w="0" w:type="dxa"/>
            </w:tcMar>
            <w:vAlign w:val="center"/>
          </w:tcPr>
          <w:p>
            <w:pPr>
              <w:pStyle w:val="TableContents"/>
              <w:bidi w:val="0"/>
              <w:spacing w:before="0" w:after="0"/>
              <w:ind w:left="0" w:right="0" w:hanging="0"/>
              <w:jc w:val="left"/>
              <w:rPr/>
            </w:pPr>
            <w:r>
              <w:rPr>
                <w:rStyle w:val="Emphasis"/>
                <w:rFonts w:ascii="Times New Roman" w:hAnsi="Times New Roman"/>
                <w:caps w:val="false"/>
                <w:smallCaps w:val="false"/>
                <w:sz w:val="18"/>
              </w:rPr>
              <w:t>Restricted cash</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88"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81"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4,140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93"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1136"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5,131</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44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Interest rate swaps</w:t>
            </w:r>
          </w:p>
        </w:tc>
        <w:tc>
          <w:tcPr>
            <w:tcW w:w="2390" w:type="dxa"/>
            <w:tcBorders/>
            <w:shd w:fill="CCEEFF" w:val="clear"/>
            <w:tcMar>
              <w:bottom w:w="0" w:type="dxa"/>
            </w:tcMar>
            <w:vAlign w:val="center"/>
          </w:tcPr>
          <w:p>
            <w:pPr>
              <w:pStyle w:val="TableContents"/>
              <w:bidi w:val="0"/>
              <w:spacing w:before="0" w:after="0"/>
              <w:ind w:left="0" w:right="0" w:hanging="0"/>
              <w:jc w:val="left"/>
              <w:rPr/>
            </w:pPr>
            <w:r>
              <w:rPr>
                <w:rStyle w:val="Emphasis"/>
                <w:rFonts w:ascii="Times New Roman" w:hAnsi="Times New Roman"/>
                <w:sz w:val="18"/>
              </w:rPr>
              <w:t>Restricted cash</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881"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9,479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3" w:type="dxa"/>
            <w:tcBorders/>
            <w:shd w:fill="CCEEFF" w:val="clear"/>
            <w:tcMar>
              <w:bottom w:w="0" w:type="dxa"/>
            </w:tcMar>
            <w:vAlign w:val="center"/>
          </w:tcPr>
          <w:p>
            <w:pPr>
              <w:pStyle w:val="TableContents"/>
              <w:bidi w:val="0"/>
              <w:spacing w:before="0" w:after="283"/>
              <w:jc w:val="left"/>
              <w:rPr/>
            </w:pPr>
            <w:r>
              <w:rPr/>
              <w:t> </w:t>
            </w:r>
          </w:p>
        </w:tc>
        <w:tc>
          <w:tcPr>
            <w:tcW w:w="1136"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44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TBA securities (including margin paid on unsettled trades)</w:t>
            </w:r>
          </w:p>
        </w:tc>
        <w:tc>
          <w:tcPr>
            <w:tcW w:w="2390" w:type="dxa"/>
            <w:tcBorders/>
            <w:shd w:fill="FFFFFF" w:val="clear"/>
            <w:tcMar>
              <w:bottom w:w="0" w:type="dxa"/>
            </w:tcMar>
            <w:vAlign w:val="center"/>
          </w:tcPr>
          <w:p>
            <w:pPr>
              <w:pStyle w:val="TableContents"/>
              <w:bidi w:val="0"/>
              <w:spacing w:before="0" w:after="0"/>
              <w:ind w:left="0" w:right="0" w:hanging="0"/>
              <w:jc w:val="left"/>
              <w:rPr/>
            </w:pPr>
            <w:r>
              <w:rPr>
                <w:rStyle w:val="Emphasis"/>
                <w:rFonts w:ascii="Times New Roman" w:hAnsi="Times New Roman"/>
                <w:caps w:val="false"/>
                <w:smallCaps w:val="false"/>
                <w:sz w:val="18"/>
              </w:rPr>
              <w:t>Restricted cash</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ind w:left="0" w:right="0" w:hanging="0"/>
              <w:jc w:val="left"/>
              <w:rPr/>
            </w:pPr>
            <w:r>
              <w:rPr/>
              <w:t> </w:t>
            </w:r>
          </w:p>
        </w:tc>
        <w:tc>
          <w:tcPr>
            <w:tcW w:w="881"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5,949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3" w:type="dxa"/>
            <w:tcBorders/>
            <w:shd w:fill="FFFFFF" w:val="clear"/>
            <w:tcMar>
              <w:bottom w:w="0" w:type="dxa"/>
            </w:tcMar>
            <w:vAlign w:val="center"/>
          </w:tcPr>
          <w:p>
            <w:pPr>
              <w:pStyle w:val="TableContents"/>
              <w:bidi w:val="0"/>
              <w:spacing w:before="0" w:after="283"/>
              <w:ind w:left="0" w:right="0" w:hanging="0"/>
              <w:jc w:val="left"/>
              <w:rPr/>
            </w:pPr>
            <w:r>
              <w:rPr/>
              <w:t> </w:t>
            </w:r>
          </w:p>
        </w:tc>
        <w:tc>
          <w:tcPr>
            <w:tcW w:w="1136"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2,394</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444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TBA securities (including margin received on unsettled trades)</w:t>
            </w:r>
          </w:p>
        </w:tc>
        <w:tc>
          <w:tcPr>
            <w:tcW w:w="2390" w:type="dxa"/>
            <w:tcBorders/>
            <w:shd w:fill="CCEEFF" w:val="clear"/>
            <w:tcMar>
              <w:bottom w:w="0" w:type="dxa"/>
            </w:tcMar>
            <w:vAlign w:val="center"/>
          </w:tcPr>
          <w:p>
            <w:pPr>
              <w:pStyle w:val="TableContents"/>
              <w:bidi w:val="0"/>
              <w:spacing w:before="0" w:after="0"/>
              <w:ind w:left="0" w:right="0" w:hanging="0"/>
              <w:jc w:val="left"/>
              <w:rPr/>
            </w:pPr>
            <w:r>
              <w:rPr>
                <w:rStyle w:val="Emphasis"/>
                <w:rFonts w:ascii="Times New Roman" w:hAnsi="Times New Roman"/>
                <w:sz w:val="18"/>
              </w:rPr>
              <w:t>Other liabilities</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88" w:type="dxa"/>
            <w:tcBorders/>
            <w:shd w:fill="CCEEFF" w:val="clear"/>
            <w:tcMar>
              <w:bottom w:w="0" w:type="dxa"/>
            </w:tcMar>
            <w:vAlign w:val="center"/>
          </w:tcPr>
          <w:p>
            <w:pPr>
              <w:pStyle w:val="TableContents"/>
              <w:bidi w:val="0"/>
              <w:spacing w:before="0" w:after="0"/>
              <w:ind w:left="0" w:right="0" w:hanging="0"/>
              <w:jc w:val="left"/>
              <w:rPr/>
            </w:pPr>
            <w:r>
              <w:rPr/>
              <w:t> </w:t>
            </w:r>
          </w:p>
        </w:tc>
        <w:tc>
          <w:tcPr>
            <w:tcW w:w="881"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(2,020</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293" w:type="dxa"/>
            <w:tcBorders/>
            <w:shd w:fill="CCEEFF" w:val="clear"/>
            <w:tcMar>
              <w:bottom w:w="0" w:type="dxa"/>
            </w:tcMar>
            <w:vAlign w:val="center"/>
          </w:tcPr>
          <w:p>
            <w:pPr>
              <w:pStyle w:val="TableContents"/>
              <w:bidi w:val="0"/>
              <w:spacing w:before="0" w:after="0"/>
              <w:ind w:left="0" w:right="0" w:hanging="0"/>
              <w:jc w:val="left"/>
              <w:rPr/>
            </w:pPr>
            <w:r>
              <w:rPr/>
              <w:t> </w:t>
            </w:r>
          </w:p>
        </w:tc>
        <w:tc>
          <w:tcPr>
            <w:tcW w:w="1136"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(360</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r>
      <w:tr>
        <w:trPr/>
        <w:tc>
          <w:tcPr>
            <w:tcW w:w="444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Swaption margin</w:t>
            </w:r>
          </w:p>
        </w:tc>
        <w:tc>
          <w:tcPr>
            <w:tcW w:w="2390" w:type="dxa"/>
            <w:tcBorders>
              <w:bottom w:val="single" w:sz="2" w:space="0" w:color="000000"/>
            </w:tcBorders>
            <w:shd w:fill="FFFFFF" w:val="clear"/>
            <w:vAlign w:val="center"/>
          </w:tcPr>
          <w:p>
            <w:pPr>
              <w:pStyle w:val="TableContents"/>
              <w:bidi w:val="0"/>
              <w:spacing w:before="0" w:after="0"/>
              <w:ind w:left="0" w:right="0" w:hanging="0"/>
              <w:jc w:val="left"/>
              <w:rPr/>
            </w:pPr>
            <w:r>
              <w:rPr>
                <w:rStyle w:val="Emphasis"/>
                <w:rFonts w:ascii="Times New Roman" w:hAnsi="Times New Roman"/>
                <w:sz w:val="18"/>
              </w:rPr>
              <w:t>Other liabilities</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88"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881"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(1,120</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293"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136"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p>
        </w:tc>
        <w:tc>
          <w:tcPr>
            <w:tcW w:w="80" w:type="dxa"/>
            <w:tcBorders>
              <w:bottom w:val="single" w:sz="2" w:space="0" w:color="000000"/>
            </w:tcBorders>
            <w:shd w:fill="FFFFFF" w:val="clear"/>
            <w:vAlign w:val="center"/>
          </w:tcPr>
          <w:p>
            <w:pPr>
              <w:pStyle w:val="TableContents"/>
              <w:bidi w:val="0"/>
              <w:spacing w:before="0" w:after="0"/>
              <w:jc w:val="left"/>
              <w:rPr/>
            </w:pPr>
            <w:r>
              <w:rPr/>
              <w:t> </w:t>
            </w:r>
          </w:p>
        </w:tc>
      </w:tr>
      <w:tr>
        <w:trPr/>
        <w:tc>
          <w:tcPr>
            <w:tcW w:w="6835" w:type="dxa"/>
            <w:gridSpan w:val="2"/>
            <w:tcBorders>
              <w:bottom w:val="double" w:sz="6" w:space="0" w:color="000000"/>
            </w:tcBorders>
            <w:shd w:fill="CCEE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18"/>
              </w:rPr>
              <w:t>Total margin balances on derivative contracts</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81"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16,428</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93"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1136"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7,165</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T-Note and SOFR futures are cash and securities settled futures contracts on their respective underlying or delivery eligible underlying U.S. Treasury security, with gains and losses credited or charged to the Company’s cash accounts on a daily basis. A minimum balance, or “margin,” is required to be maintained in the account on a daily basis. The tables below present information related to the Company’s T-Note and SOFR futures positions at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tbl>
      <w:tblPr>
        <w:tblW w:w="9734" w:type="dxa"/>
        <w:jc w:val="left"/>
        <w:tblInd w:w="0" w:type="dxa"/>
        <w:tblLayout w:type="fixed"/>
        <w:tblCellMar>
          <w:top w:w="0" w:type="dxa"/>
          <w:left w:w="0" w:type="dxa"/>
          <w:bottom w:w="28" w:type="dxa"/>
          <w:right w:w="0" w:type="dxa"/>
        </w:tblCellMar>
      </w:tblPr>
      <w:tblGrid>
        <w:gridCol w:w="6125"/>
        <w:gridCol w:w="60"/>
        <w:gridCol w:w="110"/>
        <w:gridCol w:w="605"/>
        <w:gridCol w:w="60"/>
        <w:gridCol w:w="60"/>
        <w:gridCol w:w="107"/>
        <w:gridCol w:w="603"/>
        <w:gridCol w:w="170"/>
        <w:gridCol w:w="60"/>
        <w:gridCol w:w="107"/>
        <w:gridCol w:w="603"/>
        <w:gridCol w:w="170"/>
        <w:gridCol w:w="60"/>
        <w:gridCol w:w="138"/>
        <w:gridCol w:w="616"/>
        <w:gridCol w:w="80"/>
      </w:tblGrid>
      <w:tr>
        <w:trPr/>
        <w:tc>
          <w:tcPr>
            <w:tcW w:w="612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 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60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7" w:type="dxa"/>
            <w:tcBorders>
              <w:bottom w:val="single" w:sz="2" w:space="0" w:color="000000"/>
            </w:tcBorders>
            <w:shd w:fill="FFFFFF" w:val="clear"/>
            <w:vAlign w:val="center"/>
          </w:tcPr>
          <w:p>
            <w:pPr>
              <w:pStyle w:val="TableContents"/>
              <w:bidi w:val="0"/>
              <w:spacing w:before="0" w:after="283"/>
              <w:jc w:val="left"/>
              <w:rPr/>
            </w:pPr>
            <w:r>
              <w:rPr/>
              <w:t> </w:t>
            </w:r>
          </w:p>
        </w:tc>
        <w:tc>
          <w:tcPr>
            <w:tcW w:w="603"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7" w:type="dxa"/>
            <w:tcBorders>
              <w:bottom w:val="single" w:sz="2" w:space="0" w:color="000000"/>
            </w:tcBorders>
            <w:shd w:fill="FFFFFF" w:val="clear"/>
            <w:vAlign w:val="center"/>
          </w:tcPr>
          <w:p>
            <w:pPr>
              <w:pStyle w:val="TableContents"/>
              <w:bidi w:val="0"/>
              <w:spacing w:before="0" w:after="283"/>
              <w:jc w:val="left"/>
              <w:rPr/>
            </w:pPr>
            <w:r>
              <w:rPr/>
              <w:t> </w:t>
            </w:r>
          </w:p>
        </w:tc>
        <w:tc>
          <w:tcPr>
            <w:tcW w:w="603"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vAlign w:val="center"/>
          </w:tcPr>
          <w:p>
            <w:pPr>
              <w:pStyle w:val="TableContents"/>
              <w:bidi w:val="0"/>
              <w:spacing w:before="0" w:after="283"/>
              <w:jc w:val="left"/>
              <w:rPr/>
            </w:pPr>
            <w:r>
              <w:rPr/>
              <w:t> </w:t>
            </w:r>
          </w:p>
        </w:tc>
        <w:tc>
          <w:tcPr>
            <w:tcW w:w="616"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61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469" w:type="dxa"/>
            <w:gridSpan w:val="14"/>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June 30, 2026</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61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Average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Weighted</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Weighted</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 w:type="dxa"/>
            <w:tcBorders/>
            <w:shd w:fill="FFFFFF" w:val="clear"/>
            <w:tcMar>
              <w:bottom w:w="0" w:type="dxa"/>
            </w:tcMar>
            <w:vAlign w:val="center"/>
          </w:tcPr>
          <w:p>
            <w:pPr>
              <w:pStyle w:val="TableContents"/>
              <w:bidi w:val="0"/>
              <w:spacing w:before="0" w:after="283"/>
              <w:jc w:val="left"/>
              <w:rPr/>
            </w:pPr>
            <w:r>
              <w:rPr/>
              <w:t> </w:t>
            </w:r>
          </w:p>
        </w:tc>
        <w:tc>
          <w:tcPr>
            <w:tcW w:w="616"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61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Contract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Average</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Average</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 w:type="dxa"/>
            <w:tcBorders/>
            <w:shd w:fill="FFFFFF" w:val="clear"/>
            <w:tcMar>
              <w:bottom w:w="0" w:type="dxa"/>
            </w:tcMar>
            <w:vAlign w:val="center"/>
          </w:tcPr>
          <w:p>
            <w:pPr>
              <w:pStyle w:val="TableContents"/>
              <w:bidi w:val="0"/>
              <w:spacing w:before="0" w:after="283"/>
              <w:jc w:val="left"/>
              <w:rPr/>
            </w:pPr>
            <w:r>
              <w:rPr/>
              <w:t> </w:t>
            </w:r>
          </w:p>
        </w:tc>
        <w:tc>
          <w:tcPr>
            <w:tcW w:w="616"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61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Notional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Entry</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Effective</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4"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Open</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612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Expiration Year</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Amount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Rate</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Rate</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54"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Equity(1)</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6125" w:type="dxa"/>
            <w:tcBorders/>
            <w:shd w:fill="CCEEFF" w:val="clear"/>
            <w:tcMar>
              <w:bottom w:w="0" w:type="dxa"/>
            </w:tcMar>
            <w:vAlign w:val="center"/>
          </w:tcPr>
          <w:p>
            <w:pPr>
              <w:pStyle w:val="TableContents"/>
              <w:bidi w:val="0"/>
              <w:spacing w:lineRule="auto" w:line="288"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U.S. Treasury Note Futures Contracts (Short Positions)(2)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603"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603"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 w:type="dxa"/>
            <w:tcBorders/>
            <w:shd w:fill="CCEEFF" w:val="clear"/>
            <w:tcMar>
              <w:bottom w:w="0" w:type="dxa"/>
            </w:tcMar>
            <w:vAlign w:val="center"/>
          </w:tcPr>
          <w:p>
            <w:pPr>
              <w:pStyle w:val="TableContents"/>
              <w:bidi w:val="0"/>
              <w:spacing w:before="0" w:after="283"/>
              <w:jc w:val="left"/>
              <w:rPr/>
            </w:pPr>
            <w:r>
              <w:rPr/>
              <w:t> </w:t>
            </w:r>
          </w:p>
        </w:tc>
        <w:tc>
          <w:tcPr>
            <w:tcW w:w="616"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6125"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sz w:val="18"/>
              </w:rPr>
            </w:pPr>
            <w:r>
              <w:rPr>
                <w:rFonts w:ascii="Times New Roman" w:hAnsi="Times New Roman"/>
                <w:sz w:val="18"/>
              </w:rPr>
              <w:t>September 2026 10-year T-Note futures (Sep 2026 - Sep 2036 Hedge Period)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5"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188,600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603"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4.46</w:t>
            </w:r>
          </w:p>
        </w:tc>
        <w:tc>
          <w:tcPr>
            <w:tcW w:w="17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603"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4.31</w:t>
            </w:r>
          </w:p>
        </w:tc>
        <w:tc>
          <w:tcPr>
            <w:tcW w:w="17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16"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(1,773</w:t>
            </w:r>
          </w:p>
        </w:tc>
        <w:tc>
          <w:tcPr>
            <w:tcW w:w="8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6125"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sz w:val="18"/>
              </w:rPr>
            </w:pPr>
            <w:r>
              <w:rPr>
                <w:rFonts w:ascii="Times New Roman" w:hAnsi="Times New Roman"/>
                <w:sz w:val="18"/>
              </w:rPr>
              <w:t>September 2026 10-year Ultra futures (Sep 2026 - Sep 2036 Hedge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60,000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603"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4.62</w:t>
            </w:r>
          </w:p>
        </w:tc>
        <w:tc>
          <w:tcPr>
            <w:tcW w:w="17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603"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4.43</w:t>
            </w:r>
          </w:p>
        </w:tc>
        <w:tc>
          <w:tcPr>
            <w:tcW w:w="17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 w:type="dxa"/>
            <w:tcBorders/>
            <w:shd w:fill="CCEEFF" w:val="clear"/>
            <w:tcMar>
              <w:bottom w:w="0" w:type="dxa"/>
            </w:tcMar>
            <w:vAlign w:val="center"/>
          </w:tcPr>
          <w:p>
            <w:pPr>
              <w:pStyle w:val="TableContents"/>
              <w:bidi w:val="0"/>
              <w:spacing w:before="0" w:after="283"/>
              <w:jc w:val="left"/>
              <w:rPr/>
            </w:pPr>
            <w:r>
              <w:rPr/>
              <w:t> </w:t>
            </w:r>
          </w:p>
        </w:tc>
        <w:tc>
          <w:tcPr>
            <w:tcW w:w="616"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(954</w:t>
            </w:r>
          </w:p>
        </w:tc>
        <w:tc>
          <w:tcPr>
            <w:tcW w:w="8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612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b/>
                <w:sz w:val="18"/>
              </w:rPr>
            </w:pPr>
            <w:r>
              <w:rPr>
                <w:rFonts w:ascii="Times New Roman" w:hAnsi="Times New Roman"/>
                <w:b/>
                <w:sz w:val="18"/>
              </w:rPr>
              <w:t>SOFR Futures Contracts (Short Positions)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603"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603"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 w:type="dxa"/>
            <w:tcBorders/>
            <w:shd w:fill="FFFFFF" w:val="clear"/>
            <w:tcMar>
              <w:bottom w:w="0" w:type="dxa"/>
            </w:tcMar>
            <w:vAlign w:val="center"/>
          </w:tcPr>
          <w:p>
            <w:pPr>
              <w:pStyle w:val="TableContents"/>
              <w:bidi w:val="0"/>
              <w:spacing w:before="0" w:after="283"/>
              <w:jc w:val="left"/>
              <w:rPr/>
            </w:pPr>
            <w:r>
              <w:rPr/>
              <w:t> </w:t>
            </w:r>
          </w:p>
        </w:tc>
        <w:tc>
          <w:tcPr>
            <w:tcW w:w="616"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6125"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sz w:val="18"/>
              </w:rPr>
            </w:pPr>
            <w:r>
              <w:rPr>
                <w:rFonts w:ascii="Times New Roman" w:hAnsi="Times New Roman"/>
                <w:sz w:val="18"/>
              </w:rPr>
              <w:t>September 2026 3-Month SOFR futures (Jun 2026 - Sep 2026 Hedge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5"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97,500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603"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3.38</w:t>
            </w:r>
          </w:p>
        </w:tc>
        <w:tc>
          <w:tcPr>
            <w:tcW w:w="17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603"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3.70</w:t>
            </w:r>
          </w:p>
        </w:tc>
        <w:tc>
          <w:tcPr>
            <w:tcW w:w="17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16"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316</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6125"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sz w:val="18"/>
              </w:rPr>
            </w:pPr>
            <w:r>
              <w:rPr>
                <w:rFonts w:ascii="Times New Roman" w:hAnsi="Times New Roman"/>
                <w:sz w:val="18"/>
              </w:rPr>
              <w:t>December 2026 3-Month SOFR futures (Sep 2026 - Dec 2026 Hedge Period)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97,500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603"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3.27</w:t>
            </w:r>
          </w:p>
        </w:tc>
        <w:tc>
          <w:tcPr>
            <w:tcW w:w="17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603"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3.92</w:t>
            </w:r>
          </w:p>
        </w:tc>
        <w:tc>
          <w:tcPr>
            <w:tcW w:w="17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 w:type="dxa"/>
            <w:tcBorders/>
            <w:shd w:fill="FFFFFF" w:val="clear"/>
            <w:tcMar>
              <w:bottom w:w="0" w:type="dxa"/>
            </w:tcMar>
            <w:vAlign w:val="center"/>
          </w:tcPr>
          <w:p>
            <w:pPr>
              <w:pStyle w:val="TableContents"/>
              <w:bidi w:val="0"/>
              <w:spacing w:before="0" w:after="283"/>
              <w:jc w:val="left"/>
              <w:rPr/>
            </w:pPr>
            <w:r>
              <w:rPr/>
              <w:t> </w:t>
            </w:r>
          </w:p>
        </w:tc>
        <w:tc>
          <w:tcPr>
            <w:tcW w:w="616"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630</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612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March 2027 3-Month SOFR futures (Dec 2026 - Mar 2027 Hedge Period)</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10" w:type="dxa"/>
            <w:tcBorders/>
            <w:shd w:fill="CCEEFF" w:val="clear"/>
            <w:tcMar>
              <w:bottom w:w="0" w:type="dxa"/>
            </w:tcMar>
            <w:vAlign w:val="center"/>
          </w:tcPr>
          <w:p>
            <w:pPr>
              <w:pStyle w:val="TableContents"/>
              <w:bidi w:val="0"/>
              <w:spacing w:before="0" w:after="0"/>
              <w:ind w:left="0" w:right="0" w:hanging="0"/>
              <w:jc w:val="left"/>
              <w:rPr/>
            </w:pPr>
            <w:r>
              <w:rPr/>
              <w:t> </w:t>
            </w:r>
          </w:p>
        </w:tc>
        <w:tc>
          <w:tcPr>
            <w:tcW w:w="60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97,500</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07" w:type="dxa"/>
            <w:tcBorders/>
            <w:shd w:fill="CCEEFF" w:val="clear"/>
            <w:tcMar>
              <w:bottom w:w="0" w:type="dxa"/>
            </w:tcMar>
            <w:vAlign w:val="center"/>
          </w:tcPr>
          <w:p>
            <w:pPr>
              <w:pStyle w:val="TableContents"/>
              <w:bidi w:val="0"/>
              <w:spacing w:before="0" w:after="0"/>
              <w:ind w:left="0" w:right="0" w:hanging="0"/>
              <w:jc w:val="left"/>
              <w:rPr/>
            </w:pPr>
            <w:r>
              <w:rPr/>
              <w:t> </w:t>
            </w:r>
          </w:p>
        </w:tc>
        <w:tc>
          <w:tcPr>
            <w:tcW w:w="603"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3.22</w:t>
            </w:r>
          </w:p>
        </w:tc>
        <w:tc>
          <w:tcPr>
            <w:tcW w:w="17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07" w:type="dxa"/>
            <w:tcBorders/>
            <w:shd w:fill="CCEEFF" w:val="clear"/>
            <w:tcMar>
              <w:bottom w:w="0" w:type="dxa"/>
            </w:tcMar>
            <w:vAlign w:val="center"/>
          </w:tcPr>
          <w:p>
            <w:pPr>
              <w:pStyle w:val="TableContents"/>
              <w:bidi w:val="0"/>
              <w:spacing w:before="0" w:after="0"/>
              <w:ind w:left="0" w:right="0" w:hanging="0"/>
              <w:jc w:val="left"/>
              <w:rPr/>
            </w:pPr>
            <w:r>
              <w:rPr/>
              <w:t> </w:t>
            </w:r>
          </w:p>
        </w:tc>
        <w:tc>
          <w:tcPr>
            <w:tcW w:w="603"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4.04</w:t>
            </w:r>
          </w:p>
        </w:tc>
        <w:tc>
          <w:tcPr>
            <w:tcW w:w="17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38" w:type="dxa"/>
            <w:tcBorders/>
            <w:shd w:fill="CCEEFF" w:val="clear"/>
            <w:tcMar>
              <w:bottom w:w="0" w:type="dxa"/>
            </w:tcMar>
            <w:vAlign w:val="center"/>
          </w:tcPr>
          <w:p>
            <w:pPr>
              <w:pStyle w:val="TableContents"/>
              <w:bidi w:val="0"/>
              <w:spacing w:before="0" w:after="0"/>
              <w:ind w:left="0" w:right="0" w:hanging="0"/>
              <w:jc w:val="left"/>
              <w:rPr/>
            </w:pPr>
            <w:r>
              <w:rPr/>
              <w:t> </w:t>
            </w:r>
          </w:p>
        </w:tc>
        <w:tc>
          <w:tcPr>
            <w:tcW w:w="616"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802</w:t>
            </w:r>
          </w:p>
        </w:tc>
        <w:tc>
          <w:tcPr>
            <w:tcW w:w="80"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612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June 2027 3-Month SOFR futures (Mar 2027 - Jun 2027 Hedge Period)</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10" w:type="dxa"/>
            <w:tcBorders/>
            <w:shd w:fill="FFFFFF" w:val="clear"/>
            <w:tcMar>
              <w:bottom w:w="0" w:type="dxa"/>
            </w:tcMar>
            <w:vAlign w:val="center"/>
          </w:tcPr>
          <w:p>
            <w:pPr>
              <w:pStyle w:val="TableContents"/>
              <w:bidi w:val="0"/>
              <w:spacing w:before="0" w:after="0"/>
              <w:ind w:left="0" w:right="0" w:hanging="0"/>
              <w:jc w:val="left"/>
              <w:rPr/>
            </w:pPr>
            <w:r>
              <w:rPr/>
              <w:t> </w:t>
            </w:r>
          </w:p>
        </w:tc>
        <w:tc>
          <w:tcPr>
            <w:tcW w:w="605"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97,500</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07" w:type="dxa"/>
            <w:tcBorders/>
            <w:shd w:fill="FFFFFF" w:val="clear"/>
            <w:tcMar>
              <w:bottom w:w="0" w:type="dxa"/>
            </w:tcMar>
            <w:vAlign w:val="center"/>
          </w:tcPr>
          <w:p>
            <w:pPr>
              <w:pStyle w:val="TableContents"/>
              <w:bidi w:val="0"/>
              <w:spacing w:before="0" w:after="0"/>
              <w:ind w:left="0" w:right="0" w:hanging="0"/>
              <w:jc w:val="left"/>
              <w:rPr/>
            </w:pPr>
            <w:r>
              <w:rPr/>
              <w:t> </w:t>
            </w:r>
          </w:p>
        </w:tc>
        <w:tc>
          <w:tcPr>
            <w:tcW w:w="603"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3.21</w:t>
            </w:r>
          </w:p>
        </w:tc>
        <w:tc>
          <w:tcPr>
            <w:tcW w:w="17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07" w:type="dxa"/>
            <w:tcBorders/>
            <w:shd w:fill="FFFFFF" w:val="clear"/>
            <w:tcMar>
              <w:bottom w:w="0" w:type="dxa"/>
            </w:tcMar>
            <w:vAlign w:val="center"/>
          </w:tcPr>
          <w:p>
            <w:pPr>
              <w:pStyle w:val="TableContents"/>
              <w:bidi w:val="0"/>
              <w:spacing w:before="0" w:after="0"/>
              <w:ind w:left="0" w:right="0" w:hanging="0"/>
              <w:jc w:val="left"/>
              <w:rPr/>
            </w:pPr>
            <w:r>
              <w:rPr/>
              <w:t> </w:t>
            </w:r>
          </w:p>
        </w:tc>
        <w:tc>
          <w:tcPr>
            <w:tcW w:w="603"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4.08</w:t>
            </w:r>
          </w:p>
        </w:tc>
        <w:tc>
          <w:tcPr>
            <w:tcW w:w="17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38" w:type="dxa"/>
            <w:tcBorders/>
            <w:shd w:fill="FFFFFF" w:val="clear"/>
            <w:tcMar>
              <w:bottom w:w="0" w:type="dxa"/>
            </w:tcMar>
            <w:vAlign w:val="center"/>
          </w:tcPr>
          <w:p>
            <w:pPr>
              <w:pStyle w:val="TableContents"/>
              <w:bidi w:val="0"/>
              <w:spacing w:before="0" w:after="0"/>
              <w:ind w:left="0" w:right="0" w:hanging="0"/>
              <w:jc w:val="left"/>
              <w:rPr/>
            </w:pPr>
            <w:r>
              <w:rPr/>
              <w:t> </w:t>
            </w:r>
          </w:p>
        </w:tc>
        <w:tc>
          <w:tcPr>
            <w:tcW w:w="616"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851</w:t>
            </w:r>
          </w:p>
        </w:tc>
        <w:tc>
          <w:tcPr>
            <w:tcW w:w="80" w:type="dxa"/>
            <w:tcBorders/>
            <w:shd w:fill="FFFFFF" w:val="clear"/>
            <w:tcMar>
              <w:bottom w:w="0" w:type="dxa"/>
            </w:tcMar>
            <w:vAlign w:val="center"/>
          </w:tcPr>
          <w:p>
            <w:pPr>
              <w:pStyle w:val="TableContents"/>
              <w:bidi w:val="0"/>
              <w:spacing w:before="0" w:after="0"/>
              <w:jc w:val="left"/>
              <w:rPr/>
            </w:pPr>
            <w:r>
              <w:rPr/>
              <w:t> </w:t>
            </w:r>
          </w:p>
        </w:tc>
      </w:tr>
      <w:tr>
        <w:trPr/>
        <w:tc>
          <w:tcPr>
            <w:tcW w:w="6125" w:type="dxa"/>
            <w:tcBorders/>
            <w:shd w:fill="CCEEFF" w:val="clear"/>
            <w:tcMar>
              <w:bottom w:w="0" w:type="dxa"/>
            </w:tcMar>
            <w:vAlign w:val="center"/>
          </w:tcPr>
          <w:p>
            <w:pPr>
              <w:pStyle w:val="TableContents"/>
              <w:bidi w:val="0"/>
              <w:spacing w:lineRule="auto" w:line="288" w:before="0" w:after="0"/>
              <w:ind w:left="0" w:right="0" w:hanging="0"/>
              <w:jc w:val="left"/>
              <w:rPr>
                <w:rFonts w:ascii="Times New Roman" w:hAnsi="Times New Roman"/>
                <w:b/>
                <w:sz w:val="18"/>
              </w:rPr>
            </w:pPr>
            <w:r>
              <w:rPr>
                <w:rFonts w:ascii="Times New Roman" w:hAnsi="Times New Roman"/>
                <w:b/>
                <w:sz w:val="18"/>
              </w:rPr>
              <w:t>ERIS SOFR Swap Futures Contracts (Short Positions)(3)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603"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603"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 w:type="dxa"/>
            <w:tcBorders/>
            <w:shd w:fill="CCEEFF" w:val="clear"/>
            <w:tcMar>
              <w:bottom w:w="0" w:type="dxa"/>
            </w:tcMar>
            <w:vAlign w:val="center"/>
          </w:tcPr>
          <w:p>
            <w:pPr>
              <w:pStyle w:val="TableContents"/>
              <w:bidi w:val="0"/>
              <w:spacing w:before="0" w:after="283"/>
              <w:jc w:val="left"/>
              <w:rPr/>
            </w:pPr>
            <w:r>
              <w:rPr/>
              <w:t> </w:t>
            </w:r>
          </w:p>
        </w:tc>
        <w:tc>
          <w:tcPr>
            <w:tcW w:w="616"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612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September 2026 5-Year Term, 3.75% fixed rate, (Sep 2026 - Sep 2031 Hedge Period)</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5"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10,000</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07"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3"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4.01</w:t>
            </w:r>
          </w:p>
        </w:tc>
        <w:tc>
          <w:tcPr>
            <w:tcW w:w="17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07"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3"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3.91</w:t>
            </w:r>
          </w:p>
        </w:tc>
        <w:tc>
          <w:tcPr>
            <w:tcW w:w="17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38"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16"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(38</w:t>
            </w:r>
          </w:p>
        </w:tc>
        <w:tc>
          <w:tcPr>
            <w:tcW w:w="80" w:type="dxa"/>
            <w:tcBorders>
              <w:bottom w:val="single" w:sz="2" w:space="0" w:color="000000"/>
            </w:tcBorders>
            <w:shd w:fill="FFFFFF" w:val="clear"/>
            <w:vAlign w:val="center"/>
          </w:tcPr>
          <w:p>
            <w:pPr>
              <w:pStyle w:val="TableContents"/>
              <w:bidi w:val="0"/>
              <w:spacing w:before="0" w:after="0"/>
              <w:jc w:val="left"/>
              <w:rPr>
                <w:rFonts w:ascii="Times New Roman" w:hAnsi="Times New Roman"/>
                <w:sz w:val="18"/>
              </w:rPr>
            </w:pPr>
            <w:r>
              <w:rPr>
                <w:rFonts w:ascii="Times New Roman" w:hAnsi="Times New Roman"/>
                <w:sz w:val="18"/>
              </w:rPr>
              <w:t>)</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tbl>
      <w:tblPr>
        <w:tblW w:w="9464" w:type="dxa"/>
        <w:jc w:val="left"/>
        <w:tblInd w:w="0" w:type="dxa"/>
        <w:tblLayout w:type="fixed"/>
        <w:tblCellMar>
          <w:top w:w="0" w:type="dxa"/>
          <w:left w:w="0" w:type="dxa"/>
          <w:bottom w:w="28" w:type="dxa"/>
          <w:right w:w="0" w:type="dxa"/>
        </w:tblCellMar>
      </w:tblPr>
      <w:tblGrid>
        <w:gridCol w:w="5855"/>
        <w:gridCol w:w="60"/>
        <w:gridCol w:w="110"/>
        <w:gridCol w:w="605"/>
        <w:gridCol w:w="60"/>
        <w:gridCol w:w="60"/>
        <w:gridCol w:w="107"/>
        <w:gridCol w:w="603"/>
        <w:gridCol w:w="170"/>
        <w:gridCol w:w="60"/>
        <w:gridCol w:w="107"/>
        <w:gridCol w:w="603"/>
        <w:gridCol w:w="170"/>
        <w:gridCol w:w="60"/>
        <w:gridCol w:w="179"/>
        <w:gridCol w:w="575"/>
        <w:gridCol w:w="80"/>
      </w:tblGrid>
      <w:tr>
        <w:trPr/>
        <w:tc>
          <w:tcPr>
            <w:tcW w:w="585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 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60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7" w:type="dxa"/>
            <w:tcBorders>
              <w:bottom w:val="single" w:sz="2" w:space="0" w:color="000000"/>
            </w:tcBorders>
            <w:shd w:fill="FFFFFF" w:val="clear"/>
            <w:vAlign w:val="center"/>
          </w:tcPr>
          <w:p>
            <w:pPr>
              <w:pStyle w:val="TableContents"/>
              <w:bidi w:val="0"/>
              <w:spacing w:before="0" w:after="283"/>
              <w:jc w:val="left"/>
              <w:rPr/>
            </w:pPr>
            <w:r>
              <w:rPr/>
              <w:t> </w:t>
            </w:r>
          </w:p>
        </w:tc>
        <w:tc>
          <w:tcPr>
            <w:tcW w:w="603"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7" w:type="dxa"/>
            <w:tcBorders>
              <w:bottom w:val="single" w:sz="2" w:space="0" w:color="000000"/>
            </w:tcBorders>
            <w:shd w:fill="FFFFFF" w:val="clear"/>
            <w:vAlign w:val="center"/>
          </w:tcPr>
          <w:p>
            <w:pPr>
              <w:pStyle w:val="TableContents"/>
              <w:bidi w:val="0"/>
              <w:spacing w:before="0" w:after="283"/>
              <w:jc w:val="left"/>
              <w:rPr/>
            </w:pPr>
            <w:r>
              <w:rPr/>
              <w:t> </w:t>
            </w:r>
          </w:p>
        </w:tc>
        <w:tc>
          <w:tcPr>
            <w:tcW w:w="603"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vAlign w:val="center"/>
          </w:tcPr>
          <w:p>
            <w:pPr>
              <w:pStyle w:val="TableContents"/>
              <w:bidi w:val="0"/>
              <w:spacing w:before="0" w:after="283"/>
              <w:jc w:val="left"/>
              <w:rPr/>
            </w:pPr>
            <w:r>
              <w:rPr/>
              <w:t> </w:t>
            </w:r>
          </w:p>
        </w:tc>
        <w:tc>
          <w:tcPr>
            <w:tcW w:w="575"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585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469" w:type="dxa"/>
            <w:gridSpan w:val="14"/>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December 31, 2025</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585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Average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Weighted</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Weighted</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585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Contract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Average</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Average</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585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Notional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Entry</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Effective</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4"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Open</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585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Expiration Year</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Amount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Rate</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Rate</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54"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Equity(1)</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5855" w:type="dxa"/>
            <w:tcBorders/>
            <w:shd w:fill="CCEEFF" w:val="clear"/>
            <w:tcMar>
              <w:bottom w:w="0" w:type="dxa"/>
            </w:tcMar>
            <w:vAlign w:val="center"/>
          </w:tcPr>
          <w:p>
            <w:pPr>
              <w:pStyle w:val="TableContents"/>
              <w:bidi w:val="0"/>
              <w:spacing w:lineRule="auto" w:line="288"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U.S. Treasury Note Futures Contracts (Short Positions)(2)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603"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603"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5855"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18"/>
              </w:rPr>
            </w:pPr>
            <w:r>
              <w:rPr>
                <w:rFonts w:ascii="Times New Roman" w:hAnsi="Times New Roman"/>
                <w:caps w:val="false"/>
                <w:smallCaps w:val="false"/>
                <w:sz w:val="18"/>
              </w:rPr>
              <w:t>March 2026 5-year T-Note futures (Mar 2026 - Mar 2031 Hedge Period)</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122,500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ind w:left="0" w:right="0" w:hanging="0"/>
              <w:jc w:val="left"/>
              <w:rPr/>
            </w:pPr>
            <w:r>
              <w:rPr/>
              <w:t> </w:t>
            </w:r>
          </w:p>
        </w:tc>
        <w:tc>
          <w:tcPr>
            <w:tcW w:w="603"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3.65</w:t>
            </w:r>
          </w:p>
        </w:tc>
        <w:tc>
          <w:tcPr>
            <w:tcW w:w="17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ind w:left="0" w:right="0" w:hanging="0"/>
              <w:jc w:val="left"/>
              <w:rPr/>
            </w:pPr>
            <w:r>
              <w:rPr/>
              <w:t> </w:t>
            </w:r>
          </w:p>
        </w:tc>
        <w:tc>
          <w:tcPr>
            <w:tcW w:w="603"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3.65</w:t>
            </w:r>
          </w:p>
        </w:tc>
        <w:tc>
          <w:tcPr>
            <w:tcW w:w="17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9"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57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5855"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18"/>
              </w:rPr>
            </w:pPr>
            <w:r>
              <w:rPr>
                <w:rFonts w:ascii="Times New Roman" w:hAnsi="Times New Roman"/>
                <w:caps w:val="false"/>
                <w:smallCaps w:val="false"/>
                <w:sz w:val="18"/>
              </w:rPr>
              <w:t>March 2026 10-year T-Note futures (Mar 2026 - Mar 2036 Hedge Period)</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90,000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ind w:left="0" w:right="0" w:hanging="0"/>
              <w:jc w:val="left"/>
              <w:rPr/>
            </w:pPr>
            <w:r>
              <w:rPr/>
              <w:t> </w:t>
            </w:r>
          </w:p>
        </w:tc>
        <w:tc>
          <w:tcPr>
            <w:tcW w:w="603"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3.79</w:t>
            </w:r>
          </w:p>
        </w:tc>
        <w:tc>
          <w:tcPr>
            <w:tcW w:w="17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ind w:left="0" w:right="0" w:hanging="0"/>
              <w:jc w:val="left"/>
              <w:rPr/>
            </w:pPr>
            <w:r>
              <w:rPr/>
              <w:t> </w:t>
            </w:r>
          </w:p>
        </w:tc>
        <w:tc>
          <w:tcPr>
            <w:tcW w:w="603"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3.91</w:t>
            </w:r>
          </w:p>
        </w:tc>
        <w:tc>
          <w:tcPr>
            <w:tcW w:w="17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9" w:type="dxa"/>
            <w:tcBorders/>
            <w:shd w:fill="CCEEFF" w:val="clear"/>
            <w:tcMar>
              <w:bottom w:w="0" w:type="dxa"/>
            </w:tcMar>
            <w:vAlign w:val="center"/>
          </w:tcPr>
          <w:p>
            <w:pPr>
              <w:pStyle w:val="TableContents"/>
              <w:bidi w:val="0"/>
              <w:spacing w:before="0" w:after="283"/>
              <w:ind w:left="0" w:right="0" w:hanging="0"/>
              <w:jc w:val="left"/>
              <w:rPr/>
            </w:pPr>
            <w:r>
              <w:rPr/>
              <w:t> </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739</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585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March 2026 10-year Ultra futures (Mar 2026 - Mar 2036 Hedge Period)</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10" w:type="dxa"/>
            <w:tcBorders/>
            <w:shd w:fill="FFFFFF" w:val="clear"/>
            <w:tcMar>
              <w:bottom w:w="0" w:type="dxa"/>
            </w:tcMar>
            <w:vAlign w:val="center"/>
          </w:tcPr>
          <w:p>
            <w:pPr>
              <w:pStyle w:val="TableContents"/>
              <w:bidi w:val="0"/>
              <w:spacing w:before="0" w:after="0"/>
              <w:ind w:left="0" w:right="0" w:hanging="0"/>
              <w:jc w:val="left"/>
              <w:rPr/>
            </w:pPr>
            <w:r>
              <w:rPr/>
              <w:t> </w:t>
            </w:r>
          </w:p>
        </w:tc>
        <w:tc>
          <w:tcPr>
            <w:tcW w:w="605"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60,000</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07" w:type="dxa"/>
            <w:tcBorders/>
            <w:shd w:fill="FFFFFF" w:val="clear"/>
            <w:tcMar>
              <w:bottom w:w="0" w:type="dxa"/>
            </w:tcMar>
            <w:vAlign w:val="center"/>
          </w:tcPr>
          <w:p>
            <w:pPr>
              <w:pStyle w:val="TableContents"/>
              <w:bidi w:val="0"/>
              <w:spacing w:before="0" w:after="0"/>
              <w:ind w:left="0" w:right="0" w:hanging="0"/>
              <w:jc w:val="left"/>
              <w:rPr/>
            </w:pPr>
            <w:r>
              <w:rPr/>
              <w:t> </w:t>
            </w:r>
          </w:p>
        </w:tc>
        <w:tc>
          <w:tcPr>
            <w:tcW w:w="603"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4.03</w:t>
            </w:r>
          </w:p>
        </w:tc>
        <w:tc>
          <w:tcPr>
            <w:tcW w:w="17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07" w:type="dxa"/>
            <w:tcBorders/>
            <w:shd w:fill="FFFFFF" w:val="clear"/>
            <w:tcMar>
              <w:bottom w:w="0" w:type="dxa"/>
            </w:tcMar>
            <w:vAlign w:val="center"/>
          </w:tcPr>
          <w:p>
            <w:pPr>
              <w:pStyle w:val="TableContents"/>
              <w:bidi w:val="0"/>
              <w:spacing w:before="0" w:after="0"/>
              <w:ind w:left="0" w:right="0" w:hanging="0"/>
              <w:jc w:val="left"/>
              <w:rPr/>
            </w:pPr>
            <w:r>
              <w:rPr/>
              <w:t> </w:t>
            </w:r>
          </w:p>
        </w:tc>
        <w:tc>
          <w:tcPr>
            <w:tcW w:w="603"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4.14</w:t>
            </w:r>
          </w:p>
        </w:tc>
        <w:tc>
          <w:tcPr>
            <w:tcW w:w="17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79" w:type="dxa"/>
            <w:tcBorders/>
            <w:shd w:fill="FFFFFF" w:val="clear"/>
            <w:tcMar>
              <w:bottom w:w="0" w:type="dxa"/>
            </w:tcMar>
            <w:vAlign w:val="center"/>
          </w:tcPr>
          <w:p>
            <w:pPr>
              <w:pStyle w:val="TableContents"/>
              <w:bidi w:val="0"/>
              <w:spacing w:before="0" w:after="0"/>
              <w:ind w:left="0" w:right="0" w:hanging="0"/>
              <w:jc w:val="left"/>
              <w:rPr/>
            </w:pPr>
            <w:r>
              <w:rPr/>
              <w:t> </w:t>
            </w:r>
          </w:p>
        </w:tc>
        <w:tc>
          <w:tcPr>
            <w:tcW w:w="575"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575</w:t>
            </w:r>
          </w:p>
        </w:tc>
        <w:tc>
          <w:tcPr>
            <w:tcW w:w="80" w:type="dxa"/>
            <w:tcBorders/>
            <w:shd w:fill="FFFFFF" w:val="clear"/>
            <w:tcMar>
              <w:bottom w:w="0" w:type="dxa"/>
            </w:tcMar>
            <w:vAlign w:val="center"/>
          </w:tcPr>
          <w:p>
            <w:pPr>
              <w:pStyle w:val="TableContents"/>
              <w:bidi w:val="0"/>
              <w:spacing w:before="0" w:after="0"/>
              <w:jc w:val="left"/>
              <w:rPr/>
            </w:pPr>
            <w:r>
              <w:rPr/>
              <w:t> </w:t>
            </w:r>
          </w:p>
        </w:tc>
      </w:tr>
      <w:tr>
        <w:trPr/>
        <w:tc>
          <w:tcPr>
            <w:tcW w:w="585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b/>
                <w:sz w:val="18"/>
              </w:rPr>
            </w:pPr>
            <w:r>
              <w:rPr>
                <w:rFonts w:ascii="Times New Roman" w:hAnsi="Times New Roman"/>
                <w:b/>
                <w:sz w:val="18"/>
              </w:rPr>
              <w:t>SOFR Futures Contracts (Short Positions)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603"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603"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5855"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sz w:val="18"/>
              </w:rPr>
            </w:pPr>
            <w:r>
              <w:rPr>
                <w:rFonts w:ascii="Times New Roman" w:hAnsi="Times New Roman"/>
                <w:sz w:val="18"/>
              </w:rPr>
              <w:t>March 2026 3-Month SOFR futures (Dec 2025 - Mar 2026 Hedge Period)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5"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97,500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603"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3.73</w:t>
            </w:r>
          </w:p>
        </w:tc>
        <w:tc>
          <w:tcPr>
            <w:tcW w:w="17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603"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3.69</w:t>
            </w:r>
          </w:p>
        </w:tc>
        <w:tc>
          <w:tcPr>
            <w:tcW w:w="17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575"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(44</w:t>
            </w:r>
          </w:p>
        </w:tc>
        <w:tc>
          <w:tcPr>
            <w:tcW w:w="8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5855"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sz w:val="18"/>
              </w:rPr>
            </w:pPr>
            <w:r>
              <w:rPr>
                <w:rFonts w:ascii="Times New Roman" w:hAnsi="Times New Roman"/>
                <w:sz w:val="18"/>
              </w:rPr>
              <w:t>June 2026 3-Month SOFR futures (Mar 2026 - Jun 2026 Hedge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97,500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603"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3.55</w:t>
            </w:r>
          </w:p>
        </w:tc>
        <w:tc>
          <w:tcPr>
            <w:tcW w:w="17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603"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3.52</w:t>
            </w:r>
          </w:p>
        </w:tc>
        <w:tc>
          <w:tcPr>
            <w:tcW w:w="17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(33</w:t>
            </w:r>
          </w:p>
        </w:tc>
        <w:tc>
          <w:tcPr>
            <w:tcW w:w="8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5855"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sz w:val="18"/>
              </w:rPr>
            </w:pPr>
            <w:r>
              <w:rPr>
                <w:rFonts w:ascii="Times New Roman" w:hAnsi="Times New Roman"/>
                <w:sz w:val="18"/>
              </w:rPr>
              <w:t>September 2026 3-Month SOFR futures (Jun 2026 - Sep 2026 Hedge Period)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97,500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603"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3.38</w:t>
            </w:r>
          </w:p>
        </w:tc>
        <w:tc>
          <w:tcPr>
            <w:tcW w:w="17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603"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3.31</w:t>
            </w:r>
          </w:p>
        </w:tc>
        <w:tc>
          <w:tcPr>
            <w:tcW w:w="17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(66</w:t>
            </w:r>
          </w:p>
        </w:tc>
        <w:tc>
          <w:tcPr>
            <w:tcW w:w="8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5855"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sz w:val="18"/>
              </w:rPr>
            </w:pPr>
            <w:r>
              <w:rPr>
                <w:rFonts w:ascii="Times New Roman" w:hAnsi="Times New Roman"/>
                <w:sz w:val="18"/>
              </w:rPr>
              <w:t>December 2026 3-Month SOFR futures (Sep 2026 - Dec 2026 Hedge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97,500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603"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3.27</w:t>
            </w:r>
          </w:p>
        </w:tc>
        <w:tc>
          <w:tcPr>
            <w:tcW w:w="17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603"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3.16</w:t>
            </w:r>
          </w:p>
        </w:tc>
        <w:tc>
          <w:tcPr>
            <w:tcW w:w="17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(111</w:t>
            </w:r>
          </w:p>
        </w:tc>
        <w:tc>
          <w:tcPr>
            <w:tcW w:w="8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5855"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sz w:val="18"/>
              </w:rPr>
            </w:pPr>
            <w:r>
              <w:rPr>
                <w:rFonts w:ascii="Times New Roman" w:hAnsi="Times New Roman"/>
                <w:sz w:val="18"/>
              </w:rPr>
              <w:t>March 2027 3-Month SOFR futures (Dec 2026 - Mar 2027 Hedge Period)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97,500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603"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3.22</w:t>
            </w:r>
          </w:p>
        </w:tc>
        <w:tc>
          <w:tcPr>
            <w:tcW w:w="17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603"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3.11</w:t>
            </w:r>
          </w:p>
        </w:tc>
        <w:tc>
          <w:tcPr>
            <w:tcW w:w="17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(105</w:t>
            </w:r>
          </w:p>
        </w:tc>
        <w:tc>
          <w:tcPr>
            <w:tcW w:w="8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5855"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sz w:val="18"/>
              </w:rPr>
            </w:pPr>
            <w:r>
              <w:rPr>
                <w:rFonts w:ascii="Times New Roman" w:hAnsi="Times New Roman"/>
                <w:sz w:val="18"/>
              </w:rPr>
              <w:t>June 2027 3-Month SOFR futures (Mar 2027 - Jun 2027 Hedge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97,500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603"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3.21</w:t>
            </w:r>
          </w:p>
        </w:tc>
        <w:tc>
          <w:tcPr>
            <w:tcW w:w="17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603"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3.11</w:t>
            </w:r>
          </w:p>
        </w:tc>
        <w:tc>
          <w:tcPr>
            <w:tcW w:w="17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(90</w:t>
            </w:r>
          </w:p>
        </w:tc>
        <w:tc>
          <w:tcPr>
            <w:tcW w:w="8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585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b/>
                <w:sz w:val="18"/>
              </w:rPr>
            </w:pPr>
            <w:r>
              <w:rPr>
                <w:rFonts w:ascii="Times New Roman" w:hAnsi="Times New Roman"/>
                <w:b/>
                <w:sz w:val="18"/>
              </w:rPr>
              <w:t>ERIS SOFR Swap Futures Contracts (Short Positions)(3)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603"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603"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5855"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March 2026 5-Year Term, 3.75% fixed rate (Mar 2026 - Mar 2031 Hedge Period)</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5"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10,000</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07"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3"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3.48</w:t>
            </w:r>
          </w:p>
        </w:tc>
        <w:tc>
          <w:tcPr>
            <w:tcW w:w="17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07"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3"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3.45</w:t>
            </w:r>
          </w:p>
        </w:tc>
        <w:tc>
          <w:tcPr>
            <w:tcW w:w="17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79"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575"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(13</w:t>
            </w:r>
          </w:p>
        </w:tc>
        <w:tc>
          <w:tcPr>
            <w:tcW w:w="80" w:type="dxa"/>
            <w:tcBorders>
              <w:bottom w:val="single" w:sz="2" w:space="0" w:color="000000"/>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w:t>
            </w:r>
          </w:p>
        </w:tc>
      </w:tr>
    </w:tbl>
    <w:p>
      <w:pPr>
        <w:pStyle w:val="TextBody"/>
        <w:bidi w:val="0"/>
        <w:spacing w:before="0" w:after="0"/>
        <w:ind w:left="0" w:right="0" w:hanging="0"/>
        <w:jc w:val="left"/>
        <w:rPr>
          <w:caps w:val="false"/>
          <w:smallCaps w:val="false"/>
        </w:rPr>
      </w:pPr>
      <w:r>
        <w:rPr>
          <w:caps w:val="false"/>
          <w:smallCaps w:val="false"/>
        </w:rPr>
        <w:t> </w:t>
      </w:r>
    </w:p>
    <w:tbl>
      <w:tblPr>
        <w:tblW w:w="7600" w:type="dxa"/>
        <w:jc w:val="left"/>
        <w:tblInd w:w="0" w:type="dxa"/>
        <w:tblLayout w:type="fixed"/>
        <w:tblCellMar>
          <w:top w:w="0" w:type="dxa"/>
          <w:left w:w="0" w:type="dxa"/>
          <w:bottom w:w="0" w:type="dxa"/>
          <w:right w:w="0" w:type="dxa"/>
        </w:tblCellMar>
      </w:tblPr>
      <w:tblGrid>
        <w:gridCol w:w="230"/>
        <w:gridCol w:w="7370"/>
      </w:tblGrid>
      <w:tr>
        <w:trPr/>
        <w:tc>
          <w:tcPr>
            <w:tcW w:w="230"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18"/>
              </w:rPr>
              <w:t>(</w:t>
            </w:r>
            <w:r>
              <w:rPr>
                <w:rStyle w:val="Emphasis"/>
                <w:rFonts w:ascii="Times New Roman;Times;serif" w:hAnsi="Times New Roman;Times;serif"/>
                <w:caps w:val="false"/>
                <w:smallCaps w:val="false"/>
                <w:sz w:val="18"/>
              </w:rPr>
              <w:t>1</w:t>
            </w:r>
            <w:r>
              <w:rPr>
                <w:rFonts w:ascii="Times New Roman;Times;serif" w:hAnsi="Times New Roman;Times;serif"/>
                <w:caps w:val="false"/>
                <w:smallCaps w:val="false"/>
                <w:sz w:val="18"/>
              </w:rPr>
              <w:t>)</w:t>
            </w:r>
          </w:p>
        </w:tc>
        <w:tc>
          <w:tcPr>
            <w:tcW w:w="73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Open equity represents the cumulative gains (losses) recorded on open futures positions from inception.</w:t>
            </w:r>
          </w:p>
        </w:tc>
      </w:tr>
    </w:tbl>
    <w:tbl>
      <w:tblPr>
        <w:tblW w:w="10205" w:type="dxa"/>
        <w:jc w:val="left"/>
        <w:tblInd w:w="0" w:type="dxa"/>
        <w:tblLayout w:type="fixed"/>
        <w:tblCellMar>
          <w:top w:w="0" w:type="dxa"/>
          <w:left w:w="0" w:type="dxa"/>
          <w:bottom w:w="0" w:type="dxa"/>
          <w:right w:w="0" w:type="dxa"/>
        </w:tblCellMar>
      </w:tblPr>
      <w:tblGrid>
        <w:gridCol w:w="131"/>
        <w:gridCol w:w="10074"/>
      </w:tblGrid>
      <w:tr>
        <w:trPr/>
        <w:tc>
          <w:tcPr>
            <w:tcW w:w="131"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18"/>
              </w:rPr>
              <w:t>(</w:t>
            </w:r>
            <w:r>
              <w:rPr>
                <w:rStyle w:val="Emphasis"/>
                <w:rFonts w:ascii="Times New Roman;Times;serif" w:hAnsi="Times New Roman;Times;serif"/>
                <w:caps w:val="false"/>
                <w:smallCaps w:val="false"/>
                <w:sz w:val="18"/>
              </w:rPr>
              <w:t>2</w:t>
            </w:r>
            <w:r>
              <w:rPr>
                <w:rFonts w:ascii="Times New Roman;Times;serif" w:hAnsi="Times New Roman;Times;serif"/>
                <w:caps w:val="false"/>
                <w:smallCaps w:val="false"/>
                <w:sz w:val="18"/>
              </w:rPr>
              <w:t>)</w:t>
            </w:r>
          </w:p>
        </w:tc>
        <w:tc>
          <w:tcPr>
            <w:tcW w:w="10074" w:type="dxa"/>
            <w:tcBorders/>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18"/>
                <w:shd w:fill="FFFFFF" w:val="clear"/>
              </w:rPr>
              <w:t>5</w:t>
            </w:r>
            <w:r>
              <w:rPr>
                <w:rFonts w:ascii="Times New Roman;Times;serif" w:hAnsi="Times New Roman;Times;serif"/>
                <w:caps w:val="false"/>
                <w:smallCaps w:val="false"/>
                <w:sz w:val="18"/>
                <w:shd w:fill="FFFFFF" w:val="clear"/>
              </w:rPr>
              <w:t>-Year T-Note futures contracts were valued at a price $109.30 of at </w:t>
            </w:r>
            <w:r>
              <w:rPr>
                <w:rStyle w:val="Emphasis"/>
                <w:rFonts w:ascii="Times New Roman;Times;serif" w:hAnsi="Times New Roman;Times;serif"/>
                <w:caps w:val="false"/>
                <w:smallCaps w:val="false"/>
                <w:sz w:val="18"/>
              </w:rPr>
              <w:t xml:space="preserve"> December 31, 2025</w:t>
            </w:r>
            <w:r>
              <w:rPr>
                <w:rFonts w:ascii="Times New Roman;Times;serif" w:hAnsi="Times New Roman;Times;serif"/>
                <w:caps w:val="false"/>
                <w:smallCaps w:val="false"/>
                <w:sz w:val="18"/>
                <w:shd w:fill="FFFFFF" w:val="clear"/>
              </w:rPr>
              <w:t>. The contract values of the short positions were </w:t>
            </w:r>
            <w:r>
              <w:rPr>
                <w:rFonts w:ascii="Times New Roman;Times;serif" w:hAnsi="Times New Roman;Times;serif"/>
                <w:caps w:val="false"/>
                <w:smallCaps w:val="false"/>
                <w:sz w:val="18"/>
              </w:rPr>
              <w:t>$133.9 million</w:t>
            </w:r>
            <w:r>
              <w:rPr>
                <w:rFonts w:ascii="Times New Roman;Times;serif" w:hAnsi="Times New Roman;Times;serif"/>
                <w:caps w:val="false"/>
                <w:smallCaps w:val="false"/>
                <w:sz w:val="18"/>
                <w:shd w:fill="FFFFFF" w:val="clear"/>
              </w:rPr>
              <w:t> at </w:t>
            </w:r>
            <w:r>
              <w:rPr>
                <w:rStyle w:val="Emphasis"/>
                <w:rFonts w:ascii="Times New Roman;Times;serif" w:hAnsi="Times New Roman;Times;serif"/>
                <w:caps w:val="false"/>
                <w:smallCaps w:val="false"/>
                <w:sz w:val="18"/>
              </w:rPr>
              <w:t xml:space="preserve"> December 31, 2025</w:t>
            </w:r>
            <w:r>
              <w:rPr>
                <w:rFonts w:ascii="Times New Roman;Times;serif" w:hAnsi="Times New Roman;Times;serif"/>
                <w:caps w:val="false"/>
                <w:smallCaps w:val="false"/>
                <w:sz w:val="18"/>
                <w:shd w:fill="FFFFFF" w:val="clear"/>
              </w:rPr>
              <w:t xml:space="preserve">. </w:t>
            </w:r>
            <w:r>
              <w:rPr>
                <w:rStyle w:val="Emphasis"/>
                <w:rFonts w:ascii="Times New Roman;Times;serif" w:hAnsi="Times New Roman;Times;serif"/>
                <w:caps w:val="false"/>
                <w:smallCaps w:val="false"/>
                <w:sz w:val="18"/>
                <w:shd w:fill="FFFFFF" w:val="clear"/>
              </w:rPr>
              <w:t>10</w:t>
            </w:r>
            <w:r>
              <w:rPr>
                <w:rFonts w:ascii="Times New Roman;Times;serif" w:hAnsi="Times New Roman;Times;serif"/>
                <w:caps w:val="false"/>
                <w:smallCaps w:val="false"/>
                <w:sz w:val="18"/>
                <w:shd w:fill="FFFFFF" w:val="clear"/>
              </w:rPr>
              <w:t>-Year T-Note futures contracts were valued at a price of $109.89 at </w:t>
            </w:r>
            <w:r>
              <w:rPr>
                <w:rStyle w:val="Emphasis"/>
                <w:rFonts w:ascii="Times New Roman;Times;serif" w:hAnsi="Times New Roman;Times;serif"/>
                <w:caps w:val="false"/>
                <w:smallCaps w:val="false"/>
                <w:sz w:val="18"/>
              </w:rPr>
              <w:t xml:space="preserve"> June 30, 2026</w:t>
            </w:r>
            <w:r>
              <w:rPr>
                <w:rFonts w:ascii="Times New Roman;Times;serif" w:hAnsi="Times New Roman;Times;serif"/>
                <w:caps w:val="false"/>
                <w:smallCaps w:val="false"/>
                <w:sz w:val="18"/>
                <w:shd w:fill="FFFFFF" w:val="clear"/>
              </w:rPr>
              <w:t> and $112.44 at </w:t>
            </w:r>
            <w:r>
              <w:rPr>
                <w:rStyle w:val="Emphasis"/>
                <w:rFonts w:ascii="Times New Roman;Times;serif" w:hAnsi="Times New Roman;Times;serif"/>
                <w:caps w:val="false"/>
                <w:smallCaps w:val="false"/>
                <w:sz w:val="18"/>
              </w:rPr>
              <w:t xml:space="preserve"> December 31, 2025</w:t>
            </w:r>
            <w:r>
              <w:rPr>
                <w:rFonts w:ascii="Times New Roman;Times;serif" w:hAnsi="Times New Roman;Times;serif"/>
                <w:caps w:val="false"/>
                <w:smallCaps w:val="false"/>
                <w:sz w:val="18"/>
                <w:shd w:fill="FFFFFF" w:val="clear"/>
              </w:rPr>
              <w:t>. The contract values of the short positions were $207.3 million and $101.2 million at </w:t>
            </w:r>
            <w:r>
              <w:rPr>
                <w:rStyle w:val="Emphasis"/>
                <w:rFonts w:ascii="Times New Roman;Times;serif" w:hAnsi="Times New Roman;Times;serif"/>
                <w:caps w:val="false"/>
                <w:smallCaps w:val="false"/>
                <w:sz w:val="18"/>
              </w:rPr>
              <w:t xml:space="preserve"> June 30, 2026</w:t>
            </w:r>
            <w:r>
              <w:rPr>
                <w:rFonts w:ascii="Times New Roman;Times;serif" w:hAnsi="Times New Roman;Times;serif"/>
                <w:caps w:val="false"/>
                <w:smallCaps w:val="false"/>
                <w:sz w:val="18"/>
                <w:shd w:fill="FFFFFF" w:val="clear"/>
              </w:rPr>
              <w:t> and </w:t>
            </w:r>
            <w:r>
              <w:rPr>
                <w:rStyle w:val="Emphasis"/>
                <w:rFonts w:ascii="Times New Roman;Times;serif" w:hAnsi="Times New Roman;Times;serif"/>
                <w:caps w:val="false"/>
                <w:smallCaps w:val="false"/>
                <w:sz w:val="18"/>
              </w:rPr>
              <w:t xml:space="preserve"> December 31, 2025</w:t>
            </w:r>
            <w:r>
              <w:rPr>
                <w:rFonts w:ascii="Times New Roman;Times;serif" w:hAnsi="Times New Roman;Times;serif"/>
                <w:caps w:val="false"/>
                <w:smallCaps w:val="false"/>
                <w:sz w:val="18"/>
                <w:shd w:fill="FFFFFF" w:val="clear"/>
              </w:rPr>
              <w:t xml:space="preserve">, respectively. </w:t>
            </w:r>
            <w:r>
              <w:rPr>
                <w:rStyle w:val="Emphasis"/>
                <w:rFonts w:ascii="Times New Roman;Times;serif" w:hAnsi="Times New Roman;Times;serif"/>
                <w:caps w:val="false"/>
                <w:smallCaps w:val="false"/>
                <w:sz w:val="18"/>
                <w:shd w:fill="FFFFFF" w:val="clear"/>
              </w:rPr>
              <w:t>10</w:t>
            </w:r>
            <w:r>
              <w:rPr>
                <w:rFonts w:ascii="Times New Roman;Times;serif" w:hAnsi="Times New Roman;Times;serif"/>
                <w:caps w:val="false"/>
                <w:smallCaps w:val="false"/>
                <w:sz w:val="18"/>
                <w:shd w:fill="FFFFFF" w:val="clear"/>
              </w:rPr>
              <w:t>-Year Ultra futures contracts were valued at a price of $112.47 at </w:t>
            </w:r>
            <w:r>
              <w:rPr>
                <w:rStyle w:val="Emphasis"/>
                <w:rFonts w:ascii="Times New Roman;Times;serif" w:hAnsi="Times New Roman;Times;serif"/>
                <w:caps w:val="false"/>
                <w:smallCaps w:val="false"/>
                <w:sz w:val="18"/>
              </w:rPr>
              <w:t xml:space="preserve"> June 30, 2026</w:t>
            </w:r>
            <w:r>
              <w:rPr>
                <w:rFonts w:ascii="Times New Roman;Times;serif" w:hAnsi="Times New Roman;Times;serif"/>
                <w:caps w:val="false"/>
                <w:smallCaps w:val="false"/>
                <w:sz w:val="18"/>
                <w:shd w:fill="FFFFFF" w:val="clear"/>
              </w:rPr>
              <w:t> and $115.02 at </w:t>
            </w:r>
            <w:r>
              <w:rPr>
                <w:rStyle w:val="Emphasis"/>
                <w:rFonts w:ascii="Times New Roman;Times;serif" w:hAnsi="Times New Roman;Times;serif"/>
                <w:caps w:val="false"/>
                <w:smallCaps w:val="false"/>
                <w:sz w:val="18"/>
              </w:rPr>
              <w:t xml:space="preserve"> December 31, 2025</w:t>
            </w:r>
            <w:r>
              <w:rPr>
                <w:rFonts w:ascii="Times New Roman;Times;serif" w:hAnsi="Times New Roman;Times;serif"/>
                <w:caps w:val="false"/>
                <w:smallCaps w:val="false"/>
                <w:sz w:val="18"/>
                <w:shd w:fill="FFFFFF" w:val="clear"/>
              </w:rPr>
              <w:t>. The contract values of the short positions were $67.5 million and $69.0 million at </w:t>
            </w:r>
            <w:r>
              <w:rPr>
                <w:rStyle w:val="Emphasis"/>
                <w:rFonts w:ascii="Times New Roman;Times;serif" w:hAnsi="Times New Roman;Times;serif"/>
                <w:caps w:val="false"/>
                <w:smallCaps w:val="false"/>
                <w:sz w:val="18"/>
              </w:rPr>
              <w:t xml:space="preserve"> June 30, 2026</w:t>
            </w:r>
            <w:r>
              <w:rPr>
                <w:rFonts w:ascii="Times New Roman;Times;serif" w:hAnsi="Times New Roman;Times;serif"/>
                <w:caps w:val="false"/>
                <w:smallCaps w:val="false"/>
                <w:sz w:val="18"/>
                <w:shd w:fill="FFFFFF" w:val="clear"/>
              </w:rPr>
              <w:t> and </w:t>
            </w:r>
            <w:r>
              <w:rPr>
                <w:rStyle w:val="Emphasis"/>
                <w:rFonts w:ascii="Times New Roman;Times;serif" w:hAnsi="Times New Roman;Times;serif"/>
                <w:caps w:val="false"/>
                <w:smallCaps w:val="false"/>
                <w:sz w:val="18"/>
              </w:rPr>
              <w:t xml:space="preserve"> December 31, 2025</w:t>
            </w:r>
            <w:r>
              <w:rPr>
                <w:rFonts w:ascii="Times New Roman;Times;serif" w:hAnsi="Times New Roman;Times;serif"/>
                <w:caps w:val="false"/>
                <w:smallCaps w:val="false"/>
                <w:sz w:val="18"/>
                <w:shd w:fill="FFFFFF" w:val="clear"/>
              </w:rPr>
              <w:t>, respectively.</w:t>
            </w:r>
          </w:p>
        </w:tc>
      </w:tr>
      <w:tr>
        <w:trPr/>
        <w:tc>
          <w:tcPr>
            <w:tcW w:w="131"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18"/>
              </w:rPr>
              <w:t>(</w:t>
            </w:r>
            <w:r>
              <w:rPr>
                <w:rStyle w:val="Emphasis"/>
                <w:rFonts w:ascii="Times New Roman;Times;serif" w:hAnsi="Times New Roman;Times;serif"/>
                <w:caps w:val="false"/>
                <w:smallCaps w:val="false"/>
                <w:sz w:val="18"/>
              </w:rPr>
              <w:t>3</w:t>
            </w:r>
            <w:r>
              <w:rPr>
                <w:rFonts w:ascii="Times New Roman;Times;serif" w:hAnsi="Times New Roman;Times;serif"/>
                <w:caps w:val="false"/>
                <w:smallCaps w:val="false"/>
                <w:sz w:val="18"/>
              </w:rPr>
              <w:t>)</w:t>
            </w:r>
          </w:p>
        </w:tc>
        <w:tc>
          <w:tcPr>
            <w:tcW w:w="1007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ERIS swap futures are exchange traded futures that replicate the cash flows of an underlying swap position.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Under its interest rate swap agreements, the Company typically pays a fixed rate and receives a floating rate ("payer swaps") based on an index, such as SOFR. The floating rate the Company receives under its swap agreements has the effect of offsetting the repricing characteristics of its repurchase agreements and cash flows on such liabilities. The Company is typically required to post margin on its interest rate swap agreements. The table below presents information related to the Company’s interest rate swap positions at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160" w:right="0" w:firstLine="360"/>
        <w:jc w:val="left"/>
        <w:rPr>
          <w:caps w:val="false"/>
          <w:smallCaps w:val="false"/>
        </w:rPr>
      </w:pPr>
      <w:r>
        <w:rPr>
          <w:caps w:val="false"/>
          <w:smallCaps w:val="false"/>
        </w:rPr>
        <w:t> </w:t>
      </w:r>
    </w:p>
    <w:tbl>
      <w:tblPr>
        <w:tblW w:w="5380" w:type="dxa"/>
        <w:jc w:val="left"/>
        <w:tblInd w:w="0" w:type="dxa"/>
        <w:tblLayout w:type="fixed"/>
        <w:tblCellMar>
          <w:top w:w="0" w:type="dxa"/>
          <w:left w:w="0" w:type="dxa"/>
          <w:bottom w:w="28" w:type="dxa"/>
          <w:right w:w="0" w:type="dxa"/>
        </w:tblCellMar>
      </w:tblPr>
      <w:tblGrid>
        <w:gridCol w:w="1925"/>
        <w:gridCol w:w="60"/>
        <w:gridCol w:w="110"/>
        <w:gridCol w:w="740"/>
        <w:gridCol w:w="60"/>
        <w:gridCol w:w="60"/>
        <w:gridCol w:w="94"/>
        <w:gridCol w:w="526"/>
        <w:gridCol w:w="170"/>
        <w:gridCol w:w="60"/>
        <w:gridCol w:w="94"/>
        <w:gridCol w:w="526"/>
        <w:gridCol w:w="170"/>
        <w:gridCol w:w="60"/>
        <w:gridCol w:w="129"/>
        <w:gridCol w:w="536"/>
        <w:gridCol w:w="60"/>
      </w:tblGrid>
      <w:tr>
        <w:trPr/>
        <w:tc>
          <w:tcPr>
            <w:tcW w:w="192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 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74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94" w:type="dxa"/>
            <w:tcBorders>
              <w:bottom w:val="single" w:sz="2" w:space="0" w:color="000000"/>
            </w:tcBorders>
            <w:shd w:fill="FFFFFF" w:val="clear"/>
            <w:vAlign w:val="center"/>
          </w:tcPr>
          <w:p>
            <w:pPr>
              <w:pStyle w:val="TableContents"/>
              <w:bidi w:val="0"/>
              <w:spacing w:before="0" w:after="283"/>
              <w:jc w:val="left"/>
              <w:rPr/>
            </w:pPr>
            <w:r>
              <w:rPr/>
              <w:t> </w:t>
            </w:r>
          </w:p>
        </w:tc>
        <w:tc>
          <w:tcPr>
            <w:tcW w:w="526"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94" w:type="dxa"/>
            <w:tcBorders>
              <w:bottom w:val="single" w:sz="2" w:space="0" w:color="000000"/>
            </w:tcBorders>
            <w:shd w:fill="FFFFFF" w:val="clear"/>
            <w:vAlign w:val="center"/>
          </w:tcPr>
          <w:p>
            <w:pPr>
              <w:pStyle w:val="TableContents"/>
              <w:bidi w:val="0"/>
              <w:spacing w:before="0" w:after="283"/>
              <w:jc w:val="left"/>
              <w:rPr/>
            </w:pPr>
            <w:r>
              <w:rPr/>
              <w:t> </w:t>
            </w:r>
          </w:p>
        </w:tc>
        <w:tc>
          <w:tcPr>
            <w:tcW w:w="526"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vAlign w:val="center"/>
          </w:tcPr>
          <w:p>
            <w:pPr>
              <w:pStyle w:val="TableContents"/>
              <w:bidi w:val="0"/>
              <w:spacing w:before="0" w:after="283"/>
              <w:jc w:val="left"/>
              <w:rPr/>
            </w:pPr>
            <w:r>
              <w:rPr/>
              <w:t> </w:t>
            </w:r>
          </w:p>
        </w:tc>
        <w:tc>
          <w:tcPr>
            <w:tcW w:w="536"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9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740"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2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Average</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526" w:type="dxa"/>
            <w:tcBorders/>
            <w:shd w:fill="FFFFFF" w:val="clear"/>
            <w:tcMar>
              <w:bottom w:w="0" w:type="dxa"/>
            </w:tcMar>
            <w:vAlign w:val="center"/>
          </w:tcPr>
          <w:p>
            <w:pPr>
              <w:pStyle w:val="TableContents"/>
              <w:bidi w:val="0"/>
              <w:spacing w:before="0" w:after="283"/>
              <w:jc w:val="center"/>
              <w:rPr/>
            </w:pPr>
            <w:r>
              <w:rPr>
                <w:rStyle w:val="Emphasis"/>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 w:type="dxa"/>
            <w:tcBorders/>
            <w:shd w:fill="FFFFFF" w:val="clear"/>
            <w:tcMar>
              <w:bottom w:w="0" w:type="dxa"/>
            </w:tcMar>
            <w:vAlign w:val="center"/>
          </w:tcPr>
          <w:p>
            <w:pPr>
              <w:pStyle w:val="TableContents"/>
              <w:bidi w:val="0"/>
              <w:spacing w:before="0" w:after="283"/>
              <w:jc w:val="left"/>
              <w:rPr/>
            </w:pPr>
            <w:r>
              <w:rPr/>
              <w:t> </w:t>
            </w:r>
          </w:p>
        </w:tc>
        <w:tc>
          <w:tcPr>
            <w:tcW w:w="536"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9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740"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2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Fixed</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2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Average</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6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Average</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9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5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Notional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2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Pay</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2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Receive</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6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Maturity</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92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Amount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Rate</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Rate</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(Years)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92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June 30, 2026</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74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94" w:type="dxa"/>
            <w:tcBorders>
              <w:bottom w:val="single" w:sz="2" w:space="0" w:color="000000"/>
            </w:tcBorders>
            <w:shd w:fill="FFFFFF" w:val="clear"/>
            <w:vAlign w:val="center"/>
          </w:tcPr>
          <w:p>
            <w:pPr>
              <w:pStyle w:val="TableContents"/>
              <w:bidi w:val="0"/>
              <w:spacing w:before="0" w:after="283"/>
              <w:jc w:val="left"/>
              <w:rPr/>
            </w:pPr>
            <w:r>
              <w:rPr/>
              <w:t> </w:t>
            </w:r>
          </w:p>
        </w:tc>
        <w:tc>
          <w:tcPr>
            <w:tcW w:w="526"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94" w:type="dxa"/>
            <w:tcBorders>
              <w:bottom w:val="single" w:sz="2" w:space="0" w:color="000000"/>
            </w:tcBorders>
            <w:shd w:fill="FFFFFF" w:val="clear"/>
            <w:vAlign w:val="center"/>
          </w:tcPr>
          <w:p>
            <w:pPr>
              <w:pStyle w:val="TableContents"/>
              <w:bidi w:val="0"/>
              <w:spacing w:before="0" w:after="283"/>
              <w:jc w:val="left"/>
              <w:rPr/>
            </w:pPr>
            <w:r>
              <w:rPr/>
              <w:t> </w:t>
            </w:r>
          </w:p>
        </w:tc>
        <w:tc>
          <w:tcPr>
            <w:tcW w:w="526"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vAlign w:val="center"/>
          </w:tcPr>
          <w:p>
            <w:pPr>
              <w:pStyle w:val="TableContents"/>
              <w:bidi w:val="0"/>
              <w:spacing w:before="0" w:after="283"/>
              <w:jc w:val="left"/>
              <w:rPr/>
            </w:pPr>
            <w:r>
              <w:rPr/>
              <w:t> </w:t>
            </w:r>
          </w:p>
        </w:tc>
        <w:tc>
          <w:tcPr>
            <w:tcW w:w="536"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92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Expiration &gt; 1 to ≤ 5 years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74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5,292,800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ind w:left="0" w:right="0" w:hanging="0"/>
              <w:jc w:val="left"/>
              <w:rPr/>
            </w:pPr>
            <w:r>
              <w:rPr/>
              <w:t> </w:t>
            </w:r>
          </w:p>
        </w:tc>
        <w:tc>
          <w:tcPr>
            <w:tcW w:w="52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3.46</w:t>
            </w:r>
          </w:p>
        </w:tc>
        <w:tc>
          <w:tcPr>
            <w:tcW w:w="17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ind w:left="0" w:right="0" w:hanging="0"/>
              <w:jc w:val="left"/>
              <w:rPr/>
            </w:pPr>
            <w:r>
              <w:rPr/>
              <w:t> </w:t>
            </w:r>
          </w:p>
        </w:tc>
        <w:tc>
          <w:tcPr>
            <w:tcW w:w="52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3.68</w:t>
            </w:r>
          </w:p>
        </w:tc>
        <w:tc>
          <w:tcPr>
            <w:tcW w:w="17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ind w:left="0" w:right="0" w:hanging="0"/>
              <w:jc w:val="left"/>
              <w:rPr/>
            </w:pPr>
            <w:r>
              <w:rPr/>
              <w:t> </w:t>
            </w:r>
          </w:p>
        </w:tc>
        <w:tc>
          <w:tcPr>
            <w:tcW w:w="53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3.0</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92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Expiration &gt; 5 years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2,521,400</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9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3.92</w:t>
            </w:r>
          </w:p>
        </w:tc>
        <w:tc>
          <w:tcPr>
            <w:tcW w:w="170" w:type="dxa"/>
            <w:tcBorders>
              <w:bottom w:val="single" w:sz="2" w:space="0" w:color="000000"/>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9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3.68</w:t>
            </w:r>
          </w:p>
        </w:tc>
        <w:tc>
          <w:tcPr>
            <w:tcW w:w="170" w:type="dxa"/>
            <w:tcBorders>
              <w:bottom w:val="single" w:sz="2" w:space="0" w:color="000000"/>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3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8.0</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925"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74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7,814,200</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94"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526"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3.61</w:t>
            </w:r>
          </w:p>
        </w:tc>
        <w:tc>
          <w:tcPr>
            <w:tcW w:w="170" w:type="dxa"/>
            <w:tcBorders>
              <w:bottom w:val="double" w:sz="6" w:space="0" w:color="000000"/>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94"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526"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3.68</w:t>
            </w:r>
          </w:p>
        </w:tc>
        <w:tc>
          <w:tcPr>
            <w:tcW w:w="170" w:type="dxa"/>
            <w:tcBorders>
              <w:bottom w:val="double" w:sz="6" w:space="0" w:color="000000"/>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129"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536"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4.6</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r>
      <w:tr>
        <w:trPr/>
        <w:tc>
          <w:tcPr>
            <w:tcW w:w="192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December 31,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7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526"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526"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 w:type="dxa"/>
            <w:tcBorders/>
            <w:shd w:fill="FFFFFF" w:val="clear"/>
            <w:tcMar>
              <w:bottom w:w="0" w:type="dxa"/>
            </w:tcMar>
            <w:vAlign w:val="center"/>
          </w:tcPr>
          <w:p>
            <w:pPr>
              <w:pStyle w:val="TableContents"/>
              <w:bidi w:val="0"/>
              <w:spacing w:before="0" w:after="283"/>
              <w:jc w:val="left"/>
              <w:rPr/>
            </w:pPr>
            <w:r>
              <w:rPr/>
              <w:t> </w:t>
            </w:r>
          </w:p>
        </w:tc>
        <w:tc>
          <w:tcPr>
            <w:tcW w:w="53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92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Expiration &gt; 1 to ≤ 5 years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74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4,162,500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ind w:left="0" w:right="0" w:hanging="0"/>
              <w:jc w:val="left"/>
              <w:rPr/>
            </w:pPr>
            <w:r>
              <w:rPr/>
              <w:t> </w:t>
            </w:r>
          </w:p>
        </w:tc>
        <w:tc>
          <w:tcPr>
            <w:tcW w:w="52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3.38</w:t>
            </w:r>
          </w:p>
        </w:tc>
        <w:tc>
          <w:tcPr>
            <w:tcW w:w="17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ind w:left="0" w:right="0" w:hanging="0"/>
              <w:jc w:val="left"/>
              <w:rPr/>
            </w:pPr>
            <w:r>
              <w:rPr/>
              <w:t> </w:t>
            </w:r>
          </w:p>
        </w:tc>
        <w:tc>
          <w:tcPr>
            <w:tcW w:w="52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3.87</w:t>
            </w:r>
          </w:p>
        </w:tc>
        <w:tc>
          <w:tcPr>
            <w:tcW w:w="17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ind w:left="0" w:right="0" w:hanging="0"/>
              <w:jc w:val="left"/>
              <w:rPr/>
            </w:pPr>
            <w:r>
              <w:rPr/>
              <w:t> </w:t>
            </w:r>
          </w:p>
        </w:tc>
        <w:tc>
          <w:tcPr>
            <w:tcW w:w="53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3.2</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92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Expiration &gt; 5 years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1,695,800</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9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3.87</w:t>
            </w:r>
          </w:p>
        </w:tc>
        <w:tc>
          <w:tcPr>
            <w:tcW w:w="170" w:type="dxa"/>
            <w:tcBorders>
              <w:bottom w:val="single" w:sz="2" w:space="0" w:color="000000"/>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9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3.87</w:t>
            </w:r>
          </w:p>
        </w:tc>
        <w:tc>
          <w:tcPr>
            <w:tcW w:w="170" w:type="dxa"/>
            <w:tcBorders>
              <w:bottom w:val="single" w:sz="2" w:space="0" w:color="000000"/>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3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925"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74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5,858,300</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94"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526"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3.53</w:t>
            </w:r>
          </w:p>
        </w:tc>
        <w:tc>
          <w:tcPr>
            <w:tcW w:w="170" w:type="dxa"/>
            <w:tcBorders>
              <w:bottom w:val="double" w:sz="6" w:space="0" w:color="000000"/>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94"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526"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3.87</w:t>
            </w:r>
          </w:p>
        </w:tc>
        <w:tc>
          <w:tcPr>
            <w:tcW w:w="170" w:type="dxa"/>
            <w:tcBorders>
              <w:bottom w:val="double" w:sz="6" w:space="0" w:color="000000"/>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129"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536"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4.3</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16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Our interest rate swaps are centrally cleared through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registered commodities exchanges, the Chicago Mercantile Exchange ("CME") and the London Clearing House (“LCH”). The clearing exchanges require that we post an "initial margin" amount determined by the exchanges. Initial margin is intended to be set at a level sufficient to protect the exchange against potential losses that could arise during the period required to close out or hedge the interest rate swap positions following a participant default. The amount is determined using risk-based models that consider potential market movements over a multi-day liquidation period and is subject to adjustment based on changes in market volatility, portfolio composition, liquidity, concentration and other factors. We also exchange daily settlements of "variation margin" based upon changes in fair value, as measured by the exchanges. Pursuant to rules governing central clearing activities, we recognize variation margin settlements as a direct reduction of the carrying value of the interest rate swap asset or liability.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160" w:right="0" w:firstLine="180"/>
        <w:jc w:val="left"/>
        <w:rPr/>
      </w:pPr>
      <w:r>
        <w:rPr>
          <w:rFonts w:ascii="Times New Roman" w:hAnsi="Times New Roman"/>
          <w:caps w:val="false"/>
          <w:smallCaps w:val="false"/>
          <w:sz w:val="20"/>
        </w:rPr>
        <w:t xml:space="preserve">The table below presents information related to the Company’s payer swaption positions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any open swaption positions 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160" w:right="0" w:firstLine="180"/>
        <w:jc w:val="left"/>
        <w:rPr>
          <w:caps w:val="false"/>
          <w:smallCaps w:val="false"/>
        </w:rPr>
      </w:pPr>
      <w:r>
        <w:rPr>
          <w:caps w:val="false"/>
          <w:smallCaps w:val="false"/>
        </w:rPr>
        <w:t> </w:t>
      </w:r>
    </w:p>
    <w:tbl>
      <w:tblPr>
        <w:tblW w:w="8140" w:type="dxa"/>
        <w:jc w:val="left"/>
        <w:tblInd w:w="0" w:type="dxa"/>
        <w:tblLayout w:type="fixed"/>
        <w:tblCellMar>
          <w:top w:w="0" w:type="dxa"/>
          <w:left w:w="0" w:type="dxa"/>
          <w:bottom w:w="28" w:type="dxa"/>
          <w:right w:w="0" w:type="dxa"/>
        </w:tblCellMar>
      </w:tblPr>
      <w:tblGrid>
        <w:gridCol w:w="2285"/>
        <w:gridCol w:w="60"/>
        <w:gridCol w:w="110"/>
        <w:gridCol w:w="485"/>
        <w:gridCol w:w="80"/>
        <w:gridCol w:w="60"/>
        <w:gridCol w:w="110"/>
        <w:gridCol w:w="485"/>
        <w:gridCol w:w="80"/>
        <w:gridCol w:w="60"/>
        <w:gridCol w:w="159"/>
        <w:gridCol w:w="656"/>
        <w:gridCol w:w="60"/>
        <w:gridCol w:w="60"/>
        <w:gridCol w:w="110"/>
        <w:gridCol w:w="740"/>
        <w:gridCol w:w="60"/>
        <w:gridCol w:w="60"/>
        <w:gridCol w:w="94"/>
        <w:gridCol w:w="526"/>
        <w:gridCol w:w="170"/>
        <w:gridCol w:w="800"/>
        <w:gridCol w:w="60"/>
        <w:gridCol w:w="139"/>
        <w:gridCol w:w="571"/>
        <w:gridCol w:w="60"/>
      </w:tblGrid>
      <w:tr>
        <w:trPr/>
        <w:tc>
          <w:tcPr>
            <w:tcW w:w="228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 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485"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485"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vAlign w:val="center"/>
          </w:tcPr>
          <w:p>
            <w:pPr>
              <w:pStyle w:val="TableContents"/>
              <w:bidi w:val="0"/>
              <w:spacing w:before="0" w:after="283"/>
              <w:jc w:val="left"/>
              <w:rPr/>
            </w:pPr>
            <w:r>
              <w:rPr/>
              <w:t> </w:t>
            </w:r>
          </w:p>
        </w:tc>
        <w:tc>
          <w:tcPr>
            <w:tcW w:w="656"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74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94" w:type="dxa"/>
            <w:tcBorders>
              <w:bottom w:val="single" w:sz="2" w:space="0" w:color="000000"/>
            </w:tcBorders>
            <w:shd w:fill="FFFFFF" w:val="clear"/>
            <w:vAlign w:val="center"/>
          </w:tcPr>
          <w:p>
            <w:pPr>
              <w:pStyle w:val="TableContents"/>
              <w:bidi w:val="0"/>
              <w:spacing w:before="0" w:after="283"/>
              <w:jc w:val="left"/>
              <w:rPr/>
            </w:pPr>
            <w:r>
              <w:rPr/>
              <w:t> </w:t>
            </w:r>
          </w:p>
        </w:tc>
        <w:tc>
          <w:tcPr>
            <w:tcW w:w="526"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80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vAlign w:val="center"/>
          </w:tcPr>
          <w:p>
            <w:pPr>
              <w:pStyle w:val="TableContents"/>
              <w:bidi w:val="0"/>
              <w:spacing w:before="0" w:after="283"/>
              <w:jc w:val="left"/>
              <w:rPr/>
            </w:pPr>
            <w:r>
              <w:rPr/>
              <w:t> </w:t>
            </w:r>
          </w:p>
        </w:tc>
        <w:tc>
          <w:tcPr>
            <w:tcW w:w="571"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28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285" w:type="dxa"/>
            <w:gridSpan w:val="10"/>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Option</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330" w:type="dxa"/>
            <w:gridSpan w:val="11"/>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Underlying Swap</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2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1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Weighted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740"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526" w:type="dxa"/>
            <w:tcBorders/>
            <w:shd w:fill="FFFFFF" w:val="clear"/>
            <w:tcMar>
              <w:bottom w:w="0" w:type="dxa"/>
            </w:tcMar>
            <w:vAlign w:val="center"/>
          </w:tcPr>
          <w:p>
            <w:pPr>
              <w:pStyle w:val="TableContents"/>
              <w:bidi w:val="0"/>
              <w:spacing w:before="0" w:after="283"/>
              <w:jc w:val="center"/>
              <w:rPr/>
            </w:pPr>
            <w:r>
              <w:rPr>
                <w:rStyle w:val="Emphasis"/>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left"/>
              <w:rPr/>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Weighted</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2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1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Average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740"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2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Average</w:t>
            </w:r>
          </w:p>
        </w:tc>
        <w:tc>
          <w:tcPr>
            <w:tcW w:w="170" w:type="dxa"/>
            <w:tcBorders/>
            <w:shd w:fill="FFFFFF" w:val="clear"/>
            <w:tcMar>
              <w:bottom w:w="0" w:type="dxa"/>
            </w:tcMar>
            <w:vAlign w:val="center"/>
          </w:tcPr>
          <w:p>
            <w:pPr>
              <w:pStyle w:val="TableContents"/>
              <w:bidi w:val="0"/>
              <w:spacing w:before="0" w:after="283"/>
              <w:ind w:left="0" w:right="0" w:hanging="0"/>
              <w:jc w:val="left"/>
              <w:rPr/>
            </w:pPr>
            <w:r>
              <w:rPr/>
              <w:t> </w:t>
            </w:r>
          </w:p>
        </w:tc>
        <w:tc>
          <w:tcPr>
            <w:tcW w:w="800" w:type="dxa"/>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Adjustable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Average</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2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Fair</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1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Months to</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5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Notional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2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Fixed</w:t>
            </w:r>
          </w:p>
        </w:tc>
        <w:tc>
          <w:tcPr>
            <w:tcW w:w="170" w:type="dxa"/>
            <w:tcBorders/>
            <w:shd w:fill="FFFFFF" w:val="clear"/>
            <w:tcMar>
              <w:bottom w:w="0" w:type="dxa"/>
            </w:tcMar>
            <w:vAlign w:val="center"/>
          </w:tcPr>
          <w:p>
            <w:pPr>
              <w:pStyle w:val="TableContents"/>
              <w:bidi w:val="0"/>
              <w:spacing w:before="0" w:after="283"/>
              <w:ind w:left="0" w:right="0" w:hanging="0"/>
              <w:jc w:val="left"/>
              <w:rPr/>
            </w:pPr>
            <w:r>
              <w:rPr/>
              <w:t> </w:t>
            </w:r>
          </w:p>
        </w:tc>
        <w:tc>
          <w:tcPr>
            <w:tcW w:w="800" w:type="dxa"/>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Rate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Term</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28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Cost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Value</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Expiration</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Rate</w:t>
            </w:r>
          </w:p>
        </w:tc>
        <w:tc>
          <w:tcPr>
            <w:tcW w:w="17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00" w:type="dxa"/>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Index</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(Years)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28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June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65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7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526"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 w:type="dxa"/>
            <w:tcBorders/>
            <w:shd w:fill="CCEEFF" w:val="clear"/>
            <w:tcMar>
              <w:bottom w:w="0" w:type="dxa"/>
            </w:tcMar>
            <w:vAlign w:val="center"/>
          </w:tcPr>
          <w:p>
            <w:pPr>
              <w:pStyle w:val="TableContents"/>
              <w:bidi w:val="0"/>
              <w:spacing w:before="0" w:after="283"/>
              <w:jc w:val="left"/>
              <w:rPr/>
            </w:pPr>
            <w:r>
              <w:rPr/>
              <w:t> </w:t>
            </w:r>
          </w:p>
        </w:tc>
        <w:tc>
          <w:tcPr>
            <w:tcW w:w="57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28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Payer Swaption (long position)</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7,124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5,633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ind w:left="0" w:right="0" w:hanging="0"/>
              <w:jc w:val="left"/>
              <w:rPr/>
            </w:pPr>
            <w:r>
              <w:rPr/>
              <w:t> </w:t>
            </w:r>
          </w:p>
        </w:tc>
        <w:tc>
          <w:tcPr>
            <w:tcW w:w="656"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18"/>
              </w:rPr>
            </w:pPr>
            <w:r>
              <w:rPr>
                <w:rFonts w:ascii="Times New Roman;Times;serif" w:hAnsi="Times New Roman;Times;serif"/>
                <w:sz w:val="18"/>
              </w:rPr>
              <w:t>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ind w:left="0" w:right="0" w:hanging="0"/>
              <w:jc w:val="left"/>
              <w:rPr/>
            </w:pPr>
            <w:r>
              <w:rPr/>
              <w:t> </w:t>
            </w:r>
          </w:p>
        </w:tc>
        <w:tc>
          <w:tcPr>
            <w:tcW w:w="52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4.11</w:t>
            </w:r>
          </w:p>
        </w:tc>
        <w:tc>
          <w:tcPr>
            <w:tcW w:w="17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00" w:type="dxa"/>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8"/>
              </w:rPr>
              <w:t>SOFR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 w:type="dxa"/>
            <w:tcBorders/>
            <w:shd w:fill="FFFFFF" w:val="clear"/>
            <w:tcMar>
              <w:bottom w:w="0" w:type="dxa"/>
            </w:tcMar>
            <w:vAlign w:val="center"/>
          </w:tcPr>
          <w:p>
            <w:pPr>
              <w:pStyle w:val="TableContents"/>
              <w:bidi w:val="0"/>
              <w:spacing w:before="0" w:after="283"/>
              <w:ind w:left="0" w:right="0" w:hanging="0"/>
              <w:jc w:val="left"/>
              <w:rPr/>
            </w:pPr>
            <w:r>
              <w:rPr/>
              <w:t> </w:t>
            </w:r>
          </w:p>
        </w:tc>
        <w:tc>
          <w:tcPr>
            <w:tcW w:w="571"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18"/>
              </w:rPr>
            </w:pPr>
            <w:r>
              <w:rPr>
                <w:rFonts w:ascii="Times New Roman;Times;serif" w:hAnsi="Times New Roman;Times;serif"/>
                <w:sz w:val="18"/>
              </w:rPr>
              <w:t>5.0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285"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Payer Swaption (short position)</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(3,024</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(2,091</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56" w:type="dxa"/>
            <w:tcBorders>
              <w:bottom w:val="single" w:sz="2" w:space="0" w:color="000000"/>
            </w:tcBorders>
            <w:shd w:fill="CCEEFF" w:val="clear"/>
            <w:vAlign w:val="center"/>
          </w:tcPr>
          <w:p>
            <w:pPr>
              <w:pStyle w:val="TableContents"/>
              <w:bidi w:val="0"/>
              <w:spacing w:before="0" w:after="283"/>
              <w:ind w:left="0" w:right="0" w:hanging="0"/>
              <w:jc w:val="center"/>
              <w:rPr>
                <w:rFonts w:ascii="Times New Roman;Times;serif" w:hAnsi="Times New Roman;Times;serif"/>
                <w:sz w:val="18"/>
              </w:rPr>
            </w:pPr>
            <w:r>
              <w:rPr>
                <w:rFonts w:ascii="Times New Roman;Times;serif" w:hAnsi="Times New Roman;Times;serif"/>
                <w:sz w:val="18"/>
              </w:rPr>
              <w:t>5.0</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1,000,000</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9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2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4.51</w:t>
            </w:r>
          </w:p>
        </w:tc>
        <w:tc>
          <w:tcPr>
            <w:tcW w:w="170"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00" w:type="dxa"/>
            <w:tcBorders>
              <w:bottom w:val="single" w:sz="2" w:space="0" w:color="000000"/>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8"/>
              </w:rPr>
              <w:t>SOFR</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71" w:type="dxa"/>
            <w:tcBorders>
              <w:bottom w:val="single" w:sz="2" w:space="0" w:color="000000"/>
            </w:tcBorders>
            <w:shd w:fill="CCEEFF" w:val="clear"/>
            <w:vAlign w:val="center"/>
          </w:tcPr>
          <w:p>
            <w:pPr>
              <w:pStyle w:val="TableContents"/>
              <w:bidi w:val="0"/>
              <w:spacing w:before="0" w:after="283"/>
              <w:ind w:left="0" w:right="0" w:hanging="0"/>
              <w:jc w:val="center"/>
              <w:rPr>
                <w:rFonts w:ascii="Times New Roman;Times;serif" w:hAnsi="Times New Roman;Times;serif"/>
                <w:sz w:val="18"/>
              </w:rPr>
            </w:pPr>
            <w:r>
              <w:rPr>
                <w:rFonts w:ascii="Times New Roman;Times;serif" w:hAnsi="Times New Roman;Times;serif"/>
                <w:sz w:val="18"/>
              </w:rPr>
              <w:t>5.0</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r>
      <w:tr>
        <w:trPr/>
        <w:tc>
          <w:tcPr>
            <w:tcW w:w="2285" w:type="dxa"/>
            <w:tcBorders>
              <w:bottom w:val="double" w:sz="6"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85" w:type="dxa"/>
            <w:tcBorders>
              <w:bottom w:val="double" w:sz="6"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4,100</w:t>
            </w:r>
          </w:p>
        </w:tc>
        <w:tc>
          <w:tcPr>
            <w:tcW w:w="8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85" w:type="dxa"/>
            <w:tcBorders>
              <w:bottom w:val="double" w:sz="6"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3,542</w:t>
            </w:r>
          </w:p>
        </w:tc>
        <w:tc>
          <w:tcPr>
            <w:tcW w:w="8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159"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656" w:type="dxa"/>
            <w:tcBorders>
              <w:bottom w:val="double" w:sz="6" w:space="0" w:color="000000"/>
            </w:tcBorders>
            <w:shd w:fill="FFFFFF" w:val="clear"/>
            <w:vAlign w:val="center"/>
          </w:tcPr>
          <w:p>
            <w:pPr>
              <w:pStyle w:val="TableContents"/>
              <w:bidi w:val="0"/>
              <w:spacing w:before="0" w:after="0"/>
              <w:ind w:left="0" w:right="0" w:hanging="0"/>
              <w:jc w:val="right"/>
              <w:rPr/>
            </w:pPr>
            <w:r>
              <w:rPr>
                <w:rStyle w:val="Emphasis"/>
              </w:rPr>
              <w:t> </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bottom w:val="double" w:sz="6"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2,000,000</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94"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526" w:type="dxa"/>
            <w:tcBorders>
              <w:bottom w:val="double" w:sz="6" w:space="0" w:color="000000"/>
            </w:tcBorders>
            <w:shd w:fill="FFFFFF" w:val="clear"/>
            <w:vAlign w:val="center"/>
          </w:tcPr>
          <w:p>
            <w:pPr>
              <w:pStyle w:val="TableContents"/>
              <w:bidi w:val="0"/>
              <w:spacing w:before="0" w:after="0"/>
              <w:ind w:left="0" w:right="0" w:hanging="0"/>
              <w:jc w:val="right"/>
              <w:rPr/>
            </w:pPr>
            <w:r>
              <w:rPr>
                <w:rStyle w:val="Emphasis"/>
              </w:rPr>
              <w:t> </w:t>
            </w:r>
          </w:p>
        </w:tc>
        <w:tc>
          <w:tcPr>
            <w:tcW w:w="17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800" w:type="dxa"/>
            <w:tcBorders>
              <w:bottom w:val="double" w:sz="6" w:space="0" w:color="000000"/>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139"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571" w:type="dxa"/>
            <w:tcBorders>
              <w:bottom w:val="double" w:sz="6" w:space="0" w:color="000000"/>
            </w:tcBorders>
            <w:shd w:fill="FFFFFF" w:val="clear"/>
            <w:vAlign w:val="center"/>
          </w:tcPr>
          <w:p>
            <w:pPr>
              <w:pStyle w:val="TableContents"/>
              <w:bidi w:val="0"/>
              <w:spacing w:before="0" w:after="0"/>
              <w:ind w:left="0" w:right="0" w:hanging="0"/>
              <w:jc w:val="right"/>
              <w:rPr/>
            </w:pPr>
            <w:r>
              <w:rPr>
                <w:rStyle w:val="Emphasis"/>
              </w:rPr>
              <w:t> </w:t>
            </w:r>
          </w:p>
        </w:tc>
        <w:tc>
          <w:tcPr>
            <w:tcW w:w="60" w:type="dxa"/>
            <w:tcBorders>
              <w:bottom w:val="double" w:sz="6" w:space="0" w:color="000000"/>
            </w:tcBorders>
            <w:shd w:fill="FFFFFF" w:val="clear"/>
            <w:vAlign w:val="center"/>
          </w:tcPr>
          <w:p>
            <w:pPr>
              <w:pStyle w:val="TableContents"/>
              <w:bidi w:val="0"/>
              <w:spacing w:before="0" w:after="0"/>
              <w:jc w:val="left"/>
              <w:rPr/>
            </w:pPr>
            <w:r>
              <w:rPr/>
              <w:t> </w:t>
            </w:r>
          </w:p>
        </w:tc>
      </w:tr>
    </w:tbl>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We purchase interest rate swaptions to help mitigate the potential impact of larger, more rapid changes in interest rates on the performance of our investment portfolio. Interest rate swaptions provide us the option to enter into an interest rate swap agreement for a predetermined notional amount, stated term and pay and receive interest rates in the future. Our interest rate swaption agreements are </w:t>
      </w:r>
      <w:r>
        <w:rPr>
          <w:rStyle w:val="Emphasis"/>
          <w:rFonts w:ascii="Times New Roman" w:hAnsi="Times New Roman"/>
          <w:i/>
          <w:caps w:val="false"/>
          <w:smallCaps w:val="false"/>
          <w:sz w:val="20"/>
        </w:rPr>
        <w:t>not</w:t>
      </w:r>
      <w:r>
        <w:rPr>
          <w:rFonts w:ascii="Times New Roman" w:hAnsi="Times New Roman"/>
          <w:caps w:val="false"/>
          <w:smallCaps w:val="false"/>
          <w:sz w:val="20"/>
        </w:rPr>
        <w:t> subject to central clearing. The difference between the premium paid and the fair value of the swaption is reported in gain (loss) on derivative and other hedging instruments in our statements of comprehensive income (loss). If a swaption expires unexercised, the realized loss on the swaption would be equal to the premium paid. If we sell or exercise a swaption, the realized gain or loss on the swaption would be equal to the difference between the cash or the fair value of the underlying interest rate swap and the premium paid.</w:t>
      </w:r>
    </w:p>
    <w:p>
      <w:pPr>
        <w:pStyle w:val="TextBody"/>
        <w:bidi w:val="0"/>
        <w:spacing w:before="0" w:after="0"/>
        <w:ind w:left="0" w:right="0" w:hanging="0"/>
        <w:jc w:val="left"/>
        <w:rPr/>
      </w:pPr>
      <w:r>
        <w:rPr/>
        <w:t> </w:t>
      </w:r>
    </w:p>
    <w:p>
      <w:pPr>
        <w:pStyle w:val="TextBody"/>
        <w:bidi w:val="0"/>
        <w:spacing w:before="0" w:after="0"/>
        <w:ind w:left="0" w:right="0" w:firstLine="360"/>
        <w:jc w:val="left"/>
        <w:rPr/>
      </w:pPr>
      <w:r>
        <w:rPr>
          <w:rFonts w:ascii="Times New Roman" w:hAnsi="Times New Roman"/>
          <w:caps w:val="false"/>
          <w:smallCaps w:val="false"/>
          <w:sz w:val="20"/>
        </w:rPr>
        <w:t>The following table summarizes the Company’s contracts to purchase and sell TBA securities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tbl>
      <w:tblPr>
        <w:tblW w:w="5370" w:type="dxa"/>
        <w:jc w:val="left"/>
        <w:tblInd w:w="0" w:type="dxa"/>
        <w:tblLayout w:type="fixed"/>
        <w:tblCellMar>
          <w:top w:w="0" w:type="dxa"/>
          <w:left w:w="0" w:type="dxa"/>
          <w:bottom w:w="28" w:type="dxa"/>
          <w:right w:w="0" w:type="dxa"/>
        </w:tblCellMar>
      </w:tblPr>
      <w:tblGrid>
        <w:gridCol w:w="1790"/>
        <w:gridCol w:w="60"/>
        <w:gridCol w:w="110"/>
        <w:gridCol w:w="665"/>
        <w:gridCol w:w="80"/>
        <w:gridCol w:w="60"/>
        <w:gridCol w:w="110"/>
        <w:gridCol w:w="665"/>
        <w:gridCol w:w="80"/>
        <w:gridCol w:w="60"/>
        <w:gridCol w:w="110"/>
        <w:gridCol w:w="665"/>
        <w:gridCol w:w="80"/>
        <w:gridCol w:w="60"/>
        <w:gridCol w:w="128"/>
        <w:gridCol w:w="567"/>
        <w:gridCol w:w="80"/>
      </w:tblGrid>
      <w:tr>
        <w:trPr/>
        <w:tc>
          <w:tcPr>
            <w:tcW w:w="179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 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665"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665"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665"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vAlign w:val="center"/>
          </w:tcPr>
          <w:p>
            <w:pPr>
              <w:pStyle w:val="TableContents"/>
              <w:bidi w:val="0"/>
              <w:spacing w:before="0" w:after="283"/>
              <w:jc w:val="left"/>
              <w:rPr/>
            </w:pPr>
            <w:r>
              <w:rPr/>
              <w:t> </w:t>
            </w:r>
          </w:p>
        </w:tc>
        <w:tc>
          <w:tcPr>
            <w:tcW w:w="567"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7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7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Notional</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 w:type="dxa"/>
            <w:tcBorders/>
            <w:shd w:fill="FFFFFF" w:val="clear"/>
            <w:tcMar>
              <w:bottom w:w="0" w:type="dxa"/>
            </w:tcMar>
            <w:vAlign w:val="center"/>
          </w:tcPr>
          <w:p>
            <w:pPr>
              <w:pStyle w:val="TableContents"/>
              <w:bidi w:val="0"/>
              <w:spacing w:before="0" w:after="283"/>
              <w:jc w:val="left"/>
              <w:rPr/>
            </w:pPr>
            <w:r>
              <w:rPr/>
              <w:t> </w:t>
            </w:r>
          </w:p>
        </w:tc>
        <w:tc>
          <w:tcPr>
            <w:tcW w:w="567"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17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7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Net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17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7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Long</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7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Cost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7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Market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Carrying</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179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(Short)(1)</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Basis(2)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Value(3)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Value(4)</w:t>
            </w:r>
          </w:p>
        </w:tc>
        <w:tc>
          <w:tcPr>
            <w:tcW w:w="8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June 30, 2026</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28"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567"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r>
      <w:tr>
        <w:trPr/>
        <w:tc>
          <w:tcPr>
            <w:tcW w:w="179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b/>
                <w:i/>
                <w:caps w:val="false"/>
                <w:smallCaps w:val="false"/>
                <w:sz w:val="18"/>
              </w:rPr>
            </w:pPr>
            <w:r>
              <w:rPr>
                <w:rFonts w:ascii="Times New Roman;Times;serif" w:hAnsi="Times New Roman;Times;serif"/>
                <w:b/>
                <w:i/>
                <w:caps w:val="false"/>
                <w:smallCaps w:val="false"/>
                <w:sz w:val="18"/>
              </w:rPr>
              <w:t>30-Year TBA securities: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 w:type="dxa"/>
            <w:tcBorders/>
            <w:shd w:fill="FFFFFF" w:val="clear"/>
            <w:tcMar>
              <w:bottom w:w="0" w:type="dxa"/>
            </w:tcMar>
            <w:vAlign w:val="center"/>
          </w:tcPr>
          <w:p>
            <w:pPr>
              <w:pStyle w:val="TableContents"/>
              <w:bidi w:val="0"/>
              <w:spacing w:before="0" w:after="283"/>
              <w:jc w:val="left"/>
              <w:rPr/>
            </w:pPr>
            <w:r>
              <w:rPr/>
              <w:t> </w:t>
            </w:r>
          </w:p>
        </w:tc>
        <w:tc>
          <w:tcPr>
            <w:tcW w:w="567"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179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5.0%</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1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(145,000</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1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(141,270</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1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(142,689</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28"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67"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(1,419</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79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5.5%</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(449,900</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(448,564</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(451,868</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28"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567"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(3,304</w:t>
            </w:r>
          </w:p>
        </w:tc>
        <w:tc>
          <w:tcPr>
            <w:tcW w:w="80" w:type="dxa"/>
            <w:tcBorders>
              <w:bottom w:val="single" w:sz="2" w:space="0" w:color="000000"/>
            </w:tcBorders>
            <w:shd w:fill="FFFFFF" w:val="clear"/>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w:t>
            </w:r>
          </w:p>
        </w:tc>
      </w:tr>
      <w:tr>
        <w:trPr/>
        <w:tc>
          <w:tcPr>
            <w:tcW w:w="179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6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(594,900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6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(589,834</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6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(594,557</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56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(4,723</w:t>
            </w:r>
          </w:p>
        </w:tc>
        <w:tc>
          <w:tcPr>
            <w:tcW w:w="8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79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December 31, 2025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665"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665"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665"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vAlign w:val="center"/>
          </w:tcPr>
          <w:p>
            <w:pPr>
              <w:pStyle w:val="TableContents"/>
              <w:bidi w:val="0"/>
              <w:spacing w:before="0" w:after="283"/>
              <w:jc w:val="left"/>
              <w:rPr/>
            </w:pPr>
            <w:r>
              <w:rPr/>
              <w:t> </w:t>
            </w:r>
          </w:p>
        </w:tc>
        <w:tc>
          <w:tcPr>
            <w:tcW w:w="567"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79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sz w:val="18"/>
              </w:rPr>
            </w:pPr>
            <w:r>
              <w:rPr>
                <w:rFonts w:ascii="Times New Roman;Times;serif" w:hAnsi="Times New Roman;Times;serif"/>
                <w:b/>
                <w:i/>
                <w:sz w:val="18"/>
              </w:rPr>
              <w:t>15-Year TBA securities: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567"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179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4.5%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6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250,000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6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249,998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6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250,186</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56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188</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179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sz w:val="18"/>
              </w:rPr>
            </w:pPr>
            <w:r>
              <w:rPr>
                <w:rFonts w:ascii="Times New Roman;Times;serif" w:hAnsi="Times New Roman;Times;serif"/>
                <w:b/>
                <w:i/>
                <w:sz w:val="18"/>
              </w:rPr>
              <w:t>30-Year TBA securities: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567"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179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3.0%</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10" w:type="dxa"/>
            <w:tcBorders/>
            <w:shd w:fill="FFFFFF" w:val="clear"/>
            <w:tcMar>
              <w:bottom w:w="0" w:type="dxa"/>
            </w:tcMar>
            <w:vAlign w:val="center"/>
          </w:tcPr>
          <w:p>
            <w:pPr>
              <w:pStyle w:val="TableContents"/>
              <w:bidi w:val="0"/>
              <w:spacing w:before="0" w:after="0"/>
              <w:ind w:left="0" w:right="0" w:hanging="0"/>
              <w:jc w:val="left"/>
              <w:rPr/>
            </w:pPr>
            <w:r>
              <w:rPr/>
              <w:t> </w:t>
            </w:r>
          </w:p>
        </w:tc>
        <w:tc>
          <w:tcPr>
            <w:tcW w:w="665" w:type="dxa"/>
            <w:tcBorders/>
            <w:shd w:fill="FFFFFF" w:val="clear"/>
            <w:tcMar>
              <w:bottom w:w="0"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0"/>
              <w:ind w:left="0" w:right="0" w:hanging="0"/>
              <w:jc w:val="left"/>
              <w:rPr/>
            </w:pPr>
            <w:r>
              <w:rPr/>
              <w:t> </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10" w:type="dxa"/>
            <w:tcBorders/>
            <w:shd w:fill="FFFFFF" w:val="clear"/>
            <w:tcMar>
              <w:bottom w:w="0" w:type="dxa"/>
            </w:tcMar>
            <w:vAlign w:val="center"/>
          </w:tcPr>
          <w:p>
            <w:pPr>
              <w:pStyle w:val="TableContents"/>
              <w:bidi w:val="0"/>
              <w:spacing w:before="0" w:after="0"/>
              <w:ind w:left="0" w:right="0" w:hanging="0"/>
              <w:jc w:val="left"/>
              <w:rPr/>
            </w:pPr>
            <w:r>
              <w:rPr/>
              <w:t> </w:t>
            </w:r>
          </w:p>
        </w:tc>
        <w:tc>
          <w:tcPr>
            <w:tcW w:w="665" w:type="dxa"/>
            <w:tcBorders/>
            <w:shd w:fill="FFFFFF" w:val="clear"/>
            <w:tcMar>
              <w:bottom w:w="0"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(343</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10" w:type="dxa"/>
            <w:tcBorders/>
            <w:shd w:fill="FFFFFF" w:val="clear"/>
            <w:tcMar>
              <w:bottom w:w="0" w:type="dxa"/>
            </w:tcMar>
            <w:vAlign w:val="center"/>
          </w:tcPr>
          <w:p>
            <w:pPr>
              <w:pStyle w:val="TableContents"/>
              <w:bidi w:val="0"/>
              <w:spacing w:before="0" w:after="0"/>
              <w:ind w:left="0" w:right="0" w:hanging="0"/>
              <w:jc w:val="left"/>
              <w:rPr/>
            </w:pPr>
            <w:r>
              <w:rPr/>
              <w:t> </w:t>
            </w:r>
          </w:p>
        </w:tc>
        <w:tc>
          <w:tcPr>
            <w:tcW w:w="665" w:type="dxa"/>
            <w:tcBorders/>
            <w:shd w:fill="FFFFFF" w:val="clear"/>
            <w:tcMar>
              <w:bottom w:w="0"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0"/>
              <w:ind w:left="0" w:right="0" w:hanging="0"/>
              <w:jc w:val="left"/>
              <w:rPr/>
            </w:pPr>
            <w:r>
              <w:rPr/>
              <w:t> </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28" w:type="dxa"/>
            <w:tcBorders/>
            <w:shd w:fill="FFFFFF" w:val="clear"/>
            <w:tcMar>
              <w:bottom w:w="0" w:type="dxa"/>
            </w:tcMar>
            <w:vAlign w:val="center"/>
          </w:tcPr>
          <w:p>
            <w:pPr>
              <w:pStyle w:val="TableContents"/>
              <w:bidi w:val="0"/>
              <w:spacing w:before="0" w:after="0"/>
              <w:ind w:left="0" w:right="0" w:hanging="0"/>
              <w:jc w:val="left"/>
              <w:rPr/>
            </w:pPr>
            <w:r>
              <w:rPr/>
              <w:t> </w:t>
            </w:r>
          </w:p>
        </w:tc>
        <w:tc>
          <w:tcPr>
            <w:tcW w:w="567" w:type="dxa"/>
            <w:tcBorders/>
            <w:shd w:fill="FFFFFF" w:val="clear"/>
            <w:tcMar>
              <w:bottom w:w="0"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343</w:t>
            </w:r>
          </w:p>
        </w:tc>
        <w:tc>
          <w:tcPr>
            <w:tcW w:w="80" w:type="dxa"/>
            <w:tcBorders/>
            <w:shd w:fill="FFFFFF" w:val="clear"/>
            <w:tcMar>
              <w:bottom w:w="0" w:type="dxa"/>
            </w:tcMar>
            <w:vAlign w:val="center"/>
          </w:tcPr>
          <w:p>
            <w:pPr>
              <w:pStyle w:val="TableContents"/>
              <w:bidi w:val="0"/>
              <w:spacing w:before="0" w:after="0"/>
              <w:jc w:val="left"/>
              <w:rPr/>
            </w:pPr>
            <w:r>
              <w:rPr/>
              <w:t> </w:t>
            </w:r>
          </w:p>
        </w:tc>
      </w:tr>
      <w:tr>
        <w:trPr/>
        <w:tc>
          <w:tcPr>
            <w:tcW w:w="17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56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(34</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79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4.0%</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6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6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(215</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6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8" w:type="dxa"/>
            <w:tcBorders/>
            <w:shd w:fill="FFFFFF" w:val="clear"/>
            <w:tcMar>
              <w:bottom w:w="0" w:type="dxa"/>
            </w:tcMar>
            <w:vAlign w:val="center"/>
          </w:tcPr>
          <w:p>
            <w:pPr>
              <w:pStyle w:val="TableContents"/>
              <w:bidi w:val="0"/>
              <w:spacing w:before="0" w:after="283"/>
              <w:ind w:left="0" w:right="0" w:hanging="0"/>
              <w:jc w:val="left"/>
              <w:rPr/>
            </w:pPr>
            <w:r>
              <w:rPr/>
              <w:t> </w:t>
            </w:r>
          </w:p>
        </w:tc>
        <w:tc>
          <w:tcPr>
            <w:tcW w:w="56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215</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17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218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56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(218</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79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5.5%</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6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(275,000</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6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(277,696</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6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(278,996</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8" w:type="dxa"/>
            <w:tcBorders/>
            <w:shd w:fill="FFFFFF" w:val="clear"/>
            <w:tcMar>
              <w:bottom w:w="0" w:type="dxa"/>
            </w:tcMar>
            <w:vAlign w:val="center"/>
          </w:tcPr>
          <w:p>
            <w:pPr>
              <w:pStyle w:val="TableContents"/>
              <w:bidi w:val="0"/>
              <w:spacing w:before="0" w:after="283"/>
              <w:ind w:left="0" w:right="0" w:hanging="0"/>
              <w:jc w:val="left"/>
              <w:rPr/>
            </w:pPr>
            <w:r>
              <w:rPr/>
              <w:t> </w:t>
            </w:r>
          </w:p>
        </w:tc>
        <w:tc>
          <w:tcPr>
            <w:tcW w:w="56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(1,300</w:t>
            </w:r>
          </w:p>
        </w:tc>
        <w:tc>
          <w:tcPr>
            <w:tcW w:w="8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79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6.5%</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(155,000</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(161,103</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(161,127</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28"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567" w:type="dxa"/>
            <w:tcBorders>
              <w:bottom w:val="single" w:sz="2"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790" w:type="dxa"/>
            <w:tcBorders>
              <w:bottom w:val="double" w:sz="6"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(180,000</w:t>
            </w:r>
          </w:p>
        </w:tc>
        <w:tc>
          <w:tcPr>
            <w:tcW w:w="8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(189,107</w:t>
            </w:r>
          </w:p>
        </w:tc>
        <w:tc>
          <w:tcPr>
            <w:tcW w:w="8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(189,937</w:t>
            </w:r>
          </w:p>
        </w:tc>
        <w:tc>
          <w:tcPr>
            <w:tcW w:w="8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67"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(830</w:t>
            </w:r>
          </w:p>
        </w:tc>
        <w:tc>
          <w:tcPr>
            <w:tcW w:w="8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hanging="0"/>
        <w:jc w:val="left"/>
        <w:rPr>
          <w:caps w:val="false"/>
          <w:smallCaps w:val="false"/>
        </w:rPr>
      </w:pPr>
      <w:r>
        <w:rPr>
          <w:caps w:val="false"/>
          <w:smallCaps w:val="false"/>
        </w:rPr>
        <w:t> </w:t>
      </w:r>
    </w:p>
    <w:tbl>
      <w:tblPr>
        <w:tblW w:w="7150" w:type="dxa"/>
        <w:jc w:val="left"/>
        <w:tblInd w:w="0" w:type="dxa"/>
        <w:tblLayout w:type="fixed"/>
        <w:tblCellMar>
          <w:top w:w="0" w:type="dxa"/>
          <w:left w:w="0" w:type="dxa"/>
          <w:bottom w:w="0" w:type="dxa"/>
          <w:right w:w="0" w:type="dxa"/>
        </w:tblCellMar>
      </w:tblPr>
      <w:tblGrid>
        <w:gridCol w:w="230"/>
        <w:gridCol w:w="6920"/>
      </w:tblGrid>
      <w:tr>
        <w:trPr/>
        <w:tc>
          <w:tcPr>
            <w:tcW w:w="230"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18"/>
              </w:rPr>
              <w:t>(</w:t>
            </w:r>
            <w:r>
              <w:rPr>
                <w:rStyle w:val="Emphasis"/>
                <w:rFonts w:ascii="Times New Roman;Times;serif" w:hAnsi="Times New Roman;Times;serif"/>
                <w:caps w:val="false"/>
                <w:smallCaps w:val="false"/>
                <w:sz w:val="18"/>
              </w:rPr>
              <w:t>1</w:t>
            </w:r>
            <w:r>
              <w:rPr>
                <w:rFonts w:ascii="Times New Roman;Times;serif" w:hAnsi="Times New Roman;Times;serif"/>
                <w:caps w:val="false"/>
                <w:smallCaps w:val="false"/>
                <w:sz w:val="18"/>
              </w:rPr>
              <w:t>)</w:t>
            </w:r>
          </w:p>
        </w:tc>
        <w:tc>
          <w:tcPr>
            <w:tcW w:w="69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Notional amount represents the par value (or principal balance) of the underlying Agency RMBS.</w:t>
            </w:r>
          </w:p>
        </w:tc>
      </w:tr>
    </w:tbl>
    <w:tbl>
      <w:tblPr>
        <w:tblW w:w="7015" w:type="dxa"/>
        <w:jc w:val="left"/>
        <w:tblInd w:w="0" w:type="dxa"/>
        <w:tblLayout w:type="fixed"/>
        <w:tblCellMar>
          <w:top w:w="0" w:type="dxa"/>
          <w:left w:w="0" w:type="dxa"/>
          <w:bottom w:w="0" w:type="dxa"/>
          <w:right w:w="0" w:type="dxa"/>
        </w:tblCellMar>
      </w:tblPr>
      <w:tblGrid>
        <w:gridCol w:w="230"/>
        <w:gridCol w:w="6785"/>
      </w:tblGrid>
      <w:tr>
        <w:trPr/>
        <w:tc>
          <w:tcPr>
            <w:tcW w:w="230"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18"/>
              </w:rPr>
              <w:t>(</w:t>
            </w:r>
            <w:r>
              <w:rPr>
                <w:rStyle w:val="Emphasis"/>
                <w:rFonts w:ascii="Times New Roman;Times;serif" w:hAnsi="Times New Roman;Times;serif"/>
                <w:caps w:val="false"/>
                <w:smallCaps w:val="false"/>
                <w:sz w:val="18"/>
              </w:rPr>
              <w:t>2</w:t>
            </w:r>
            <w:r>
              <w:rPr>
                <w:rFonts w:ascii="Times New Roman;Times;serif" w:hAnsi="Times New Roman;Times;serif"/>
                <w:caps w:val="false"/>
                <w:smallCaps w:val="false"/>
                <w:sz w:val="18"/>
              </w:rPr>
              <w:t>)</w:t>
            </w:r>
          </w:p>
        </w:tc>
        <w:tc>
          <w:tcPr>
            <w:tcW w:w="67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Cost basis represents the forward price to be paid (received) for the underlying Agency RMBS.</w:t>
            </w:r>
          </w:p>
        </w:tc>
      </w:tr>
    </w:tbl>
    <w:tbl>
      <w:tblPr>
        <w:tblW w:w="9220" w:type="dxa"/>
        <w:jc w:val="left"/>
        <w:tblInd w:w="0" w:type="dxa"/>
        <w:tblLayout w:type="fixed"/>
        <w:tblCellMar>
          <w:top w:w="0" w:type="dxa"/>
          <w:left w:w="0" w:type="dxa"/>
          <w:bottom w:w="0" w:type="dxa"/>
          <w:right w:w="0" w:type="dxa"/>
        </w:tblCellMar>
      </w:tblPr>
      <w:tblGrid>
        <w:gridCol w:w="230"/>
        <w:gridCol w:w="8990"/>
      </w:tblGrid>
      <w:tr>
        <w:trPr/>
        <w:tc>
          <w:tcPr>
            <w:tcW w:w="230"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18"/>
              </w:rPr>
              <w:t>(</w:t>
            </w:r>
            <w:r>
              <w:rPr>
                <w:rStyle w:val="Emphasis"/>
                <w:rFonts w:ascii="Times New Roman;Times;serif" w:hAnsi="Times New Roman;Times;serif"/>
                <w:caps w:val="false"/>
                <w:smallCaps w:val="false"/>
                <w:sz w:val="18"/>
              </w:rPr>
              <w:t>3</w:t>
            </w:r>
            <w:r>
              <w:rPr>
                <w:rFonts w:ascii="Times New Roman;Times;serif" w:hAnsi="Times New Roman;Times;serif"/>
                <w:caps w:val="false"/>
                <w:smallCaps w:val="false"/>
                <w:sz w:val="18"/>
              </w:rPr>
              <w:t>)</w:t>
            </w:r>
          </w:p>
        </w:tc>
        <w:tc>
          <w:tcPr>
            <w:tcW w:w="8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Market value represents the current market value of the TBA securities (or of the underlying Agency RMBS) as of period-end.</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18"/>
              </w:rPr>
              <w:t>(</w:t>
            </w:r>
            <w:r>
              <w:rPr>
                <w:rStyle w:val="Emphasis"/>
                <w:rFonts w:ascii="Times New Roman;Times;serif" w:hAnsi="Times New Roman;Times;serif"/>
                <w:caps w:val="false"/>
                <w:smallCaps w:val="false"/>
                <w:sz w:val="18"/>
              </w:rPr>
              <w:t>4</w:t>
            </w:r>
            <w:r>
              <w:rPr>
                <w:rFonts w:ascii="Times New Roman;Times;serif" w:hAnsi="Times New Roman;Times;serif"/>
                <w:caps w:val="false"/>
                <w:smallCaps w:val="false"/>
                <w:sz w:val="18"/>
              </w:rPr>
              <w:t>)</w:t>
            </w:r>
          </w:p>
        </w:tc>
        <w:tc>
          <w:tcPr>
            <w:tcW w:w="1001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carrying value represents the difference between the market value and the cost basis of the TBA securities as of period-end and is reported in derivative assets (liabilities) at fair value in the balance sheets.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Gain (Loss) From Derivative and Other Hedging Instruments,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table below presents the effect of the Company’s derivative and other hedging instruments on the statements of comprehensive income (loss)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tbl>
      <w:tblPr>
        <w:tblW w:w="7880" w:type="dxa"/>
        <w:jc w:val="left"/>
        <w:tblInd w:w="0" w:type="dxa"/>
        <w:tblLayout w:type="fixed"/>
        <w:tblCellMar>
          <w:top w:w="0" w:type="dxa"/>
          <w:left w:w="0" w:type="dxa"/>
          <w:bottom w:w="28" w:type="dxa"/>
          <w:right w:w="0" w:type="dxa"/>
        </w:tblCellMar>
      </w:tblPr>
      <w:tblGrid>
        <w:gridCol w:w="3200"/>
        <w:gridCol w:w="60"/>
        <w:gridCol w:w="142"/>
        <w:gridCol w:w="781"/>
        <w:gridCol w:w="103"/>
        <w:gridCol w:w="77"/>
        <w:gridCol w:w="142"/>
        <w:gridCol w:w="858"/>
        <w:gridCol w:w="80"/>
        <w:gridCol w:w="60"/>
        <w:gridCol w:w="174"/>
        <w:gridCol w:w="816"/>
        <w:gridCol w:w="126"/>
        <w:gridCol w:w="95"/>
        <w:gridCol w:w="174"/>
        <w:gridCol w:w="912"/>
        <w:gridCol w:w="80"/>
      </w:tblGrid>
      <w:tr>
        <w:trPr/>
        <w:tc>
          <w:tcPr>
            <w:tcW w:w="320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vAlign w:val="center"/>
          </w:tcPr>
          <w:p>
            <w:pPr>
              <w:pStyle w:val="TableContents"/>
              <w:bidi w:val="0"/>
              <w:spacing w:before="0" w:after="283"/>
              <w:jc w:val="left"/>
              <w:rPr/>
            </w:pPr>
            <w:r>
              <w:rPr/>
              <w:t> </w:t>
            </w:r>
          </w:p>
        </w:tc>
        <w:tc>
          <w:tcPr>
            <w:tcW w:w="781" w:type="dxa"/>
            <w:tcBorders>
              <w:bottom w:val="single" w:sz="2" w:space="0" w:color="000000"/>
            </w:tcBorders>
            <w:shd w:fill="FFFFFF" w:val="clear"/>
            <w:vAlign w:val="center"/>
          </w:tcPr>
          <w:p>
            <w:pPr>
              <w:pStyle w:val="TableContents"/>
              <w:bidi w:val="0"/>
              <w:spacing w:before="0" w:after="283"/>
              <w:jc w:val="left"/>
              <w:rPr/>
            </w:pPr>
            <w:r>
              <w:rPr/>
              <w:t> </w:t>
            </w:r>
          </w:p>
        </w:tc>
        <w:tc>
          <w:tcPr>
            <w:tcW w:w="103" w:type="dxa"/>
            <w:tcBorders>
              <w:bottom w:val="single" w:sz="2" w:space="0" w:color="000000"/>
            </w:tcBorders>
            <w:shd w:fill="FFFFFF" w:val="clear"/>
            <w:vAlign w:val="center"/>
          </w:tcPr>
          <w:p>
            <w:pPr>
              <w:pStyle w:val="TableContents"/>
              <w:bidi w:val="0"/>
              <w:spacing w:before="0" w:after="283"/>
              <w:jc w:val="left"/>
              <w:rPr/>
            </w:pPr>
            <w:r>
              <w:rPr/>
              <w:t> </w:t>
            </w:r>
          </w:p>
        </w:tc>
        <w:tc>
          <w:tcPr>
            <w:tcW w:w="77" w:type="dxa"/>
            <w:tcBorders>
              <w:bottom w:val="single" w:sz="2" w:space="0" w:color="000000"/>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vAlign w:val="center"/>
          </w:tcPr>
          <w:p>
            <w:pPr>
              <w:pStyle w:val="TableContents"/>
              <w:bidi w:val="0"/>
              <w:spacing w:before="0" w:after="283"/>
              <w:jc w:val="left"/>
              <w:rPr/>
            </w:pPr>
            <w:r>
              <w:rPr/>
              <w:t> </w:t>
            </w:r>
          </w:p>
        </w:tc>
        <w:tc>
          <w:tcPr>
            <w:tcW w:w="858"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vAlign w:val="center"/>
          </w:tcPr>
          <w:p>
            <w:pPr>
              <w:pStyle w:val="TableContents"/>
              <w:bidi w:val="0"/>
              <w:spacing w:before="0" w:after="283"/>
              <w:jc w:val="left"/>
              <w:rPr/>
            </w:pPr>
            <w:r>
              <w:rPr/>
              <w:t> </w:t>
            </w:r>
          </w:p>
        </w:tc>
        <w:tc>
          <w:tcPr>
            <w:tcW w:w="816" w:type="dxa"/>
            <w:tcBorders>
              <w:bottom w:val="single" w:sz="2" w:space="0" w:color="000000"/>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vAlign w:val="center"/>
          </w:tcPr>
          <w:p>
            <w:pPr>
              <w:pStyle w:val="TableContents"/>
              <w:bidi w:val="0"/>
              <w:spacing w:before="0" w:after="283"/>
              <w:jc w:val="left"/>
              <w:rPr/>
            </w:pPr>
            <w:r>
              <w:rPr/>
              <w:t> </w:t>
            </w:r>
          </w:p>
        </w:tc>
        <w:tc>
          <w:tcPr>
            <w:tcW w:w="95" w:type="dxa"/>
            <w:tcBorders>
              <w:bottom w:val="single" w:sz="2" w:space="0" w:color="000000"/>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vAlign w:val="center"/>
          </w:tcPr>
          <w:p>
            <w:pPr>
              <w:pStyle w:val="TableContents"/>
              <w:bidi w:val="0"/>
              <w:spacing w:before="0" w:after="283"/>
              <w:jc w:val="left"/>
              <w:rPr/>
            </w:pPr>
            <w:r>
              <w:rPr/>
              <w:t> </w:t>
            </w:r>
          </w:p>
        </w:tc>
        <w:tc>
          <w:tcPr>
            <w:tcW w:w="912"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2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103" w:type="dxa"/>
            <w:gridSpan w:val="6"/>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Six Months Ended June 30,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297" w:type="dxa"/>
            <w:gridSpan w:val="6"/>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Three Months Ended June 30,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20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23"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2026</w:t>
            </w:r>
          </w:p>
        </w:tc>
        <w:tc>
          <w:tcPr>
            <w:tcW w:w="103" w:type="dxa"/>
            <w:tcBorders>
              <w:bottom w:val="single" w:sz="2" w:space="0" w:color="000000"/>
            </w:tcBorders>
            <w:shd w:fill="FFFFFF" w:val="clear"/>
            <w:vAlign w:val="center"/>
          </w:tcPr>
          <w:p>
            <w:pPr>
              <w:pStyle w:val="TableContents"/>
              <w:bidi w:val="0"/>
              <w:spacing w:before="0" w:after="283"/>
              <w:jc w:val="left"/>
              <w:rPr/>
            </w:pPr>
            <w:r>
              <w:rPr/>
              <w:t> </w:t>
            </w:r>
          </w:p>
        </w:tc>
        <w:tc>
          <w:tcPr>
            <w:tcW w:w="7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0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2025</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9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2026</w:t>
            </w:r>
          </w:p>
        </w:tc>
        <w:tc>
          <w:tcPr>
            <w:tcW w:w="126" w:type="dxa"/>
            <w:tcBorders>
              <w:bottom w:val="single" w:sz="2" w:space="0" w:color="000000"/>
            </w:tcBorders>
            <w:shd w:fill="FFFFFF" w:val="clear"/>
            <w:vAlign w:val="center"/>
          </w:tcPr>
          <w:p>
            <w:pPr>
              <w:pStyle w:val="TableContents"/>
              <w:bidi w:val="0"/>
              <w:spacing w:before="0" w:after="283"/>
              <w:jc w:val="left"/>
              <w:rPr/>
            </w:pPr>
            <w:r>
              <w:rPr/>
              <w:t> </w:t>
            </w:r>
          </w:p>
        </w:tc>
        <w:tc>
          <w:tcPr>
            <w:tcW w:w="9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86"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2025</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20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Interest rate futures contracts (short position)</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4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8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8,659</w:t>
            </w:r>
          </w:p>
        </w:tc>
        <w:tc>
          <w:tcPr>
            <w:tcW w:w="103"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ind w:left="0" w:right="0" w:hanging="0"/>
              <w:jc w:val="left"/>
              <w:rPr/>
            </w:pPr>
            <w:r>
              <w:rPr/>
              <w:t> </w:t>
            </w:r>
          </w:p>
        </w:tc>
        <w:tc>
          <w:tcPr>
            <w:tcW w:w="14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5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(23,630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4,222</w:t>
            </w:r>
          </w:p>
        </w:tc>
        <w:tc>
          <w:tcPr>
            <w:tcW w:w="126"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ind w:left="0" w:right="0" w:hanging="0"/>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(8,688</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320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Interest rate swaps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ind w:left="0" w:right="0" w:hanging="0"/>
              <w:jc w:val="left"/>
              <w:rPr/>
            </w:pPr>
            <w:r>
              <w:rPr/>
              <w:t> </w:t>
            </w:r>
          </w:p>
        </w:tc>
        <w:tc>
          <w:tcPr>
            <w:tcW w:w="78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104,355</w:t>
            </w:r>
          </w:p>
        </w:tc>
        <w:tc>
          <w:tcPr>
            <w:tcW w:w="103"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ind w:left="0" w:right="0" w:hanging="0"/>
              <w:jc w:val="left"/>
              <w:rPr/>
            </w:pPr>
            <w:r>
              <w:rPr/>
              <w:t> </w:t>
            </w:r>
          </w:p>
        </w:tc>
        <w:tc>
          <w:tcPr>
            <w:tcW w:w="85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(100,251</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ind w:left="0" w:right="0" w:hanging="0"/>
              <w:jc w:val="left"/>
              <w:rPr/>
            </w:pPr>
            <w:r>
              <w:rPr/>
              <w:t> </w:t>
            </w:r>
          </w:p>
        </w:tc>
        <w:tc>
          <w:tcPr>
            <w:tcW w:w="8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63,353</w:t>
            </w:r>
          </w:p>
        </w:tc>
        <w:tc>
          <w:tcPr>
            <w:tcW w:w="126"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ind w:left="0" w:right="0" w:hanging="0"/>
              <w:jc w:val="left"/>
              <w:rPr/>
            </w:pPr>
            <w:r>
              <w:rPr/>
              <w:t> </w:t>
            </w:r>
          </w:p>
        </w:tc>
        <w:tc>
          <w:tcPr>
            <w:tcW w:w="91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(37,408</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320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Payer swaptions (short positions)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78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932</w:t>
            </w:r>
          </w:p>
        </w:tc>
        <w:tc>
          <w:tcPr>
            <w:tcW w:w="103"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85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81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932</w:t>
            </w:r>
          </w:p>
        </w:tc>
        <w:tc>
          <w:tcPr>
            <w:tcW w:w="126"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91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20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Payer swaptions (long positions)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78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(1,490</w:t>
            </w:r>
          </w:p>
        </w:tc>
        <w:tc>
          <w:tcPr>
            <w:tcW w:w="10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77"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85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81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(1,490</w:t>
            </w:r>
          </w:p>
        </w:tc>
        <w:tc>
          <w:tcPr>
            <w:tcW w:w="12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91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20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TBA securities (short positions)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ind w:left="0" w:right="0" w:hanging="0"/>
              <w:jc w:val="left"/>
              <w:rPr/>
            </w:pPr>
            <w:r>
              <w:rPr/>
              <w:t> </w:t>
            </w:r>
          </w:p>
        </w:tc>
        <w:tc>
          <w:tcPr>
            <w:tcW w:w="78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(3,033</w:t>
            </w:r>
          </w:p>
        </w:tc>
        <w:tc>
          <w:tcPr>
            <w:tcW w:w="10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77"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ind w:left="0" w:right="0" w:hanging="0"/>
              <w:jc w:val="left"/>
              <w:rPr/>
            </w:pPr>
            <w:r>
              <w:rPr/>
              <w:t> </w:t>
            </w:r>
          </w:p>
        </w:tc>
        <w:tc>
          <w:tcPr>
            <w:tcW w:w="85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(4,636</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p>
        </w:tc>
        <w:tc>
          <w:tcPr>
            <w:tcW w:w="8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(3,228</w:t>
            </w:r>
          </w:p>
        </w:tc>
        <w:tc>
          <w:tcPr>
            <w:tcW w:w="12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p>
        </w:tc>
        <w:tc>
          <w:tcPr>
            <w:tcW w:w="91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(7,662</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320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TBA securities (long positions)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ind w:left="0" w:right="0" w:hanging="0"/>
              <w:jc w:val="left"/>
              <w:rPr/>
            </w:pPr>
            <w:r>
              <w:rPr/>
              <w:t> </w:t>
            </w:r>
          </w:p>
        </w:tc>
        <w:tc>
          <w:tcPr>
            <w:tcW w:w="78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930</w:t>
            </w:r>
          </w:p>
        </w:tc>
        <w:tc>
          <w:tcPr>
            <w:tcW w:w="103"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ind w:left="0" w:right="0" w:hanging="0"/>
              <w:jc w:val="left"/>
              <w:rPr/>
            </w:pPr>
            <w:r>
              <w:rPr/>
              <w:t> </w:t>
            </w:r>
          </w:p>
        </w:tc>
        <w:tc>
          <w:tcPr>
            <w:tcW w:w="85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572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ind w:left="0" w:right="0" w:hanging="0"/>
              <w:jc w:val="left"/>
              <w:rPr/>
            </w:pPr>
            <w:r>
              <w:rPr/>
              <w:t> </w:t>
            </w:r>
          </w:p>
        </w:tc>
        <w:tc>
          <w:tcPr>
            <w:tcW w:w="8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(347</w:t>
            </w:r>
          </w:p>
        </w:tc>
        <w:tc>
          <w:tcPr>
            <w:tcW w:w="12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ind w:left="0" w:right="0" w:hanging="0"/>
              <w:jc w:val="left"/>
              <w:rPr/>
            </w:pPr>
            <w:r>
              <w:rPr/>
              <w:t> </w:t>
            </w:r>
          </w:p>
        </w:tc>
        <w:tc>
          <w:tcPr>
            <w:tcW w:w="91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472</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20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U.S. Treasury securities (short positions)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8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(1,645</w:t>
            </w:r>
          </w:p>
        </w:tc>
        <w:tc>
          <w:tcPr>
            <w:tcW w:w="103"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77" w:type="dxa"/>
            <w:tcBorders>
              <w:bottom w:val="single" w:sz="2" w:space="0" w:color="000000"/>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5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7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(1,042</w:t>
            </w:r>
          </w:p>
        </w:tc>
        <w:tc>
          <w:tcPr>
            <w:tcW w:w="126"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5" w:type="dxa"/>
            <w:tcBorders>
              <w:bottom w:val="single" w:sz="2" w:space="0" w:color="000000"/>
            </w:tcBorders>
            <w:shd w:fill="CCEEFF" w:val="clear"/>
            <w:vAlign w:val="center"/>
          </w:tcPr>
          <w:p>
            <w:pPr>
              <w:pStyle w:val="TableContents"/>
              <w:bidi w:val="0"/>
              <w:spacing w:before="0" w:after="283"/>
              <w:jc w:val="left"/>
              <w:rPr/>
            </w:pPr>
            <w:r>
              <w:rPr/>
              <w:t> </w:t>
            </w:r>
          </w:p>
        </w:tc>
        <w:tc>
          <w:tcPr>
            <w:tcW w:w="17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12"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3200" w:type="dxa"/>
            <w:tcBorders>
              <w:bottom w:val="double" w:sz="6"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81"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108,708</w:t>
            </w:r>
          </w:p>
        </w:tc>
        <w:tc>
          <w:tcPr>
            <w:tcW w:w="103" w:type="dxa"/>
            <w:tcBorders>
              <w:bottom w:val="double" w:sz="6" w:space="0" w:color="000000"/>
            </w:tcBorders>
            <w:shd w:fill="FFFFFF" w:val="clear"/>
            <w:vAlign w:val="center"/>
          </w:tcPr>
          <w:p>
            <w:pPr>
              <w:pStyle w:val="TableContents"/>
              <w:bidi w:val="0"/>
              <w:spacing w:before="0" w:after="283"/>
              <w:jc w:val="left"/>
              <w:rPr/>
            </w:pPr>
            <w:r>
              <w:rPr/>
              <w:t> </w:t>
            </w:r>
          </w:p>
        </w:tc>
        <w:tc>
          <w:tcPr>
            <w:tcW w:w="77"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58"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(127,945</w:t>
            </w:r>
          </w:p>
        </w:tc>
        <w:tc>
          <w:tcPr>
            <w:tcW w:w="8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74"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16"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62,400</w:t>
            </w:r>
          </w:p>
        </w:tc>
        <w:tc>
          <w:tcPr>
            <w:tcW w:w="126" w:type="dxa"/>
            <w:tcBorders>
              <w:bottom w:val="double" w:sz="6" w:space="0" w:color="000000"/>
            </w:tcBorders>
            <w:shd w:fill="FFFFFF" w:val="clear"/>
            <w:vAlign w:val="center"/>
          </w:tcPr>
          <w:p>
            <w:pPr>
              <w:pStyle w:val="TableContents"/>
              <w:bidi w:val="0"/>
              <w:spacing w:before="0" w:after="283"/>
              <w:jc w:val="left"/>
              <w:rPr/>
            </w:pPr>
            <w:r>
              <w:rPr/>
              <w:t> </w:t>
            </w:r>
          </w:p>
        </w:tc>
        <w:tc>
          <w:tcPr>
            <w:tcW w:w="95"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74"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(53,286</w:t>
            </w:r>
          </w:p>
        </w:tc>
        <w:tc>
          <w:tcPr>
            <w:tcW w:w="8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Credit Risk-Related Contingent Features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use of derivatives and other hedging instruments creates exposure to credit risk relating to potential losses that could be recognized in the event that the counterparties to these instruments fail to perform their obligations under the contracts. The Company attempts to minimize this risk by limiting its counterparties for instruments which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centrally cleared on a registered exchange to major financial institutions with acceptable credit ratings and monitoring positions with individual counterparties. In addition,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required to pledge assets as collateral for its derivatives, whose amounts vary over time based on the market value, notional amount and remaining term of the derivative contract. In the event of a default by a counterparty, the Company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receive payments provided for under the terms of its derivative agreements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have difficulty obtaining its assets pledged as collateral for its derivatives. The cash and cash equivalents pledged as collateral for the Company's derivative instruments are included in restricted cash on its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It is the Company's policy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offset assets and liabilities associated with open derivative contracts. However, CME and LCH rules characterize variation margin transfers as settlement payments, as opposed to adjustments to collateral. As a result, derivative assets and liabilities associated with centrally cleared derivatives for which the CME or LCH serves as the central clearing party are presented as if these derivatives had been settled as of the reporting date.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6.</w:t>
      </w:r>
      <w:r>
        <w:rPr>
          <w:rFonts w:ascii="Times New Roman" w:hAnsi="Times New Roman"/>
          <w:b/>
          <w:caps w:val="false"/>
          <w:smallCaps w:val="false"/>
          <w:sz w:val="20"/>
        </w:rPr>
        <w:t xml:space="preserve"> PLEDGED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b/>
          <w:caps w:val="false"/>
          <w:smallCaps w:val="false"/>
          <w:sz w:val="20"/>
        </w:rPr>
      </w:pPr>
      <w:r>
        <w:rPr>
          <w:rFonts w:ascii="Times New Roman" w:hAnsi="Times New Roman"/>
          <w:b/>
          <w:caps w:val="false"/>
          <w:smallCaps w:val="false"/>
          <w:sz w:val="20"/>
        </w:rPr>
        <w:t>Assets Pledged to Counterparties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table below summarizes the Company’s assets pledged as collateral under repurchase agreements and derivative agreements by type, including securities pledged related to securities sold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settled,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8965" w:type="dxa"/>
        <w:jc w:val="left"/>
        <w:tblInd w:w="0" w:type="dxa"/>
        <w:tblLayout w:type="fixed"/>
        <w:tblCellMar>
          <w:top w:w="0" w:type="dxa"/>
          <w:left w:w="0" w:type="dxa"/>
          <w:bottom w:w="28" w:type="dxa"/>
          <w:right w:w="0" w:type="dxa"/>
        </w:tblCellMar>
      </w:tblPr>
      <w:tblGrid>
        <w:gridCol w:w="2705"/>
        <w:gridCol w:w="60"/>
        <w:gridCol w:w="110"/>
        <w:gridCol w:w="830"/>
        <w:gridCol w:w="60"/>
        <w:gridCol w:w="60"/>
        <w:gridCol w:w="136"/>
        <w:gridCol w:w="754"/>
        <w:gridCol w:w="60"/>
        <w:gridCol w:w="60"/>
        <w:gridCol w:w="110"/>
        <w:gridCol w:w="830"/>
        <w:gridCol w:w="60"/>
        <w:gridCol w:w="60"/>
        <w:gridCol w:w="110"/>
        <w:gridCol w:w="830"/>
        <w:gridCol w:w="60"/>
        <w:gridCol w:w="60"/>
        <w:gridCol w:w="136"/>
        <w:gridCol w:w="754"/>
        <w:gridCol w:w="60"/>
        <w:gridCol w:w="60"/>
        <w:gridCol w:w="110"/>
        <w:gridCol w:w="830"/>
        <w:gridCol w:w="60"/>
      </w:tblGrid>
      <w:tr>
        <w:trPr/>
        <w:tc>
          <w:tcPr>
            <w:tcW w:w="270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vAlign w:val="center"/>
          </w:tcPr>
          <w:p>
            <w:pPr>
              <w:pStyle w:val="TableContents"/>
              <w:bidi w:val="0"/>
              <w:spacing w:before="0" w:after="283"/>
              <w:jc w:val="left"/>
              <w:rPr/>
            </w:pPr>
            <w:r>
              <w:rPr/>
              <w:t> </w:t>
            </w:r>
          </w:p>
        </w:tc>
        <w:tc>
          <w:tcPr>
            <w:tcW w:w="754"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vAlign w:val="center"/>
          </w:tcPr>
          <w:p>
            <w:pPr>
              <w:pStyle w:val="TableContents"/>
              <w:bidi w:val="0"/>
              <w:spacing w:before="0" w:after="283"/>
              <w:jc w:val="left"/>
              <w:rPr/>
            </w:pPr>
            <w:r>
              <w:rPr/>
              <w:t> </w:t>
            </w:r>
          </w:p>
        </w:tc>
        <w:tc>
          <w:tcPr>
            <w:tcW w:w="754"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7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010" w:type="dxa"/>
            <w:gridSpan w:val="10"/>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June 30, 2026</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010" w:type="dxa"/>
            <w:gridSpan w:val="10"/>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December 31, 2025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7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4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Repurchase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9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Derivative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4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Repurchase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9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Derivative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70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Assets Pledged to Counterparties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Agreements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Agreements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Total</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Agreements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Agreements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Total</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70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PT RMBS - fair value</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11,434,805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6"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75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11,434,805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10,489,655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6"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75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10,489,655</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70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Structured RMBS - fair value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11,966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ind w:left="0" w:right="0" w:hanging="0"/>
              <w:jc w:val="left"/>
              <w:rPr/>
            </w:pPr>
            <w:r>
              <w:rPr/>
              <w:t> </w:t>
            </w:r>
          </w:p>
        </w:tc>
        <w:tc>
          <w:tcPr>
            <w:tcW w:w="75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11,966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13,088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ind w:left="0" w:right="0" w:hanging="0"/>
              <w:jc w:val="left"/>
              <w:rPr/>
            </w:pPr>
            <w:r>
              <w:rPr/>
              <w:t> </w:t>
            </w:r>
          </w:p>
        </w:tc>
        <w:tc>
          <w:tcPr>
            <w:tcW w:w="75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13,088</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70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U.S. Treasury securities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ind w:left="0" w:right="0" w:hanging="0"/>
              <w:jc w:val="left"/>
              <w:rPr/>
            </w:pPr>
            <w:r>
              <w:rPr/>
              <w:t> </w:t>
            </w:r>
          </w:p>
        </w:tc>
        <w:tc>
          <w:tcPr>
            <w:tcW w:w="75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182,862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182,862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ind w:left="0" w:right="0" w:hanging="0"/>
              <w:jc w:val="left"/>
              <w:rPr/>
            </w:pPr>
            <w:r>
              <w:rPr/>
              <w:t> </w:t>
            </w:r>
          </w:p>
        </w:tc>
        <w:tc>
          <w:tcPr>
            <w:tcW w:w="75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135,133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135,133</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70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Accrued interest on pledged securities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52,394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ind w:left="0" w:right="0" w:hanging="0"/>
              <w:jc w:val="left"/>
              <w:rPr/>
            </w:pPr>
            <w:r>
              <w:rPr/>
              <w:t> </w:t>
            </w:r>
          </w:p>
        </w:tc>
        <w:tc>
          <w:tcPr>
            <w:tcW w:w="75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600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52,994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48,537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ind w:left="0" w:right="0" w:hanging="0"/>
              <w:jc w:val="left"/>
              <w:rPr/>
            </w:pPr>
            <w:r>
              <w:rPr/>
              <w:t> </w:t>
            </w:r>
          </w:p>
        </w:tc>
        <w:tc>
          <w:tcPr>
            <w:tcW w:w="75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48,573</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705"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Restricted cash</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111,469</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19,568</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131,037</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51,171</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7,525</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58,696</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2705" w:type="dxa"/>
            <w:tcBorders>
              <w:bottom w:val="double" w:sz="6"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Total</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3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11,610,634</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754"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203,030</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3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11,813,664</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3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10,602,451</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754"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142,694</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3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10,745,145</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360"/>
        <w:jc w:val="left"/>
        <w:rPr>
          <w:rFonts w:ascii="Times New Roman" w:hAnsi="Times New Roman"/>
          <w:b/>
          <w:caps w:val="false"/>
          <w:smallCaps w:val="false"/>
          <w:sz w:val="20"/>
        </w:rPr>
      </w:pPr>
      <w:r>
        <w:rPr>
          <w:rFonts w:ascii="Times New Roman" w:hAnsi="Times New Roman"/>
          <w:b/>
          <w:caps w:val="false"/>
          <w:smallCaps w:val="false"/>
          <w:sz w:val="20"/>
        </w:rPr>
        <w:t>Assets Pledged from Counterparties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table below summarizes assets pledged to the Company from counterparties under repurchase agreements and derivative agreements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435" w:type="dxa"/>
        <w:jc w:val="left"/>
        <w:tblInd w:w="0" w:type="dxa"/>
        <w:tblLayout w:type="fixed"/>
        <w:tblCellMar>
          <w:top w:w="0" w:type="dxa"/>
          <w:left w:w="0" w:type="dxa"/>
          <w:bottom w:w="28" w:type="dxa"/>
          <w:right w:w="0" w:type="dxa"/>
        </w:tblCellMar>
      </w:tblPr>
      <w:tblGrid>
        <w:gridCol w:w="2540"/>
        <w:gridCol w:w="60"/>
        <w:gridCol w:w="159"/>
        <w:gridCol w:w="746"/>
        <w:gridCol w:w="60"/>
        <w:gridCol w:w="60"/>
        <w:gridCol w:w="139"/>
        <w:gridCol w:w="766"/>
        <w:gridCol w:w="60"/>
        <w:gridCol w:w="60"/>
        <w:gridCol w:w="182"/>
        <w:gridCol w:w="708"/>
        <w:gridCol w:w="60"/>
        <w:gridCol w:w="60"/>
        <w:gridCol w:w="110"/>
        <w:gridCol w:w="605"/>
        <w:gridCol w:w="60"/>
      </w:tblGrid>
      <w:tr>
        <w:trPr/>
        <w:tc>
          <w:tcPr>
            <w:tcW w:w="254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vAlign w:val="center"/>
          </w:tcPr>
          <w:p>
            <w:pPr>
              <w:pStyle w:val="TableContents"/>
              <w:bidi w:val="0"/>
              <w:spacing w:before="0" w:after="283"/>
              <w:jc w:val="left"/>
              <w:rPr/>
            </w:pPr>
            <w:r>
              <w:rPr/>
              <w:t> </w:t>
            </w:r>
          </w:p>
        </w:tc>
        <w:tc>
          <w:tcPr>
            <w:tcW w:w="746"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vAlign w:val="center"/>
          </w:tcPr>
          <w:p>
            <w:pPr>
              <w:pStyle w:val="TableContents"/>
              <w:bidi w:val="0"/>
              <w:spacing w:before="0" w:after="283"/>
              <w:jc w:val="left"/>
              <w:rPr/>
            </w:pPr>
            <w:r>
              <w:rPr/>
              <w:t> </w:t>
            </w:r>
          </w:p>
        </w:tc>
        <w:tc>
          <w:tcPr>
            <w:tcW w:w="766"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vAlign w:val="center"/>
          </w:tcPr>
          <w:p>
            <w:pPr>
              <w:pStyle w:val="TableContents"/>
              <w:bidi w:val="0"/>
              <w:spacing w:before="0" w:after="283"/>
              <w:jc w:val="left"/>
              <w:rPr/>
            </w:pPr>
            <w:r>
              <w:rPr/>
              <w:t> </w:t>
            </w:r>
          </w:p>
        </w:tc>
        <w:tc>
          <w:tcPr>
            <w:tcW w:w="708"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60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5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746"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0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Reverse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 </w:t>
            </w:r>
          </w:p>
        </w:tc>
        <w:tc>
          <w:tcPr>
            <w:tcW w:w="708"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5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0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Repurchase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0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Repurchase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9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Derivative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5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Agreements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Agreements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Agreements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Total</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54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June 30, 2026</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vAlign w:val="center"/>
          </w:tcPr>
          <w:p>
            <w:pPr>
              <w:pStyle w:val="TableContents"/>
              <w:bidi w:val="0"/>
              <w:spacing w:before="0" w:after="283"/>
              <w:jc w:val="left"/>
              <w:rPr/>
            </w:pPr>
            <w:r>
              <w:rPr/>
              <w:t> </w:t>
            </w:r>
          </w:p>
        </w:tc>
        <w:tc>
          <w:tcPr>
            <w:tcW w:w="746"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vAlign w:val="center"/>
          </w:tcPr>
          <w:p>
            <w:pPr>
              <w:pStyle w:val="TableContents"/>
              <w:bidi w:val="0"/>
              <w:spacing w:before="0" w:after="283"/>
              <w:jc w:val="left"/>
              <w:rPr/>
            </w:pPr>
            <w:r>
              <w:rPr/>
              <w:t> </w:t>
            </w:r>
          </w:p>
        </w:tc>
        <w:tc>
          <w:tcPr>
            <w:tcW w:w="766"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vAlign w:val="center"/>
          </w:tcPr>
          <w:p>
            <w:pPr>
              <w:pStyle w:val="TableContents"/>
              <w:bidi w:val="0"/>
              <w:spacing w:before="0" w:after="283"/>
              <w:jc w:val="left"/>
              <w:rPr/>
            </w:pPr>
            <w:r>
              <w:rPr/>
              <w:t> </w:t>
            </w:r>
          </w:p>
        </w:tc>
        <w:tc>
          <w:tcPr>
            <w:tcW w:w="708"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60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5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Cash</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59"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9,363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9"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8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0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12,503</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54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U.S. Treasury securities - fair value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2,345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6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496,036</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0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498,381</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r>
      <w:tr>
        <w:trPr/>
        <w:tc>
          <w:tcPr>
            <w:tcW w:w="2540" w:type="dxa"/>
            <w:tcBorders>
              <w:bottom w:val="double" w:sz="6" w:space="0" w:color="000000"/>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159" w:type="dxa"/>
            <w:tcBorders>
              <w:bottom w:val="double" w:sz="6" w:space="0" w:color="000000"/>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6" w:type="dxa"/>
            <w:tcBorders>
              <w:bottom w:val="double" w:sz="6"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11,708</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139" w:type="dxa"/>
            <w:tcBorders>
              <w:bottom w:val="double" w:sz="6" w:space="0" w:color="000000"/>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bottom w:val="double" w:sz="6"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496,036</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182" w:type="dxa"/>
            <w:tcBorders>
              <w:bottom w:val="double" w:sz="6" w:space="0" w:color="000000"/>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8" w:type="dxa"/>
            <w:tcBorders>
              <w:bottom w:val="double" w:sz="6"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3,140</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510,884</w:t>
            </w:r>
          </w:p>
        </w:tc>
        <w:tc>
          <w:tcPr>
            <w:tcW w:w="60" w:type="dxa"/>
            <w:tcBorders>
              <w:bottom w:val="double" w:sz="6" w:space="0" w:color="000000"/>
            </w:tcBorders>
            <w:shd w:fill="FFFFFF" w:val="clear"/>
            <w:vAlign w:val="center"/>
          </w:tcPr>
          <w:p>
            <w:pPr>
              <w:pStyle w:val="TableContents"/>
              <w:bidi w:val="0"/>
              <w:spacing w:before="0" w:after="0"/>
              <w:jc w:val="left"/>
              <w:rPr/>
            </w:pPr>
            <w:r>
              <w:rPr/>
              <w:t> </w:t>
            </w:r>
          </w:p>
        </w:tc>
      </w:tr>
      <w:tr>
        <w:trPr/>
        <w:tc>
          <w:tcPr>
            <w:tcW w:w="254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December 31, 2025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vAlign w:val="center"/>
          </w:tcPr>
          <w:p>
            <w:pPr>
              <w:pStyle w:val="TableContents"/>
              <w:bidi w:val="0"/>
              <w:spacing w:before="0" w:after="283"/>
              <w:jc w:val="left"/>
              <w:rPr/>
            </w:pPr>
            <w:r>
              <w:rPr/>
              <w:t> </w:t>
            </w:r>
          </w:p>
        </w:tc>
        <w:tc>
          <w:tcPr>
            <w:tcW w:w="746"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vAlign w:val="center"/>
          </w:tcPr>
          <w:p>
            <w:pPr>
              <w:pStyle w:val="TableContents"/>
              <w:bidi w:val="0"/>
              <w:spacing w:before="0" w:after="283"/>
              <w:jc w:val="left"/>
              <w:rPr/>
            </w:pPr>
            <w:r>
              <w:rPr/>
              <w:t> </w:t>
            </w:r>
          </w:p>
        </w:tc>
        <w:tc>
          <w:tcPr>
            <w:tcW w:w="766"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vAlign w:val="center"/>
          </w:tcPr>
          <w:p>
            <w:pPr>
              <w:pStyle w:val="TableContents"/>
              <w:bidi w:val="0"/>
              <w:spacing w:before="0" w:after="283"/>
              <w:jc w:val="left"/>
              <w:rPr/>
            </w:pPr>
            <w:r>
              <w:rPr/>
              <w:t> </w:t>
            </w:r>
          </w:p>
        </w:tc>
        <w:tc>
          <w:tcPr>
            <w:tcW w:w="708"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60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54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Cash</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12,549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0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12,909</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54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U.S. Treasury securities - fair value</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6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128,724</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8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0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128,724</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2540" w:type="dxa"/>
            <w:tcBorders>
              <w:bottom w:val="double" w:sz="6"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6"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12,549</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128,724</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08"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360</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141,633</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U.S. Treasury securities received as margin under the Company's repurchase agreements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recorded in the balance sheets because the counterparty retains ownership of the security. Cash received as margin is recognized in cash and cash equivalents with a corresponding amount recognized as an increase in repurchase agreements or other liabilities in the balance sheets.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7.</w:t>
      </w:r>
      <w:r>
        <w:rPr>
          <w:rFonts w:ascii="Times New Roman" w:hAnsi="Times New Roman"/>
          <w:b/>
          <w:caps w:val="false"/>
          <w:smallCaps w:val="false"/>
          <w:sz w:val="20"/>
        </w:rPr>
        <w:t xml:space="preserve"> OFFSETTING ASSETS AND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Company’s derivative agreements and repurchase agreements are subject to underlying agreements with master netting or similar arrangements, which provide for the right of offset in the event of default or in the event of bankruptcy of either party to the transactions. The Company reports its assets and liabilities subject to these arrangements on a gross basis in the case of repurchase agreements and for certain derivative agreements. CME and LCH rules characterize variation margin transfers as settlement payments, as opposed to adjustments to collateral. As a result, derivative assets and liabilities associated with centrally cleared derivatives for which the CME or LCH serves as the central clearing party are presented as if these derivatives had been settled as of the reporting date.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following table presents information regarding those assets and liabilities subject to such arrangements as if the Company had presented them on a net basis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8240" w:type="dxa"/>
        <w:jc w:val="left"/>
        <w:tblInd w:w="0" w:type="dxa"/>
        <w:tblLayout w:type="fixed"/>
        <w:tblCellMar>
          <w:top w:w="0" w:type="dxa"/>
          <w:left w:w="0" w:type="dxa"/>
          <w:bottom w:w="28" w:type="dxa"/>
          <w:right w:w="0" w:type="dxa"/>
        </w:tblCellMar>
      </w:tblPr>
      <w:tblGrid>
        <w:gridCol w:w="2240"/>
        <w:gridCol w:w="60"/>
        <w:gridCol w:w="132"/>
        <w:gridCol w:w="728"/>
        <w:gridCol w:w="60"/>
        <w:gridCol w:w="60"/>
        <w:gridCol w:w="171"/>
        <w:gridCol w:w="763"/>
        <w:gridCol w:w="80"/>
        <w:gridCol w:w="60"/>
        <w:gridCol w:w="141"/>
        <w:gridCol w:w="778"/>
        <w:gridCol w:w="60"/>
        <w:gridCol w:w="60"/>
        <w:gridCol w:w="139"/>
        <w:gridCol w:w="843"/>
        <w:gridCol w:w="101"/>
        <w:gridCol w:w="76"/>
        <w:gridCol w:w="139"/>
        <w:gridCol w:w="729"/>
        <w:gridCol w:w="80"/>
        <w:gridCol w:w="60"/>
        <w:gridCol w:w="127"/>
        <w:gridCol w:w="493"/>
        <w:gridCol w:w="60"/>
      </w:tblGrid>
      <w:tr>
        <w:trPr/>
        <w:tc>
          <w:tcPr>
            <w:tcW w:w="224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vAlign w:val="center"/>
          </w:tcPr>
          <w:p>
            <w:pPr>
              <w:pStyle w:val="TableContents"/>
              <w:bidi w:val="0"/>
              <w:spacing w:before="0" w:after="283"/>
              <w:jc w:val="left"/>
              <w:rPr/>
            </w:pPr>
            <w:r>
              <w:rPr/>
              <w:t> </w:t>
            </w:r>
          </w:p>
        </w:tc>
        <w:tc>
          <w:tcPr>
            <w:tcW w:w="728"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vAlign w:val="center"/>
          </w:tcPr>
          <w:p>
            <w:pPr>
              <w:pStyle w:val="TableContents"/>
              <w:bidi w:val="0"/>
              <w:spacing w:before="0" w:after="283"/>
              <w:jc w:val="left"/>
              <w:rPr/>
            </w:pPr>
            <w:r>
              <w:rPr/>
              <w:t> </w:t>
            </w:r>
          </w:p>
        </w:tc>
        <w:tc>
          <w:tcPr>
            <w:tcW w:w="763"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vAlign w:val="center"/>
          </w:tcPr>
          <w:p>
            <w:pPr>
              <w:pStyle w:val="TableContents"/>
              <w:bidi w:val="0"/>
              <w:spacing w:before="0" w:after="283"/>
              <w:jc w:val="left"/>
              <w:rPr/>
            </w:pPr>
            <w:r>
              <w:rPr/>
              <w:t> </w:t>
            </w:r>
          </w:p>
        </w:tc>
        <w:tc>
          <w:tcPr>
            <w:tcW w:w="778"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vAlign w:val="center"/>
          </w:tcPr>
          <w:p>
            <w:pPr>
              <w:pStyle w:val="TableContents"/>
              <w:bidi w:val="0"/>
              <w:spacing w:before="0" w:after="283"/>
              <w:jc w:val="left"/>
              <w:rPr/>
            </w:pPr>
            <w:r>
              <w:rPr/>
              <w:t> </w:t>
            </w:r>
          </w:p>
        </w:tc>
        <w:tc>
          <w:tcPr>
            <w:tcW w:w="843" w:type="dxa"/>
            <w:tcBorders>
              <w:bottom w:val="single" w:sz="2" w:space="0" w:color="000000"/>
            </w:tcBorders>
            <w:shd w:fill="FFFFFF" w:val="clear"/>
            <w:vAlign w:val="center"/>
          </w:tcPr>
          <w:p>
            <w:pPr>
              <w:pStyle w:val="TableContents"/>
              <w:bidi w:val="0"/>
              <w:spacing w:before="0" w:after="283"/>
              <w:jc w:val="left"/>
              <w:rPr/>
            </w:pPr>
            <w:r>
              <w:rPr/>
              <w:t> </w:t>
            </w:r>
          </w:p>
        </w:tc>
        <w:tc>
          <w:tcPr>
            <w:tcW w:w="101" w:type="dxa"/>
            <w:tcBorders>
              <w:bottom w:val="single" w:sz="2" w:space="0" w:color="000000"/>
            </w:tcBorders>
            <w:shd w:fill="FFFFFF" w:val="clear"/>
            <w:vAlign w:val="center"/>
          </w:tcPr>
          <w:p>
            <w:pPr>
              <w:pStyle w:val="TableContents"/>
              <w:bidi w:val="0"/>
              <w:spacing w:before="0" w:after="283"/>
              <w:jc w:val="left"/>
              <w:rPr/>
            </w:pPr>
            <w:r>
              <w:rPr/>
              <w:t> </w:t>
            </w:r>
          </w:p>
        </w:tc>
        <w:tc>
          <w:tcPr>
            <w:tcW w:w="76" w:type="dxa"/>
            <w:tcBorders>
              <w:bottom w:val="single" w:sz="2" w:space="0" w:color="000000"/>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vAlign w:val="center"/>
          </w:tcPr>
          <w:p>
            <w:pPr>
              <w:pStyle w:val="TableContents"/>
              <w:bidi w:val="0"/>
              <w:spacing w:before="0" w:after="283"/>
              <w:jc w:val="left"/>
              <w:rPr/>
            </w:pPr>
            <w:r>
              <w:rPr/>
              <w:t> </w:t>
            </w:r>
          </w:p>
        </w:tc>
        <w:tc>
          <w:tcPr>
            <w:tcW w:w="729"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vAlign w:val="center"/>
          </w:tcPr>
          <w:p>
            <w:pPr>
              <w:pStyle w:val="TableContents"/>
              <w:bidi w:val="0"/>
              <w:spacing w:before="0" w:after="283"/>
              <w:jc w:val="left"/>
              <w:rPr/>
            </w:pPr>
            <w:r>
              <w:rPr/>
              <w:t> </w:t>
            </w:r>
          </w:p>
        </w:tc>
        <w:tc>
          <w:tcPr>
            <w:tcW w:w="493"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8180" w:type="dxa"/>
            <w:gridSpan w:val="24"/>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Offsetting of Assets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2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jc w:val="left"/>
              <w:rPr/>
            </w:pPr>
            <w:r>
              <w:rPr/>
              <w:t> </w:t>
            </w:r>
          </w:p>
        </w:tc>
        <w:tc>
          <w:tcPr>
            <w:tcW w:w="728"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763"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19"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Net Amount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27" w:type="dxa"/>
            <w:gridSpan w:val="6"/>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Gross Amount Not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7" w:type="dxa"/>
            <w:tcBorders/>
            <w:shd w:fill="FFFFFF" w:val="clear"/>
            <w:tcMar>
              <w:bottom w:w="0" w:type="dxa"/>
            </w:tcMar>
            <w:vAlign w:val="center"/>
          </w:tcPr>
          <w:p>
            <w:pPr>
              <w:pStyle w:val="TableContents"/>
              <w:bidi w:val="0"/>
              <w:spacing w:before="0" w:after="283"/>
              <w:jc w:val="left"/>
              <w:rPr/>
            </w:pPr>
            <w:r>
              <w:rPr/>
              <w:t> </w:t>
            </w:r>
          </w:p>
        </w:tc>
        <w:tc>
          <w:tcPr>
            <w:tcW w:w="493"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2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gridSpan w:val="2"/>
            <w:tcBorders/>
            <w:shd w:fill="FFFFFF" w:val="clear"/>
            <w:tcMar>
              <w:bottom w:w="0" w:type="dxa"/>
            </w:tcMar>
            <w:vAlign w:val="center"/>
          </w:tcPr>
          <w:p>
            <w:pPr>
              <w:pStyle w:val="TableContents"/>
              <w:bidi w:val="0"/>
              <w:spacing w:before="0" w:after="283"/>
              <w:jc w:val="center"/>
              <w:rPr/>
            </w:pPr>
            <w:r>
              <w:rPr>
                <w:rStyle w:val="Emphasis"/>
                <w:rFonts w:ascii="Times New Roman" w:hAnsi="Times New Roman"/>
                <w:b/>
                <w:sz w:val="18"/>
              </w:rPr>
              <w:t>Gross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4" w:type="dxa"/>
            <w:gridSpan w:val="2"/>
            <w:tcBorders/>
            <w:shd w:fill="FFFFFF" w:val="clear"/>
            <w:tcMar>
              <w:bottom w:w="0" w:type="dxa"/>
            </w:tcMar>
            <w:vAlign w:val="center"/>
          </w:tcPr>
          <w:p>
            <w:pPr>
              <w:pStyle w:val="TableContents"/>
              <w:bidi w:val="0"/>
              <w:spacing w:before="0" w:after="283"/>
              <w:jc w:val="center"/>
              <w:rPr/>
            </w:pPr>
            <w:r>
              <w:rPr>
                <w:rStyle w:val="Emphasis"/>
                <w:rFonts w:ascii="Times New Roman" w:hAnsi="Times New Roman"/>
                <w:b/>
                <w:sz w:val="18"/>
              </w:rPr>
              <w:t>Gross</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9" w:type="dxa"/>
            <w:gridSpan w:val="2"/>
            <w:tcBorders/>
            <w:shd w:fill="FFFFFF" w:val="clear"/>
            <w:tcMar>
              <w:bottom w:w="0" w:type="dxa"/>
            </w:tcMar>
            <w:vAlign w:val="center"/>
          </w:tcPr>
          <w:p>
            <w:pPr>
              <w:pStyle w:val="TableContents"/>
              <w:bidi w:val="0"/>
              <w:spacing w:before="0" w:after="283"/>
              <w:jc w:val="center"/>
              <w:rPr/>
            </w:pPr>
            <w:r>
              <w:rPr>
                <w:rStyle w:val="Emphasis"/>
                <w:rFonts w:ascii="Times New Roman" w:hAnsi="Times New Roman"/>
                <w:b/>
                <w:sz w:val="18"/>
              </w:rPr>
              <w:t>of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27" w:type="dxa"/>
            <w:gridSpan w:val="6"/>
            <w:tcBorders>
              <w:bottom w:val="single" w:sz="2" w:space="0" w:color="000000"/>
            </w:tcBorders>
            <w:shd w:fill="FFFFFF" w:val="clear"/>
            <w:vAlign w:val="center"/>
          </w:tcPr>
          <w:p>
            <w:pPr>
              <w:pStyle w:val="TableContents"/>
              <w:bidi w:val="0"/>
              <w:spacing w:before="0" w:after="0"/>
              <w:jc w:val="center"/>
              <w:rPr/>
            </w:pPr>
            <w:r>
              <w:rPr>
                <w:rStyle w:val="Emphasis"/>
                <w:rFonts w:ascii="Times New Roman" w:hAnsi="Times New Roman"/>
                <w:b/>
                <w:sz w:val="18"/>
              </w:rPr>
              <w:t>Offset in the Balance Sheet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7" w:type="dxa"/>
            <w:tcBorders/>
            <w:shd w:fill="FFFFFF" w:val="clear"/>
            <w:tcMar>
              <w:bottom w:w="0" w:type="dxa"/>
            </w:tcMar>
            <w:vAlign w:val="center"/>
          </w:tcPr>
          <w:p>
            <w:pPr>
              <w:pStyle w:val="TableContents"/>
              <w:bidi w:val="0"/>
              <w:spacing w:before="0" w:after="283"/>
              <w:jc w:val="left"/>
              <w:rPr/>
            </w:pPr>
            <w:r>
              <w:rPr/>
              <w:t> </w:t>
            </w:r>
          </w:p>
        </w:tc>
        <w:tc>
          <w:tcPr>
            <w:tcW w:w="493"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2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gridSpan w:val="2"/>
            <w:tcBorders/>
            <w:shd w:fill="FFFFFF" w:val="clear"/>
            <w:tcMar>
              <w:bottom w:w="0" w:type="dxa"/>
            </w:tcMar>
            <w:vAlign w:val="center"/>
          </w:tcPr>
          <w:p>
            <w:pPr>
              <w:pStyle w:val="TableContents"/>
              <w:bidi w:val="0"/>
              <w:spacing w:before="0" w:after="283"/>
              <w:jc w:val="center"/>
              <w:rPr/>
            </w:pPr>
            <w:r>
              <w:rPr>
                <w:rStyle w:val="Emphasis"/>
                <w:rFonts w:ascii="Times New Roman" w:hAnsi="Times New Roman"/>
                <w:b/>
                <w:sz w:val="18"/>
              </w:rPr>
              <w:t>Amount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4" w:type="dxa"/>
            <w:gridSpan w:val="2"/>
            <w:tcBorders/>
            <w:shd w:fill="FFFFFF" w:val="clear"/>
            <w:tcMar>
              <w:bottom w:w="0" w:type="dxa"/>
            </w:tcMar>
            <w:vAlign w:val="center"/>
          </w:tcPr>
          <w:p>
            <w:pPr>
              <w:pStyle w:val="TableContents"/>
              <w:bidi w:val="0"/>
              <w:spacing w:before="0" w:after="283"/>
              <w:jc w:val="center"/>
              <w:rPr/>
            </w:pPr>
            <w:r>
              <w:rPr>
                <w:rStyle w:val="Emphasis"/>
                <w:rFonts w:ascii="Times New Roman" w:hAnsi="Times New Roman"/>
                <w:b/>
                <w:sz w:val="18"/>
              </w:rPr>
              <w:t>Amount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9" w:type="dxa"/>
            <w:gridSpan w:val="2"/>
            <w:tcBorders/>
            <w:shd w:fill="FFFFFF" w:val="clear"/>
            <w:tcMar>
              <w:bottom w:w="0" w:type="dxa"/>
            </w:tcMar>
            <w:vAlign w:val="center"/>
          </w:tcPr>
          <w:p>
            <w:pPr>
              <w:pStyle w:val="TableContents"/>
              <w:bidi w:val="0"/>
              <w:spacing w:before="0" w:after="283"/>
              <w:jc w:val="center"/>
              <w:rPr/>
            </w:pPr>
            <w:r>
              <w:rPr>
                <w:rStyle w:val="Emphasis"/>
                <w:rFonts w:ascii="Times New Roman" w:hAnsi="Times New Roman"/>
                <w:b/>
                <w:sz w:val="18"/>
              </w:rPr>
              <w:t>Presented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2" w:type="dxa"/>
            <w:gridSpan w:val="2"/>
            <w:tcBorders/>
            <w:shd w:fill="FFFFFF" w:val="clear"/>
            <w:tcMar>
              <w:bottom w:w="0" w:type="dxa"/>
            </w:tcMar>
            <w:vAlign w:val="center"/>
          </w:tcPr>
          <w:p>
            <w:pPr>
              <w:pStyle w:val="TableContents"/>
              <w:bidi w:val="0"/>
              <w:spacing w:before="0" w:after="283"/>
              <w:jc w:val="center"/>
              <w:rPr/>
            </w:pPr>
            <w:r>
              <w:rPr>
                <w:rStyle w:val="Emphasis"/>
                <w:rFonts w:ascii="Times New Roman" w:hAnsi="Times New Roman"/>
                <w:b/>
                <w:sz w:val="18"/>
              </w:rPr>
              <w:t>Financial</w:t>
            </w:r>
          </w:p>
        </w:tc>
        <w:tc>
          <w:tcPr>
            <w:tcW w:w="101"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868" w:type="dxa"/>
            <w:gridSpan w:val="2"/>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7" w:type="dxa"/>
            <w:tcBorders/>
            <w:shd w:fill="FFFFFF" w:val="clear"/>
            <w:tcMar>
              <w:bottom w:w="0" w:type="dxa"/>
            </w:tcMar>
            <w:vAlign w:val="center"/>
          </w:tcPr>
          <w:p>
            <w:pPr>
              <w:pStyle w:val="TableContents"/>
              <w:bidi w:val="0"/>
              <w:spacing w:before="0" w:after="283"/>
              <w:jc w:val="left"/>
              <w:rPr/>
            </w:pPr>
            <w:r>
              <w:rPr/>
              <w:t> </w:t>
            </w:r>
          </w:p>
        </w:tc>
        <w:tc>
          <w:tcPr>
            <w:tcW w:w="493"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2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6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of</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34"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Offset in the</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19"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in the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82"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Instruments</w:t>
            </w:r>
          </w:p>
        </w:tc>
        <w:tc>
          <w:tcPr>
            <w:tcW w:w="101"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ind w:left="0" w:right="0" w:hanging="0"/>
              <w:jc w:val="left"/>
              <w:rPr/>
            </w:pPr>
            <w:r>
              <w:rPr/>
              <w:t> </w:t>
            </w:r>
          </w:p>
        </w:tc>
        <w:tc>
          <w:tcPr>
            <w:tcW w:w="868"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Cash</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7" w:type="dxa"/>
            <w:tcBorders/>
            <w:shd w:fill="FFFFFF" w:val="clear"/>
            <w:tcMar>
              <w:bottom w:w="0" w:type="dxa"/>
            </w:tcMar>
            <w:vAlign w:val="center"/>
          </w:tcPr>
          <w:p>
            <w:pPr>
              <w:pStyle w:val="TableContents"/>
              <w:bidi w:val="0"/>
              <w:spacing w:before="0" w:after="283"/>
              <w:jc w:val="left"/>
              <w:rPr/>
            </w:pPr>
            <w:r>
              <w:rPr/>
              <w:t> </w:t>
            </w:r>
          </w:p>
        </w:tc>
        <w:tc>
          <w:tcPr>
            <w:tcW w:w="493"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2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6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Recognized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34"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Balance</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19"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Balance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82"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Received as</w:t>
            </w:r>
          </w:p>
        </w:tc>
        <w:tc>
          <w:tcPr>
            <w:tcW w:w="101"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ind w:left="0" w:right="0" w:hanging="0"/>
              <w:jc w:val="left"/>
              <w:rPr/>
            </w:pPr>
            <w:r>
              <w:rPr/>
              <w:t> </w:t>
            </w:r>
          </w:p>
        </w:tc>
        <w:tc>
          <w:tcPr>
            <w:tcW w:w="868"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Received as</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2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Net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24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Assets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Sheet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Sheet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82"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Collateral</w:t>
            </w:r>
          </w:p>
        </w:tc>
        <w:tc>
          <w:tcPr>
            <w:tcW w:w="101" w:type="dxa"/>
            <w:tcBorders>
              <w:bottom w:val="single" w:sz="2" w:space="0" w:color="000000"/>
            </w:tcBorders>
            <w:shd w:fill="FFFFFF" w:val="clear"/>
            <w:vAlign w:val="center"/>
          </w:tcPr>
          <w:p>
            <w:pPr>
              <w:pStyle w:val="TableContents"/>
              <w:bidi w:val="0"/>
              <w:spacing w:before="0" w:after="283"/>
              <w:jc w:val="left"/>
              <w:rPr/>
            </w:pPr>
            <w:r>
              <w:rPr/>
              <w:t> </w:t>
            </w:r>
          </w:p>
        </w:tc>
        <w:tc>
          <w:tcPr>
            <w:tcW w:w="7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68"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Collateral</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Amount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r>
      <w:tr>
        <w:trPr/>
        <w:tc>
          <w:tcPr>
            <w:tcW w:w="224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sz w:val="18"/>
              </w:rPr>
            </w:pPr>
            <w:r>
              <w:rPr>
                <w:rFonts w:ascii="Times New Roman" w:hAnsi="Times New Roman"/>
                <w:b/>
                <w:sz w:val="18"/>
              </w:rPr>
              <w:t>June 30, 2026</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32"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728"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71"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763"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41"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778"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843"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01"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76"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729"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27"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493"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jc w:val="left"/>
              <w:rPr/>
            </w:pPr>
            <w:r>
              <w:rPr/>
              <w:t> </w:t>
            </w:r>
          </w:p>
        </w:tc>
      </w:tr>
      <w:tr>
        <w:trPr/>
        <w:tc>
          <w:tcPr>
            <w:tcW w:w="224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Interest rate swaps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728"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13,041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763"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(1,521</w:t>
            </w:r>
          </w:p>
        </w:tc>
        <w:tc>
          <w:tcPr>
            <w:tcW w:w="8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778"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11,520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843"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w:t>
            </w:r>
          </w:p>
        </w:tc>
        <w:tc>
          <w:tcPr>
            <w:tcW w:w="101"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139"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729"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(11,520</w:t>
            </w:r>
          </w:p>
        </w:tc>
        <w:tc>
          <w:tcPr>
            <w:tcW w:w="8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493"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224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Payer swaptions</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32" w:type="dxa"/>
            <w:tcBorders/>
            <w:shd w:fill="FFFFFF" w:val="clear"/>
            <w:tcMar>
              <w:bottom w:w="0" w:type="dxa"/>
            </w:tcMar>
            <w:vAlign w:val="center"/>
          </w:tcPr>
          <w:p>
            <w:pPr>
              <w:pStyle w:val="TableContents"/>
              <w:bidi w:val="0"/>
              <w:spacing w:before="0" w:after="0"/>
              <w:ind w:left="0" w:right="0" w:hanging="0"/>
              <w:jc w:val="left"/>
              <w:rPr/>
            </w:pPr>
            <w:r>
              <w:rPr/>
              <w:t> </w:t>
            </w:r>
          </w:p>
        </w:tc>
        <w:tc>
          <w:tcPr>
            <w:tcW w:w="728"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3,542</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71" w:type="dxa"/>
            <w:tcBorders/>
            <w:shd w:fill="FFFFFF" w:val="clear"/>
            <w:tcMar>
              <w:bottom w:w="0" w:type="dxa"/>
            </w:tcMar>
            <w:vAlign w:val="center"/>
          </w:tcPr>
          <w:p>
            <w:pPr>
              <w:pStyle w:val="TableContents"/>
              <w:bidi w:val="0"/>
              <w:spacing w:before="0" w:after="0"/>
              <w:ind w:left="0" w:right="0" w:hanging="0"/>
              <w:jc w:val="left"/>
              <w:rPr/>
            </w:pPr>
            <w:r>
              <w:rPr/>
              <w:t> </w:t>
            </w:r>
          </w:p>
        </w:tc>
        <w:tc>
          <w:tcPr>
            <w:tcW w:w="763"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p>
        </w:tc>
        <w:tc>
          <w:tcPr>
            <w:tcW w:w="80" w:type="dxa"/>
            <w:tcBorders/>
            <w:shd w:fill="FFFFFF" w:val="clear"/>
            <w:tcMar>
              <w:bottom w:w="0" w:type="dxa"/>
            </w:tcMar>
            <w:vAlign w:val="center"/>
          </w:tcPr>
          <w:p>
            <w:pPr>
              <w:pStyle w:val="TableContents"/>
              <w:bidi w:val="0"/>
              <w:spacing w:before="0" w:after="0"/>
              <w:ind w:left="0" w:right="0" w:hanging="0"/>
              <w:jc w:val="left"/>
              <w:rPr/>
            </w:pPr>
            <w:r>
              <w:rPr/>
              <w:t> </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41" w:type="dxa"/>
            <w:tcBorders/>
            <w:shd w:fill="FFFFFF" w:val="clear"/>
            <w:tcMar>
              <w:bottom w:w="0" w:type="dxa"/>
            </w:tcMar>
            <w:vAlign w:val="center"/>
          </w:tcPr>
          <w:p>
            <w:pPr>
              <w:pStyle w:val="TableContents"/>
              <w:bidi w:val="0"/>
              <w:spacing w:before="0" w:after="0"/>
              <w:ind w:left="0" w:right="0" w:hanging="0"/>
              <w:jc w:val="left"/>
              <w:rPr/>
            </w:pPr>
            <w:r>
              <w:rPr/>
              <w:t> </w:t>
            </w:r>
          </w:p>
        </w:tc>
        <w:tc>
          <w:tcPr>
            <w:tcW w:w="778"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3,542</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39" w:type="dxa"/>
            <w:tcBorders/>
            <w:shd w:fill="FFFFFF" w:val="clear"/>
            <w:tcMar>
              <w:bottom w:w="0" w:type="dxa"/>
            </w:tcMar>
            <w:vAlign w:val="center"/>
          </w:tcPr>
          <w:p>
            <w:pPr>
              <w:pStyle w:val="TableContents"/>
              <w:bidi w:val="0"/>
              <w:spacing w:before="0" w:after="0"/>
              <w:ind w:left="0" w:right="0" w:hanging="0"/>
              <w:jc w:val="left"/>
              <w:rPr/>
            </w:pPr>
            <w:r>
              <w:rPr/>
              <w:t> </w:t>
            </w:r>
          </w:p>
        </w:tc>
        <w:tc>
          <w:tcPr>
            <w:tcW w:w="843"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76" w:type="dxa"/>
            <w:tcBorders/>
            <w:shd w:fill="FFFFFF" w:val="clear"/>
            <w:tcMar>
              <w:bottom w:w="0" w:type="dxa"/>
            </w:tcMar>
            <w:vAlign w:val="center"/>
          </w:tcPr>
          <w:p>
            <w:pPr>
              <w:pStyle w:val="TableContents"/>
              <w:bidi w:val="0"/>
              <w:spacing w:before="0" w:after="0"/>
              <w:ind w:left="0" w:right="0" w:hanging="0"/>
              <w:jc w:val="left"/>
              <w:rPr/>
            </w:pPr>
            <w:r>
              <w:rPr/>
              <w:t> </w:t>
            </w:r>
          </w:p>
        </w:tc>
        <w:tc>
          <w:tcPr>
            <w:tcW w:w="139" w:type="dxa"/>
            <w:tcBorders/>
            <w:shd w:fill="FFFFFF" w:val="clear"/>
            <w:tcMar>
              <w:bottom w:w="0" w:type="dxa"/>
            </w:tcMar>
            <w:vAlign w:val="center"/>
          </w:tcPr>
          <w:p>
            <w:pPr>
              <w:pStyle w:val="TableContents"/>
              <w:bidi w:val="0"/>
              <w:spacing w:before="0" w:after="0"/>
              <w:ind w:left="0" w:right="0" w:hanging="0"/>
              <w:jc w:val="left"/>
              <w:rPr/>
            </w:pPr>
            <w:r>
              <w:rPr/>
              <w:t> </w:t>
            </w:r>
          </w:p>
        </w:tc>
        <w:tc>
          <w:tcPr>
            <w:tcW w:w="729"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(1,120</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27" w:type="dxa"/>
            <w:tcBorders/>
            <w:shd w:fill="FFFFFF" w:val="clear"/>
            <w:tcMar>
              <w:bottom w:w="0" w:type="dxa"/>
            </w:tcMar>
            <w:vAlign w:val="center"/>
          </w:tcPr>
          <w:p>
            <w:pPr>
              <w:pStyle w:val="TableContents"/>
              <w:bidi w:val="0"/>
              <w:spacing w:before="0" w:after="0"/>
              <w:ind w:left="0" w:right="0" w:hanging="0"/>
              <w:jc w:val="left"/>
              <w:rPr/>
            </w:pPr>
            <w:r>
              <w:rPr/>
              <w:t> </w:t>
            </w:r>
          </w:p>
        </w:tc>
        <w:tc>
          <w:tcPr>
            <w:tcW w:w="493"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2,422</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224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Reverse repurchase agreements</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32"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728"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495,828</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71"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763"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41"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778"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495,828</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843"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(495,828</w:t>
            </w:r>
          </w:p>
        </w:tc>
        <w:tc>
          <w:tcPr>
            <w:tcW w:w="101"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76"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729"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27"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493"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r>
      <w:tr>
        <w:trPr/>
        <w:tc>
          <w:tcPr>
            <w:tcW w:w="224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132" w:type="dxa"/>
            <w:tcBorders>
              <w:bottom w:val="double" w:sz="6"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728" w:type="dxa"/>
            <w:tcBorders>
              <w:bottom w:val="double" w:sz="6"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512,411</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171" w:type="dxa"/>
            <w:tcBorders>
              <w:bottom w:val="double" w:sz="6"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763" w:type="dxa"/>
            <w:tcBorders>
              <w:bottom w:val="double" w:sz="6"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(1,521</w:t>
            </w:r>
          </w:p>
        </w:tc>
        <w:tc>
          <w:tcPr>
            <w:tcW w:w="80" w:type="dxa"/>
            <w:tcBorders>
              <w:bottom w:val="double" w:sz="6"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141" w:type="dxa"/>
            <w:tcBorders>
              <w:bottom w:val="double" w:sz="6"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778" w:type="dxa"/>
            <w:tcBorders>
              <w:bottom w:val="double" w:sz="6"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510,890</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139" w:type="dxa"/>
            <w:tcBorders>
              <w:bottom w:val="double" w:sz="6"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843" w:type="dxa"/>
            <w:tcBorders>
              <w:bottom w:val="double" w:sz="6"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(495,828</w:t>
            </w:r>
          </w:p>
        </w:tc>
        <w:tc>
          <w:tcPr>
            <w:tcW w:w="101" w:type="dxa"/>
            <w:tcBorders>
              <w:bottom w:val="double" w:sz="6"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76"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139" w:type="dxa"/>
            <w:tcBorders>
              <w:bottom w:val="double" w:sz="6"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729" w:type="dxa"/>
            <w:tcBorders>
              <w:bottom w:val="double" w:sz="6"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(12,640</w:t>
            </w:r>
          </w:p>
        </w:tc>
        <w:tc>
          <w:tcPr>
            <w:tcW w:w="80" w:type="dxa"/>
            <w:tcBorders>
              <w:bottom w:val="double" w:sz="6"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127" w:type="dxa"/>
            <w:tcBorders>
              <w:bottom w:val="double" w:sz="6"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493" w:type="dxa"/>
            <w:tcBorders>
              <w:bottom w:val="double" w:sz="6"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2,422</w:t>
            </w:r>
          </w:p>
        </w:tc>
        <w:tc>
          <w:tcPr>
            <w:tcW w:w="60" w:type="dxa"/>
            <w:tcBorders>
              <w:bottom w:val="double" w:sz="6" w:space="0" w:color="000000"/>
            </w:tcBorders>
            <w:shd w:fill="FFFFFF" w:val="clear"/>
            <w:vAlign w:val="center"/>
          </w:tcPr>
          <w:p>
            <w:pPr>
              <w:pStyle w:val="TableContents"/>
              <w:bidi w:val="0"/>
              <w:spacing w:before="0" w:after="0"/>
              <w:jc w:val="left"/>
              <w:rPr/>
            </w:pPr>
            <w:r>
              <w:rPr/>
              <w:t> </w:t>
            </w:r>
          </w:p>
        </w:tc>
      </w:tr>
      <w:tr>
        <w:trPr/>
        <w:tc>
          <w:tcPr>
            <w:tcW w:w="224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December 31, 2025</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vAlign w:val="center"/>
          </w:tcPr>
          <w:p>
            <w:pPr>
              <w:pStyle w:val="TableContents"/>
              <w:bidi w:val="0"/>
              <w:spacing w:before="0" w:after="283"/>
              <w:jc w:val="left"/>
              <w:rPr/>
            </w:pPr>
            <w:r>
              <w:rPr/>
              <w:t> </w:t>
            </w:r>
          </w:p>
        </w:tc>
        <w:tc>
          <w:tcPr>
            <w:tcW w:w="728"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vAlign w:val="center"/>
          </w:tcPr>
          <w:p>
            <w:pPr>
              <w:pStyle w:val="TableContents"/>
              <w:bidi w:val="0"/>
              <w:spacing w:before="0" w:after="283"/>
              <w:jc w:val="left"/>
              <w:rPr/>
            </w:pPr>
            <w:r>
              <w:rPr/>
              <w:t> </w:t>
            </w:r>
          </w:p>
        </w:tc>
        <w:tc>
          <w:tcPr>
            <w:tcW w:w="763" w:type="dxa"/>
            <w:tcBorders>
              <w:bottom w:val="single" w:sz="2" w:space="0" w:color="000000"/>
            </w:tcBorders>
            <w:shd w:fill="CCEEFF" w:val="clear"/>
            <w:vAlign w:val="center"/>
          </w:tcPr>
          <w:p>
            <w:pPr>
              <w:pStyle w:val="TableContents"/>
              <w:bidi w:val="0"/>
              <w:spacing w:before="0" w:after="283"/>
              <w:jc w:val="left"/>
              <w:rPr/>
            </w:pPr>
            <w:r>
              <w:rPr/>
              <w:t> </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vAlign w:val="center"/>
          </w:tcPr>
          <w:p>
            <w:pPr>
              <w:pStyle w:val="TableContents"/>
              <w:bidi w:val="0"/>
              <w:spacing w:before="0" w:after="283"/>
              <w:jc w:val="left"/>
              <w:rPr/>
            </w:pPr>
            <w:r>
              <w:rPr/>
              <w:t> </w:t>
            </w:r>
          </w:p>
        </w:tc>
        <w:tc>
          <w:tcPr>
            <w:tcW w:w="778"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vAlign w:val="center"/>
          </w:tcPr>
          <w:p>
            <w:pPr>
              <w:pStyle w:val="TableContents"/>
              <w:bidi w:val="0"/>
              <w:spacing w:before="0" w:after="283"/>
              <w:jc w:val="left"/>
              <w:rPr/>
            </w:pPr>
            <w:r>
              <w:rPr/>
              <w:t> </w:t>
            </w:r>
          </w:p>
        </w:tc>
        <w:tc>
          <w:tcPr>
            <w:tcW w:w="843" w:type="dxa"/>
            <w:tcBorders>
              <w:bottom w:val="single" w:sz="2" w:space="0" w:color="000000"/>
            </w:tcBorders>
            <w:shd w:fill="CCEEFF" w:val="clear"/>
            <w:vAlign w:val="center"/>
          </w:tcPr>
          <w:p>
            <w:pPr>
              <w:pStyle w:val="TableContents"/>
              <w:bidi w:val="0"/>
              <w:spacing w:before="0" w:after="283"/>
              <w:jc w:val="left"/>
              <w:rPr/>
            </w:pPr>
            <w:r>
              <w:rPr/>
              <w:t> </w:t>
            </w:r>
          </w:p>
        </w:tc>
        <w:tc>
          <w:tcPr>
            <w:tcW w:w="101" w:type="dxa"/>
            <w:tcBorders>
              <w:bottom w:val="single" w:sz="2" w:space="0" w:color="000000"/>
            </w:tcBorders>
            <w:shd w:fill="CCEEFF" w:val="clear"/>
            <w:vAlign w:val="center"/>
          </w:tcPr>
          <w:p>
            <w:pPr>
              <w:pStyle w:val="TableContents"/>
              <w:bidi w:val="0"/>
              <w:spacing w:before="0" w:after="283"/>
              <w:jc w:val="left"/>
              <w:rPr/>
            </w:pPr>
            <w:r>
              <w:rPr/>
              <w:t> </w:t>
            </w:r>
          </w:p>
        </w:tc>
        <w:tc>
          <w:tcPr>
            <w:tcW w:w="76" w:type="dxa"/>
            <w:tcBorders>
              <w:bottom w:val="single" w:sz="2" w:space="0" w:color="000000"/>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vAlign w:val="center"/>
          </w:tcPr>
          <w:p>
            <w:pPr>
              <w:pStyle w:val="TableContents"/>
              <w:bidi w:val="0"/>
              <w:spacing w:before="0" w:after="283"/>
              <w:jc w:val="left"/>
              <w:rPr/>
            </w:pPr>
            <w:r>
              <w:rPr/>
              <w:t> </w:t>
            </w:r>
          </w:p>
        </w:tc>
        <w:tc>
          <w:tcPr>
            <w:tcW w:w="729" w:type="dxa"/>
            <w:tcBorders>
              <w:bottom w:val="single" w:sz="2" w:space="0" w:color="000000"/>
            </w:tcBorders>
            <w:shd w:fill="CCEEFF" w:val="clear"/>
            <w:vAlign w:val="center"/>
          </w:tcPr>
          <w:p>
            <w:pPr>
              <w:pStyle w:val="TableContents"/>
              <w:bidi w:val="0"/>
              <w:spacing w:before="0" w:after="283"/>
              <w:jc w:val="left"/>
              <w:rPr/>
            </w:pPr>
            <w:r>
              <w:rPr/>
              <w:t> </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vAlign w:val="center"/>
          </w:tcPr>
          <w:p>
            <w:pPr>
              <w:pStyle w:val="TableContents"/>
              <w:bidi w:val="0"/>
              <w:spacing w:before="0" w:after="283"/>
              <w:jc w:val="left"/>
              <w:rPr/>
            </w:pPr>
            <w:r>
              <w:rPr/>
              <w:t> </w:t>
            </w:r>
          </w:p>
        </w:tc>
        <w:tc>
          <w:tcPr>
            <w:tcW w:w="493"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224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Interest rate swaps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728"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8,237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763"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778"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8,237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843"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w:t>
            </w:r>
          </w:p>
        </w:tc>
        <w:tc>
          <w:tcPr>
            <w:tcW w:w="101"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139"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729"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7"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493"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8,237</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224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TBA securities</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32" w:type="dxa"/>
            <w:tcBorders/>
            <w:shd w:fill="CCEEFF" w:val="clear"/>
            <w:tcMar>
              <w:bottom w:w="0" w:type="dxa"/>
            </w:tcMar>
            <w:vAlign w:val="center"/>
          </w:tcPr>
          <w:p>
            <w:pPr>
              <w:pStyle w:val="TableContents"/>
              <w:bidi w:val="0"/>
              <w:spacing w:before="0" w:after="0"/>
              <w:ind w:left="0" w:right="0" w:hanging="0"/>
              <w:jc w:val="left"/>
              <w:rPr/>
            </w:pPr>
            <w:r>
              <w:rPr/>
              <w:t> </w:t>
            </w:r>
          </w:p>
        </w:tc>
        <w:tc>
          <w:tcPr>
            <w:tcW w:w="728"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1,015</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71" w:type="dxa"/>
            <w:tcBorders/>
            <w:shd w:fill="CCEEFF" w:val="clear"/>
            <w:tcMar>
              <w:bottom w:w="0" w:type="dxa"/>
            </w:tcMar>
            <w:vAlign w:val="center"/>
          </w:tcPr>
          <w:p>
            <w:pPr>
              <w:pStyle w:val="TableContents"/>
              <w:bidi w:val="0"/>
              <w:spacing w:before="0" w:after="0"/>
              <w:ind w:left="0" w:right="0" w:hanging="0"/>
              <w:jc w:val="left"/>
              <w:rPr/>
            </w:pPr>
            <w:r>
              <w:rPr/>
              <w:t> </w:t>
            </w:r>
          </w:p>
        </w:tc>
        <w:tc>
          <w:tcPr>
            <w:tcW w:w="763"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p>
        </w:tc>
        <w:tc>
          <w:tcPr>
            <w:tcW w:w="8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41" w:type="dxa"/>
            <w:tcBorders/>
            <w:shd w:fill="CCEEFF" w:val="clear"/>
            <w:tcMar>
              <w:bottom w:w="0" w:type="dxa"/>
            </w:tcMar>
            <w:vAlign w:val="center"/>
          </w:tcPr>
          <w:p>
            <w:pPr>
              <w:pStyle w:val="TableContents"/>
              <w:bidi w:val="0"/>
              <w:spacing w:before="0" w:after="0"/>
              <w:ind w:left="0" w:right="0" w:hanging="0"/>
              <w:jc w:val="left"/>
              <w:rPr/>
            </w:pPr>
            <w:r>
              <w:rPr/>
              <w:t> </w:t>
            </w:r>
          </w:p>
        </w:tc>
        <w:tc>
          <w:tcPr>
            <w:tcW w:w="778"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1,015</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39" w:type="dxa"/>
            <w:tcBorders/>
            <w:shd w:fill="CCEEFF" w:val="clear"/>
            <w:tcMar>
              <w:bottom w:w="0" w:type="dxa"/>
            </w:tcMar>
            <w:vAlign w:val="center"/>
          </w:tcPr>
          <w:p>
            <w:pPr>
              <w:pStyle w:val="TableContents"/>
              <w:bidi w:val="0"/>
              <w:spacing w:before="0" w:after="0"/>
              <w:ind w:left="0" w:right="0" w:hanging="0"/>
              <w:jc w:val="left"/>
              <w:rPr/>
            </w:pPr>
            <w:r>
              <w:rPr/>
              <w:t> </w:t>
            </w:r>
          </w:p>
        </w:tc>
        <w:tc>
          <w:tcPr>
            <w:tcW w:w="843"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76" w:type="dxa"/>
            <w:tcBorders/>
            <w:shd w:fill="CCEEFF" w:val="clear"/>
            <w:tcMar>
              <w:bottom w:w="0" w:type="dxa"/>
            </w:tcMar>
            <w:vAlign w:val="center"/>
          </w:tcPr>
          <w:p>
            <w:pPr>
              <w:pStyle w:val="TableContents"/>
              <w:bidi w:val="0"/>
              <w:spacing w:before="0" w:after="0"/>
              <w:ind w:left="0" w:right="0" w:hanging="0"/>
              <w:jc w:val="left"/>
              <w:rPr/>
            </w:pPr>
            <w:r>
              <w:rPr/>
              <w:t> </w:t>
            </w:r>
          </w:p>
        </w:tc>
        <w:tc>
          <w:tcPr>
            <w:tcW w:w="139" w:type="dxa"/>
            <w:tcBorders/>
            <w:shd w:fill="CCEEFF" w:val="clear"/>
            <w:tcMar>
              <w:bottom w:w="0" w:type="dxa"/>
            </w:tcMar>
            <w:vAlign w:val="center"/>
          </w:tcPr>
          <w:p>
            <w:pPr>
              <w:pStyle w:val="TableContents"/>
              <w:bidi w:val="0"/>
              <w:spacing w:before="0" w:after="0"/>
              <w:ind w:left="0" w:right="0" w:hanging="0"/>
              <w:jc w:val="left"/>
              <w:rPr/>
            </w:pPr>
            <w:r>
              <w:rPr/>
              <w:t> </w:t>
            </w:r>
          </w:p>
        </w:tc>
        <w:tc>
          <w:tcPr>
            <w:tcW w:w="729"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(360</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27" w:type="dxa"/>
            <w:tcBorders/>
            <w:shd w:fill="CCEEFF" w:val="clear"/>
            <w:tcMar>
              <w:bottom w:w="0" w:type="dxa"/>
            </w:tcMar>
            <w:vAlign w:val="center"/>
          </w:tcPr>
          <w:p>
            <w:pPr>
              <w:pStyle w:val="TableContents"/>
              <w:bidi w:val="0"/>
              <w:spacing w:before="0" w:after="0"/>
              <w:ind w:left="0" w:right="0" w:hanging="0"/>
              <w:jc w:val="left"/>
              <w:rPr/>
            </w:pPr>
            <w:r>
              <w:rPr/>
              <w:t> </w:t>
            </w:r>
          </w:p>
        </w:tc>
        <w:tc>
          <w:tcPr>
            <w:tcW w:w="493"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655</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224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Reverse repurchase agreement</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32"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728"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128,613</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71"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763"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41"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778"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128,613</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843"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(128,613</w:t>
            </w:r>
          </w:p>
        </w:tc>
        <w:tc>
          <w:tcPr>
            <w:tcW w:w="101"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76"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729"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27"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493"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p>
        </w:tc>
        <w:tc>
          <w:tcPr>
            <w:tcW w:w="60" w:type="dxa"/>
            <w:tcBorders>
              <w:bottom w:val="single" w:sz="2" w:space="0" w:color="000000"/>
            </w:tcBorders>
            <w:shd w:fill="FFFFFF" w:val="clear"/>
            <w:vAlign w:val="center"/>
          </w:tcPr>
          <w:p>
            <w:pPr>
              <w:pStyle w:val="TableContents"/>
              <w:bidi w:val="0"/>
              <w:spacing w:before="0" w:after="0"/>
              <w:jc w:val="left"/>
              <w:rPr/>
            </w:pPr>
            <w:r>
              <w:rPr/>
              <w:t> </w:t>
            </w:r>
          </w:p>
        </w:tc>
      </w:tr>
      <w:tr>
        <w:trPr/>
        <w:tc>
          <w:tcPr>
            <w:tcW w:w="224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728"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137,865</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763"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778"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137,865</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43"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(128,613</w:t>
            </w:r>
          </w:p>
        </w:tc>
        <w:tc>
          <w:tcPr>
            <w:tcW w:w="101" w:type="dxa"/>
            <w:tcBorders>
              <w:bottom w:val="double" w:sz="6" w:space="0" w:color="000000"/>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76"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729"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(360</w:t>
            </w:r>
          </w:p>
        </w:tc>
        <w:tc>
          <w:tcPr>
            <w:tcW w:w="80" w:type="dxa"/>
            <w:tcBorders>
              <w:bottom w:val="double" w:sz="6" w:space="0" w:color="000000"/>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493"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8,892</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tbl>
      <w:tblPr>
        <w:tblW w:w="7974" w:type="dxa"/>
        <w:jc w:val="left"/>
        <w:tblInd w:w="0" w:type="dxa"/>
        <w:tblLayout w:type="fixed"/>
        <w:tblCellMar>
          <w:top w:w="0" w:type="dxa"/>
          <w:left w:w="0" w:type="dxa"/>
          <w:bottom w:w="28" w:type="dxa"/>
          <w:right w:w="0" w:type="dxa"/>
        </w:tblCellMar>
      </w:tblPr>
      <w:tblGrid>
        <w:gridCol w:w="1745"/>
        <w:gridCol w:w="60"/>
        <w:gridCol w:w="110"/>
        <w:gridCol w:w="830"/>
        <w:gridCol w:w="60"/>
        <w:gridCol w:w="60"/>
        <w:gridCol w:w="171"/>
        <w:gridCol w:w="763"/>
        <w:gridCol w:w="80"/>
        <w:gridCol w:w="60"/>
        <w:gridCol w:w="110"/>
        <w:gridCol w:w="830"/>
        <w:gridCol w:w="60"/>
        <w:gridCol w:w="60"/>
        <w:gridCol w:w="116"/>
        <w:gridCol w:w="943"/>
        <w:gridCol w:w="84"/>
        <w:gridCol w:w="63"/>
        <w:gridCol w:w="134"/>
        <w:gridCol w:w="815"/>
        <w:gridCol w:w="80"/>
        <w:gridCol w:w="60"/>
        <w:gridCol w:w="170"/>
        <w:gridCol w:w="450"/>
        <w:gridCol w:w="60"/>
      </w:tblGrid>
      <w:tr>
        <w:trPr/>
        <w:tc>
          <w:tcPr>
            <w:tcW w:w="174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vAlign w:val="center"/>
          </w:tcPr>
          <w:p>
            <w:pPr>
              <w:pStyle w:val="TableContents"/>
              <w:bidi w:val="0"/>
              <w:spacing w:before="0" w:after="283"/>
              <w:jc w:val="left"/>
              <w:rPr/>
            </w:pPr>
            <w:r>
              <w:rPr/>
              <w:t> </w:t>
            </w:r>
          </w:p>
        </w:tc>
        <w:tc>
          <w:tcPr>
            <w:tcW w:w="763"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6" w:type="dxa"/>
            <w:tcBorders>
              <w:bottom w:val="single" w:sz="2" w:space="0" w:color="000000"/>
            </w:tcBorders>
            <w:shd w:fill="FFFFFF" w:val="clear"/>
            <w:vAlign w:val="center"/>
          </w:tcPr>
          <w:p>
            <w:pPr>
              <w:pStyle w:val="TableContents"/>
              <w:bidi w:val="0"/>
              <w:spacing w:before="0" w:after="283"/>
              <w:jc w:val="left"/>
              <w:rPr/>
            </w:pPr>
            <w:r>
              <w:rPr/>
              <w:t> </w:t>
            </w:r>
          </w:p>
        </w:tc>
        <w:tc>
          <w:tcPr>
            <w:tcW w:w="943" w:type="dxa"/>
            <w:tcBorders>
              <w:bottom w:val="single" w:sz="2" w:space="0" w:color="000000"/>
            </w:tcBorders>
            <w:shd w:fill="FFFFFF" w:val="clear"/>
            <w:vAlign w:val="center"/>
          </w:tcPr>
          <w:p>
            <w:pPr>
              <w:pStyle w:val="TableContents"/>
              <w:bidi w:val="0"/>
              <w:spacing w:before="0" w:after="283"/>
              <w:jc w:val="left"/>
              <w:rPr/>
            </w:pPr>
            <w:r>
              <w:rPr/>
              <w:t> </w:t>
            </w:r>
          </w:p>
        </w:tc>
        <w:tc>
          <w:tcPr>
            <w:tcW w:w="84" w:type="dxa"/>
            <w:tcBorders>
              <w:bottom w:val="single" w:sz="2" w:space="0" w:color="000000"/>
            </w:tcBorders>
            <w:shd w:fill="FFFFFF" w:val="clear"/>
            <w:vAlign w:val="center"/>
          </w:tcPr>
          <w:p>
            <w:pPr>
              <w:pStyle w:val="TableContents"/>
              <w:bidi w:val="0"/>
              <w:spacing w:before="0" w:after="283"/>
              <w:jc w:val="left"/>
              <w:rPr/>
            </w:pPr>
            <w:r>
              <w:rPr/>
              <w:t> </w:t>
            </w:r>
          </w:p>
        </w:tc>
        <w:tc>
          <w:tcPr>
            <w:tcW w:w="63" w:type="dxa"/>
            <w:tcBorders>
              <w:bottom w:val="single" w:sz="2" w:space="0" w:color="000000"/>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vAlign w:val="center"/>
          </w:tcPr>
          <w:p>
            <w:pPr>
              <w:pStyle w:val="TableContents"/>
              <w:bidi w:val="0"/>
              <w:spacing w:before="0" w:after="283"/>
              <w:jc w:val="left"/>
              <w:rPr/>
            </w:pPr>
            <w:r>
              <w:rPr/>
              <w:t> </w:t>
            </w:r>
          </w:p>
        </w:tc>
        <w:tc>
          <w:tcPr>
            <w:tcW w:w="815"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45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7914" w:type="dxa"/>
            <w:gridSpan w:val="24"/>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Offsetting of Liabilities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7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763"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4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Net Amount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155" w:type="dxa"/>
            <w:gridSpan w:val="6"/>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Gross Amount Not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450"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7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0" w:type="dxa"/>
            <w:gridSpan w:val="2"/>
            <w:tcBorders/>
            <w:shd w:fill="FFFFFF" w:val="clear"/>
            <w:tcMar>
              <w:bottom w:w="0" w:type="dxa"/>
            </w:tcMar>
            <w:vAlign w:val="center"/>
          </w:tcPr>
          <w:p>
            <w:pPr>
              <w:pStyle w:val="TableContents"/>
              <w:bidi w:val="0"/>
              <w:spacing w:before="0" w:after="283"/>
              <w:jc w:val="center"/>
              <w:rPr/>
            </w:pPr>
            <w:r>
              <w:rPr>
                <w:rStyle w:val="Emphasis"/>
                <w:rFonts w:ascii="Times New Roman" w:hAnsi="Times New Roman"/>
                <w:b/>
                <w:sz w:val="18"/>
              </w:rPr>
              <w:t>Gross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4" w:type="dxa"/>
            <w:gridSpan w:val="2"/>
            <w:tcBorders/>
            <w:shd w:fill="FFFFFF" w:val="clear"/>
            <w:tcMar>
              <w:bottom w:w="0" w:type="dxa"/>
            </w:tcMar>
            <w:vAlign w:val="center"/>
          </w:tcPr>
          <w:p>
            <w:pPr>
              <w:pStyle w:val="TableContents"/>
              <w:bidi w:val="0"/>
              <w:spacing w:before="0" w:after="283"/>
              <w:jc w:val="center"/>
              <w:rPr/>
            </w:pPr>
            <w:r>
              <w:rPr>
                <w:rStyle w:val="Emphasis"/>
                <w:rFonts w:ascii="Times New Roman" w:hAnsi="Times New Roman"/>
                <w:b/>
                <w:sz w:val="18"/>
              </w:rPr>
              <w:t>Gross</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0" w:type="dxa"/>
            <w:gridSpan w:val="2"/>
            <w:tcBorders/>
            <w:shd w:fill="FFFFFF" w:val="clear"/>
            <w:tcMar>
              <w:bottom w:w="0" w:type="dxa"/>
            </w:tcMar>
            <w:vAlign w:val="center"/>
          </w:tcPr>
          <w:p>
            <w:pPr>
              <w:pStyle w:val="TableContents"/>
              <w:bidi w:val="0"/>
              <w:spacing w:before="0" w:after="283"/>
              <w:jc w:val="center"/>
              <w:rPr/>
            </w:pPr>
            <w:r>
              <w:rPr>
                <w:rStyle w:val="Emphasis"/>
                <w:rFonts w:ascii="Times New Roman" w:hAnsi="Times New Roman"/>
                <w:b/>
                <w:sz w:val="18"/>
              </w:rPr>
              <w:t>of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155" w:type="dxa"/>
            <w:gridSpan w:val="6"/>
            <w:tcBorders>
              <w:bottom w:val="single" w:sz="2" w:space="0" w:color="000000"/>
            </w:tcBorders>
            <w:shd w:fill="FFFFFF" w:val="clear"/>
            <w:vAlign w:val="center"/>
          </w:tcPr>
          <w:p>
            <w:pPr>
              <w:pStyle w:val="TableContents"/>
              <w:bidi w:val="0"/>
              <w:spacing w:before="0" w:after="0"/>
              <w:jc w:val="center"/>
              <w:rPr/>
            </w:pPr>
            <w:r>
              <w:rPr>
                <w:rStyle w:val="Emphasis"/>
                <w:rFonts w:ascii="Times New Roman" w:hAnsi="Times New Roman"/>
                <w:b/>
                <w:sz w:val="18"/>
              </w:rPr>
              <w:t>Offset in the Balance Sheet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450"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7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4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Amount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34"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Amount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4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Presented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59"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Financial</w:t>
            </w:r>
          </w:p>
        </w:tc>
        <w:tc>
          <w:tcPr>
            <w:tcW w:w="84"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34" w:type="dxa"/>
            <w:tcBorders/>
            <w:shd w:fill="FFFFFF" w:val="clear"/>
            <w:tcMar>
              <w:bottom w:w="0" w:type="dxa"/>
            </w:tcMar>
            <w:vAlign w:val="center"/>
          </w:tcPr>
          <w:p>
            <w:pPr>
              <w:pStyle w:val="TableContents"/>
              <w:bidi w:val="0"/>
              <w:spacing w:before="0" w:after="283"/>
              <w:jc w:val="left"/>
              <w:rPr/>
            </w:pPr>
            <w:r>
              <w:rPr/>
              <w:t> </w:t>
            </w:r>
          </w:p>
        </w:tc>
        <w:tc>
          <w:tcPr>
            <w:tcW w:w="815"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450"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7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0" w:type="dxa"/>
            <w:gridSpan w:val="2"/>
            <w:tcBorders/>
            <w:shd w:fill="FFFFFF" w:val="clear"/>
            <w:tcMar>
              <w:bottom w:w="0" w:type="dxa"/>
            </w:tcMar>
            <w:vAlign w:val="center"/>
          </w:tcPr>
          <w:p>
            <w:pPr>
              <w:pStyle w:val="TableContents"/>
              <w:bidi w:val="0"/>
              <w:spacing w:before="0" w:after="283"/>
              <w:jc w:val="center"/>
              <w:rPr/>
            </w:pPr>
            <w:r>
              <w:rPr>
                <w:rStyle w:val="Emphasis"/>
                <w:rFonts w:ascii="Times New Roman" w:hAnsi="Times New Roman"/>
                <w:b/>
                <w:sz w:val="18"/>
              </w:rPr>
              <w:t>of</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4" w:type="dxa"/>
            <w:gridSpan w:val="2"/>
            <w:tcBorders/>
            <w:shd w:fill="FFFFFF" w:val="clear"/>
            <w:tcMar>
              <w:bottom w:w="0" w:type="dxa"/>
            </w:tcMar>
            <w:vAlign w:val="center"/>
          </w:tcPr>
          <w:p>
            <w:pPr>
              <w:pStyle w:val="TableContents"/>
              <w:bidi w:val="0"/>
              <w:spacing w:before="0" w:after="283"/>
              <w:jc w:val="center"/>
              <w:rPr/>
            </w:pPr>
            <w:r>
              <w:rPr>
                <w:rStyle w:val="Emphasis"/>
                <w:rFonts w:ascii="Times New Roman" w:hAnsi="Times New Roman"/>
                <w:b/>
                <w:sz w:val="18"/>
              </w:rPr>
              <w:t>Offset in the</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0" w:type="dxa"/>
            <w:gridSpan w:val="2"/>
            <w:tcBorders/>
            <w:shd w:fill="FFFFFF" w:val="clear"/>
            <w:tcMar>
              <w:bottom w:w="0" w:type="dxa"/>
            </w:tcMar>
            <w:vAlign w:val="center"/>
          </w:tcPr>
          <w:p>
            <w:pPr>
              <w:pStyle w:val="TableContents"/>
              <w:bidi w:val="0"/>
              <w:spacing w:before="0" w:after="283"/>
              <w:jc w:val="center"/>
              <w:rPr/>
            </w:pPr>
            <w:r>
              <w:rPr>
                <w:rStyle w:val="Emphasis"/>
                <w:rFonts w:ascii="Times New Roman" w:hAnsi="Times New Roman"/>
                <w:b/>
                <w:sz w:val="18"/>
              </w:rPr>
              <w:t>in the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9" w:type="dxa"/>
            <w:gridSpan w:val="2"/>
            <w:tcBorders/>
            <w:shd w:fill="FFFFFF" w:val="clear"/>
            <w:tcMar>
              <w:bottom w:w="0" w:type="dxa"/>
            </w:tcMar>
            <w:vAlign w:val="center"/>
          </w:tcPr>
          <w:p>
            <w:pPr>
              <w:pStyle w:val="TableContents"/>
              <w:bidi w:val="0"/>
              <w:spacing w:before="0" w:after="283"/>
              <w:jc w:val="center"/>
              <w:rPr/>
            </w:pPr>
            <w:r>
              <w:rPr>
                <w:rStyle w:val="Emphasis"/>
                <w:rFonts w:ascii="Times New Roman" w:hAnsi="Times New Roman"/>
                <w:b/>
                <w:sz w:val="18"/>
              </w:rPr>
              <w:t>Instruments</w:t>
            </w:r>
          </w:p>
        </w:tc>
        <w:tc>
          <w:tcPr>
            <w:tcW w:w="84"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34" w:type="dxa"/>
            <w:tcBorders/>
            <w:shd w:fill="FFFFFF" w:val="clear"/>
            <w:tcMar>
              <w:bottom w:w="0" w:type="dxa"/>
            </w:tcMar>
            <w:vAlign w:val="center"/>
          </w:tcPr>
          <w:p>
            <w:pPr>
              <w:pStyle w:val="TableContents"/>
              <w:bidi w:val="0"/>
              <w:spacing w:before="0" w:after="283"/>
              <w:jc w:val="left"/>
              <w:rPr/>
            </w:pPr>
            <w:r>
              <w:rPr/>
              <w:t> </w:t>
            </w:r>
          </w:p>
        </w:tc>
        <w:tc>
          <w:tcPr>
            <w:tcW w:w="815"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450"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7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4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Recognized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34"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Balance</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4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Balance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59"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Posted as</w:t>
            </w:r>
          </w:p>
        </w:tc>
        <w:tc>
          <w:tcPr>
            <w:tcW w:w="84"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ind w:left="0" w:right="0" w:hanging="0"/>
              <w:jc w:val="left"/>
              <w:rPr/>
            </w:pPr>
            <w:r>
              <w:rPr/>
              <w:t> </w:t>
            </w:r>
          </w:p>
        </w:tc>
        <w:tc>
          <w:tcPr>
            <w:tcW w:w="949"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Cash Posted</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2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Net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74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Liabilities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Sheet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Sheet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5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Collateral</w:t>
            </w:r>
          </w:p>
        </w:tc>
        <w:tc>
          <w:tcPr>
            <w:tcW w:w="84" w:type="dxa"/>
            <w:tcBorders>
              <w:bottom w:val="single" w:sz="2" w:space="0" w:color="000000"/>
            </w:tcBorders>
            <w:shd w:fill="FFFFFF" w:val="clear"/>
            <w:vAlign w:val="center"/>
          </w:tcPr>
          <w:p>
            <w:pPr>
              <w:pStyle w:val="TableContents"/>
              <w:bidi w:val="0"/>
              <w:spacing w:before="0" w:after="283"/>
              <w:jc w:val="left"/>
              <w:rPr/>
            </w:pPr>
            <w:r>
              <w:rPr/>
              <w:t> </w:t>
            </w:r>
          </w:p>
        </w:tc>
        <w:tc>
          <w:tcPr>
            <w:tcW w:w="6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as Collateral</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Amount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74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June 30, 2026</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vAlign w:val="center"/>
          </w:tcPr>
          <w:p>
            <w:pPr>
              <w:pStyle w:val="TableContents"/>
              <w:bidi w:val="0"/>
              <w:spacing w:before="0" w:after="283"/>
              <w:jc w:val="left"/>
              <w:rPr/>
            </w:pPr>
            <w:r>
              <w:rPr/>
              <w:t> </w:t>
            </w:r>
          </w:p>
        </w:tc>
        <w:tc>
          <w:tcPr>
            <w:tcW w:w="763"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6" w:type="dxa"/>
            <w:tcBorders>
              <w:bottom w:val="single" w:sz="2" w:space="0" w:color="000000"/>
            </w:tcBorders>
            <w:shd w:fill="FFFFFF" w:val="clear"/>
            <w:vAlign w:val="center"/>
          </w:tcPr>
          <w:p>
            <w:pPr>
              <w:pStyle w:val="TableContents"/>
              <w:bidi w:val="0"/>
              <w:spacing w:before="0" w:after="283"/>
              <w:jc w:val="left"/>
              <w:rPr/>
            </w:pPr>
            <w:r>
              <w:rPr/>
              <w:t> </w:t>
            </w:r>
          </w:p>
        </w:tc>
        <w:tc>
          <w:tcPr>
            <w:tcW w:w="943" w:type="dxa"/>
            <w:tcBorders>
              <w:bottom w:val="single" w:sz="2" w:space="0" w:color="000000"/>
            </w:tcBorders>
            <w:shd w:fill="FFFFFF" w:val="clear"/>
            <w:vAlign w:val="center"/>
          </w:tcPr>
          <w:p>
            <w:pPr>
              <w:pStyle w:val="TableContents"/>
              <w:bidi w:val="0"/>
              <w:spacing w:before="0" w:after="283"/>
              <w:jc w:val="left"/>
              <w:rPr/>
            </w:pPr>
            <w:r>
              <w:rPr/>
              <w:t> </w:t>
            </w:r>
          </w:p>
        </w:tc>
        <w:tc>
          <w:tcPr>
            <w:tcW w:w="84" w:type="dxa"/>
            <w:tcBorders>
              <w:bottom w:val="single" w:sz="2" w:space="0" w:color="000000"/>
            </w:tcBorders>
            <w:shd w:fill="FFFFFF" w:val="clear"/>
            <w:vAlign w:val="center"/>
          </w:tcPr>
          <w:p>
            <w:pPr>
              <w:pStyle w:val="TableContents"/>
              <w:bidi w:val="0"/>
              <w:spacing w:before="0" w:after="283"/>
              <w:jc w:val="left"/>
              <w:rPr/>
            </w:pPr>
            <w:r>
              <w:rPr/>
              <w:t> </w:t>
            </w:r>
          </w:p>
        </w:tc>
        <w:tc>
          <w:tcPr>
            <w:tcW w:w="63" w:type="dxa"/>
            <w:tcBorders>
              <w:bottom w:val="single" w:sz="2" w:space="0" w:color="000000"/>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vAlign w:val="center"/>
          </w:tcPr>
          <w:p>
            <w:pPr>
              <w:pStyle w:val="TableContents"/>
              <w:bidi w:val="0"/>
              <w:spacing w:before="0" w:after="283"/>
              <w:jc w:val="left"/>
              <w:rPr/>
            </w:pPr>
            <w:r>
              <w:rPr/>
              <w:t> </w:t>
            </w:r>
          </w:p>
        </w:tc>
        <w:tc>
          <w:tcPr>
            <w:tcW w:w="815"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45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74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Repurchase Agreements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11,086,915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1"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763"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11,086,915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6"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943"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(10,975,446</w:t>
            </w:r>
          </w:p>
        </w:tc>
        <w:tc>
          <w:tcPr>
            <w:tcW w:w="84"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3" w:type="dxa"/>
            <w:tcBorders/>
            <w:shd w:fill="CCEEFF" w:val="clear"/>
            <w:tcMar>
              <w:bottom w:w="0" w:type="dxa"/>
            </w:tcMar>
            <w:vAlign w:val="center"/>
          </w:tcPr>
          <w:p>
            <w:pPr>
              <w:pStyle w:val="TableContents"/>
              <w:bidi w:val="0"/>
              <w:spacing w:before="0" w:after="283"/>
              <w:ind w:left="0" w:right="0" w:hanging="0"/>
              <w:jc w:val="left"/>
              <w:rPr/>
            </w:pPr>
            <w:r>
              <w:rPr/>
              <w:t> </w:t>
            </w:r>
          </w:p>
        </w:tc>
        <w:tc>
          <w:tcPr>
            <w:tcW w:w="134"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1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(111,469</w:t>
            </w:r>
          </w:p>
        </w:tc>
        <w:tc>
          <w:tcPr>
            <w:tcW w:w="8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0"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45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74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Interest rate swaps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1,521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763"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(1,521</w:t>
            </w:r>
          </w:p>
        </w:tc>
        <w:tc>
          <w:tcPr>
            <w:tcW w:w="8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943"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w:t>
            </w:r>
          </w:p>
        </w:tc>
        <w:tc>
          <w:tcPr>
            <w:tcW w:w="84"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34" w:type="dxa"/>
            <w:tcBorders/>
            <w:shd w:fill="FFFFFF" w:val="clear"/>
            <w:tcMar>
              <w:bottom w:w="0" w:type="dxa"/>
            </w:tcMar>
            <w:vAlign w:val="center"/>
          </w:tcPr>
          <w:p>
            <w:pPr>
              <w:pStyle w:val="TableContents"/>
              <w:bidi w:val="0"/>
              <w:spacing w:before="0" w:after="283"/>
              <w:jc w:val="left"/>
              <w:rPr/>
            </w:pPr>
            <w:r>
              <w:rPr/>
              <w:t> </w:t>
            </w:r>
          </w:p>
        </w:tc>
        <w:tc>
          <w:tcPr>
            <w:tcW w:w="815"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450"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1745"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TBA securities</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4,723</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71"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763"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4,723</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16"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943"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p>
        </w:tc>
        <w:tc>
          <w:tcPr>
            <w:tcW w:w="84"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3"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34"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815"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(3,929</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450"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794</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r>
      <w:tr>
        <w:trPr/>
        <w:tc>
          <w:tcPr>
            <w:tcW w:w="1745"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830" w:type="dxa"/>
            <w:tcBorders>
              <w:bottom w:val="double" w:sz="6"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11,093,159</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171" w:type="dxa"/>
            <w:tcBorders>
              <w:bottom w:val="double" w:sz="6"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763" w:type="dxa"/>
            <w:tcBorders>
              <w:bottom w:val="double" w:sz="6"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(1,521</w:t>
            </w:r>
          </w:p>
        </w:tc>
        <w:tc>
          <w:tcPr>
            <w:tcW w:w="80" w:type="dxa"/>
            <w:tcBorders>
              <w:bottom w:val="double" w:sz="6"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830" w:type="dxa"/>
            <w:tcBorders>
              <w:bottom w:val="double" w:sz="6"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11,091,638</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116" w:type="dxa"/>
            <w:tcBorders>
              <w:bottom w:val="double" w:sz="6"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943" w:type="dxa"/>
            <w:tcBorders>
              <w:bottom w:val="double" w:sz="6"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(10,975,446</w:t>
            </w:r>
          </w:p>
        </w:tc>
        <w:tc>
          <w:tcPr>
            <w:tcW w:w="84" w:type="dxa"/>
            <w:tcBorders>
              <w:bottom w:val="double" w:sz="6"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3"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134" w:type="dxa"/>
            <w:tcBorders>
              <w:bottom w:val="double" w:sz="6"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815" w:type="dxa"/>
            <w:tcBorders>
              <w:bottom w:val="double" w:sz="6"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(115,398</w:t>
            </w:r>
          </w:p>
        </w:tc>
        <w:tc>
          <w:tcPr>
            <w:tcW w:w="80" w:type="dxa"/>
            <w:tcBorders>
              <w:bottom w:val="double" w:sz="6"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450" w:type="dxa"/>
            <w:tcBorders>
              <w:bottom w:val="double" w:sz="6"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794</w:t>
            </w:r>
          </w:p>
        </w:tc>
        <w:tc>
          <w:tcPr>
            <w:tcW w:w="60" w:type="dxa"/>
            <w:tcBorders>
              <w:bottom w:val="double" w:sz="6" w:space="0" w:color="000000"/>
            </w:tcBorders>
            <w:shd w:fill="FFFFFF" w:val="clear"/>
            <w:vAlign w:val="center"/>
          </w:tcPr>
          <w:p>
            <w:pPr>
              <w:pStyle w:val="TableContents"/>
              <w:bidi w:val="0"/>
              <w:spacing w:before="0" w:after="0"/>
              <w:jc w:val="left"/>
              <w:rPr/>
            </w:pPr>
            <w:r>
              <w:rPr/>
              <w:t> </w:t>
            </w:r>
          </w:p>
        </w:tc>
      </w:tr>
      <w:tr>
        <w:trPr/>
        <w:tc>
          <w:tcPr>
            <w:tcW w:w="174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December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763"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943"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34"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45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74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Repurchase Agreements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3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10,115,466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1"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763"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3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10,115,466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6"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943"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(10,064,295</w:t>
            </w:r>
          </w:p>
        </w:tc>
        <w:tc>
          <w:tcPr>
            <w:tcW w:w="84"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3" w:type="dxa"/>
            <w:tcBorders/>
            <w:shd w:fill="FFFFFF" w:val="clear"/>
            <w:tcMar>
              <w:bottom w:w="0" w:type="dxa"/>
            </w:tcMar>
            <w:vAlign w:val="center"/>
          </w:tcPr>
          <w:p>
            <w:pPr>
              <w:pStyle w:val="TableContents"/>
              <w:bidi w:val="0"/>
              <w:spacing w:before="0" w:after="283"/>
              <w:ind w:left="0" w:right="0" w:hanging="0"/>
              <w:jc w:val="left"/>
              <w:rPr/>
            </w:pPr>
            <w:r>
              <w:rPr/>
              <w:t> </w:t>
            </w:r>
          </w:p>
        </w:tc>
        <w:tc>
          <w:tcPr>
            <w:tcW w:w="134"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1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(51,171</w:t>
            </w:r>
          </w:p>
        </w:tc>
        <w:tc>
          <w:tcPr>
            <w:tcW w:w="8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0"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45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745"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TBA securities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1,846</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63"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1,846</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84" w:type="dxa"/>
            <w:tcBorders>
              <w:bottom w:val="single" w:sz="2" w:space="0" w:color="000000"/>
            </w:tcBorders>
            <w:shd w:fill="CCEEFF" w:val="clear"/>
            <w:vAlign w:val="center"/>
          </w:tcPr>
          <w:p>
            <w:pPr>
              <w:pStyle w:val="TableContents"/>
              <w:bidi w:val="0"/>
              <w:spacing w:before="0" w:after="283"/>
              <w:jc w:val="left"/>
              <w:rPr/>
            </w:pPr>
            <w:r>
              <w:rPr/>
              <w:t> </w:t>
            </w:r>
          </w:p>
        </w:tc>
        <w:tc>
          <w:tcPr>
            <w:tcW w:w="63" w:type="dxa"/>
            <w:tcBorders>
              <w:bottom w:val="single" w:sz="2" w:space="0" w:color="000000"/>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1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(1,846</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5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1745"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3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10,117,312</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763"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3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10,117,312</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16"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943"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(10,064,295</w:t>
            </w:r>
          </w:p>
        </w:tc>
        <w:tc>
          <w:tcPr>
            <w:tcW w:w="84" w:type="dxa"/>
            <w:tcBorders>
              <w:bottom w:val="double" w:sz="6" w:space="0" w:color="000000"/>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3"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1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(53,017</w:t>
            </w:r>
          </w:p>
        </w:tc>
        <w:tc>
          <w:tcPr>
            <w:tcW w:w="80" w:type="dxa"/>
            <w:tcBorders>
              <w:bottom w:val="double" w:sz="6" w:space="0" w:color="000000"/>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45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amounts disclosed for collateral received by or posted to the same counterparty up to and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exceeding the net amount of the asset or liability presented in the balance sheets. The fair value of the actual collateral received by or posted to the same counterparty typically exceeds the amounts presented. See Note </w:t>
      </w:r>
      <w:r>
        <w:rPr>
          <w:rStyle w:val="Emphasis"/>
          <w:rFonts w:ascii="Times New Roman" w:hAnsi="Times New Roman"/>
          <w:caps w:val="false"/>
          <w:smallCaps w:val="false"/>
          <w:sz w:val="20"/>
        </w:rPr>
        <w:t>6</w:t>
      </w:r>
      <w:r>
        <w:rPr>
          <w:rFonts w:ascii="Times New Roman" w:hAnsi="Times New Roman"/>
          <w:caps w:val="false"/>
          <w:smallCaps w:val="false"/>
          <w:sz w:val="20"/>
        </w:rPr>
        <w:t> for a discussion of collateral posted or received against or for repurchase obligations and derivative and other hedging instruments.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8.</w:t>
      </w:r>
      <w:r>
        <w:rPr>
          <w:rFonts w:ascii="Times New Roman" w:hAnsi="Times New Roman"/>
          <w:b/>
          <w:caps w:val="false"/>
          <w:smallCaps w:val="false"/>
          <w:sz w:val="20"/>
        </w:rPr>
        <w:t xml:space="preserve">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b/>
          <w:caps w:val="false"/>
          <w:smallCaps w:val="false"/>
          <w:sz w:val="20"/>
        </w:rPr>
      </w:pPr>
      <w:r>
        <w:rPr>
          <w:rFonts w:ascii="Times New Roman" w:hAnsi="Times New Roman"/>
          <w:b/>
          <w:caps w:val="false"/>
          <w:smallCaps w:val="false"/>
          <w:sz w:val="20"/>
        </w:rPr>
        <w:t>Common Stock Issuances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and the year ended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the Company completed the following public offerings of shares of its common stock.</w:t>
      </w:r>
    </w:p>
    <w:p>
      <w:pPr>
        <w:pStyle w:val="TextBody"/>
        <w:bidi w:val="0"/>
        <w:spacing w:before="0" w:after="0"/>
        <w:ind w:left="0" w:right="0" w:hanging="0"/>
        <w:jc w:val="left"/>
        <w:rPr>
          <w:caps w:val="false"/>
          <w:smallCaps w:val="false"/>
        </w:rPr>
      </w:pPr>
      <w:r>
        <w:rPr>
          <w:caps w:val="false"/>
          <w:smallCaps w:val="false"/>
        </w:rPr>
        <w:t> </w:t>
      </w:r>
    </w:p>
    <w:tbl>
      <w:tblPr>
        <w:tblW w:w="7493" w:type="dxa"/>
        <w:jc w:val="left"/>
        <w:tblInd w:w="0" w:type="dxa"/>
        <w:tblLayout w:type="fixed"/>
        <w:tblCellMar>
          <w:top w:w="0" w:type="dxa"/>
          <w:left w:w="0" w:type="dxa"/>
          <w:bottom w:w="28" w:type="dxa"/>
          <w:right w:w="0" w:type="dxa"/>
        </w:tblCellMar>
      </w:tblPr>
      <w:tblGrid>
        <w:gridCol w:w="3110"/>
        <w:gridCol w:w="1160"/>
        <w:gridCol w:w="60"/>
        <w:gridCol w:w="241"/>
        <w:gridCol w:w="738"/>
        <w:gridCol w:w="60"/>
        <w:gridCol w:w="60"/>
        <w:gridCol w:w="60"/>
        <w:gridCol w:w="920"/>
        <w:gridCol w:w="60"/>
        <w:gridCol w:w="60"/>
        <w:gridCol w:w="139"/>
        <w:gridCol w:w="765"/>
        <w:gridCol w:w="60"/>
      </w:tblGrid>
      <w:tr>
        <w:trPr/>
        <w:tc>
          <w:tcPr>
            <w:tcW w:w="311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 in thousands, except per share amounts)</w:t>
            </w:r>
          </w:p>
        </w:tc>
        <w:tc>
          <w:tcPr>
            <w:tcW w:w="11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41" w:type="dxa"/>
            <w:tcBorders>
              <w:bottom w:val="single" w:sz="2" w:space="0" w:color="000000"/>
            </w:tcBorders>
            <w:shd w:fill="FFFFFF" w:val="clear"/>
            <w:vAlign w:val="center"/>
          </w:tcPr>
          <w:p>
            <w:pPr>
              <w:pStyle w:val="TableContents"/>
              <w:bidi w:val="0"/>
              <w:spacing w:before="0" w:after="283"/>
              <w:jc w:val="left"/>
              <w:rPr/>
            </w:pPr>
            <w:r>
              <w:rPr/>
              <w:t> </w:t>
            </w:r>
          </w:p>
        </w:tc>
        <w:tc>
          <w:tcPr>
            <w:tcW w:w="738"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92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vAlign w:val="center"/>
          </w:tcPr>
          <w:p>
            <w:pPr>
              <w:pStyle w:val="TableContents"/>
              <w:bidi w:val="0"/>
              <w:spacing w:before="0" w:after="283"/>
              <w:jc w:val="left"/>
              <w:rPr/>
            </w:pPr>
            <w:r>
              <w:rPr/>
              <w:t> </w:t>
            </w:r>
          </w:p>
        </w:tc>
        <w:tc>
          <w:tcPr>
            <w:tcW w:w="76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110"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left"/>
              <w:rPr/>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79"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Weighted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0"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 w:type="dxa"/>
            <w:tcBorders/>
            <w:shd w:fill="FFFFFF" w:val="clear"/>
            <w:tcMar>
              <w:bottom w:w="0" w:type="dxa"/>
            </w:tcMar>
            <w:vAlign w:val="center"/>
          </w:tcPr>
          <w:p>
            <w:pPr>
              <w:pStyle w:val="TableContents"/>
              <w:bidi w:val="0"/>
              <w:spacing w:before="0" w:after="283"/>
              <w:jc w:val="left"/>
              <w:rPr/>
            </w:pPr>
            <w:r>
              <w:rPr/>
              <w:t> </w:t>
            </w:r>
          </w:p>
        </w:tc>
        <w:tc>
          <w:tcPr>
            <w:tcW w:w="765"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110"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left"/>
              <w:rPr/>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79"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Average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0"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 w:type="dxa"/>
            <w:tcBorders/>
            <w:shd w:fill="FFFFFF" w:val="clear"/>
            <w:tcMar>
              <w:bottom w:w="0" w:type="dxa"/>
            </w:tcMar>
            <w:vAlign w:val="center"/>
          </w:tcPr>
          <w:p>
            <w:pPr>
              <w:pStyle w:val="TableContents"/>
              <w:bidi w:val="0"/>
              <w:spacing w:before="0" w:after="283"/>
              <w:jc w:val="left"/>
              <w:rPr/>
            </w:pPr>
            <w:r>
              <w:rPr/>
              <w:t> </w:t>
            </w:r>
          </w:p>
        </w:tc>
        <w:tc>
          <w:tcPr>
            <w:tcW w:w="765"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110"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left"/>
              <w:rPr/>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79"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Price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0"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 w:type="dxa"/>
            <w:tcBorders/>
            <w:shd w:fill="FFFFFF" w:val="clear"/>
            <w:tcMar>
              <w:bottom w:w="0" w:type="dxa"/>
            </w:tcMar>
            <w:vAlign w:val="center"/>
          </w:tcPr>
          <w:p>
            <w:pPr>
              <w:pStyle w:val="TableContents"/>
              <w:bidi w:val="0"/>
              <w:spacing w:before="0" w:after="283"/>
              <w:jc w:val="left"/>
              <w:rPr/>
            </w:pPr>
            <w:r>
              <w:rPr/>
              <w:t> </w:t>
            </w:r>
          </w:p>
        </w:tc>
        <w:tc>
          <w:tcPr>
            <w:tcW w:w="765"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110"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left"/>
              <w:rPr/>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79"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Received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0"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04"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Net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11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Type of Offering</w:t>
            </w:r>
          </w:p>
        </w:tc>
        <w:tc>
          <w:tcPr>
            <w:tcW w:w="1160" w:type="dxa"/>
            <w:tcBorders>
              <w:bottom w:val="single" w:sz="2" w:space="0" w:color="000000"/>
            </w:tcBorders>
            <w:shd w:fill="FFFFFF" w:val="clear"/>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18"/>
              </w:rPr>
              <w:t>Period</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79"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Per Share(1)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Shares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04"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Proceeds(2)</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r>
      <w:tr>
        <w:trPr/>
        <w:tc>
          <w:tcPr>
            <w:tcW w:w="311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b/>
                <w:sz w:val="18"/>
              </w:rPr>
            </w:pPr>
            <w:r>
              <w:rPr>
                <w:rFonts w:ascii="Times New Roman" w:hAnsi="Times New Roman"/>
                <w:b/>
                <w:sz w:val="18"/>
              </w:rPr>
              <w:t>2026</w:t>
            </w:r>
          </w:p>
        </w:tc>
        <w:tc>
          <w:tcPr>
            <w:tcW w:w="11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241"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738"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92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765"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jc w:val="left"/>
              <w:rPr/>
            </w:pPr>
            <w:r>
              <w:rPr/>
              <w:t> </w:t>
            </w:r>
          </w:p>
        </w:tc>
      </w:tr>
      <w:tr>
        <w:trPr/>
        <w:tc>
          <w:tcPr>
            <w:tcW w:w="3110" w:type="dxa"/>
            <w:tcBorders/>
            <w:shd w:fill="FFFFFF" w:val="clear"/>
            <w:tcMar>
              <w:bottom w:w="0" w:type="dxa"/>
            </w:tcMar>
            <w:vAlign w:val="center"/>
          </w:tcPr>
          <w:p>
            <w:pPr>
              <w:pStyle w:val="TableContents"/>
              <w:bidi w:val="0"/>
              <w:spacing w:lineRule="auto" w:line="288"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At the Market Offering Program(3)</w:t>
            </w:r>
          </w:p>
        </w:tc>
        <w:tc>
          <w:tcPr>
            <w:tcW w:w="1160" w:type="dxa"/>
            <w:tcBorders/>
            <w:shd w:fill="FFFFFF" w:val="clear"/>
            <w:tcMar>
              <w:bottom w:w="0" w:type="dxa"/>
            </w:tcMar>
            <w:vAlign w:val="center"/>
          </w:tcPr>
          <w:p>
            <w:pPr>
              <w:pStyle w:val="TableContents"/>
              <w:bidi w:val="0"/>
              <w:spacing w:before="0" w:after="0"/>
              <w:ind w:left="0" w:right="0" w:hanging="0"/>
              <w:jc w:val="left"/>
              <w:rPr/>
            </w:pPr>
            <w:r>
              <w:rPr>
                <w:rStyle w:val="Emphasis"/>
                <w:rFonts w:ascii="Times New Roman" w:hAnsi="Times New Roman"/>
                <w:caps w:val="false"/>
                <w:smallCaps w:val="false"/>
                <w:sz w:val="18"/>
              </w:rPr>
              <w:t>First Quarter</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41"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73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2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14,558,681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9"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76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107,767</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3110" w:type="dxa"/>
            <w:tcBorders>
              <w:bottom w:val="single" w:sz="2" w:space="0" w:color="000000"/>
            </w:tcBorders>
            <w:shd w:fill="CCEEFF" w:val="clear"/>
            <w:vAlign w:val="center"/>
          </w:tcPr>
          <w:p>
            <w:pPr>
              <w:pStyle w:val="TableContents"/>
              <w:bidi w:val="0"/>
              <w:spacing w:lineRule="auto" w:line="288" w:before="0" w:after="0"/>
              <w:ind w:left="0" w:right="0" w:hanging="0"/>
              <w:jc w:val="left"/>
              <w:rPr>
                <w:rFonts w:ascii="Times New Roman" w:hAnsi="Times New Roman"/>
                <w:sz w:val="18"/>
              </w:rPr>
            </w:pPr>
            <w:r>
              <w:rPr>
                <w:rFonts w:ascii="Times New Roman" w:hAnsi="Times New Roman"/>
                <w:sz w:val="18"/>
              </w:rPr>
              <w:t>At the Market Offering Program(3)</w:t>
            </w:r>
          </w:p>
        </w:tc>
        <w:tc>
          <w:tcPr>
            <w:tcW w:w="1160" w:type="dxa"/>
            <w:tcBorders>
              <w:bottom w:val="single" w:sz="2" w:space="0" w:color="000000"/>
            </w:tcBorders>
            <w:shd w:fill="CCEEFF" w:val="clear"/>
            <w:vAlign w:val="center"/>
          </w:tcPr>
          <w:p>
            <w:pPr>
              <w:pStyle w:val="TableContents"/>
              <w:bidi w:val="0"/>
              <w:spacing w:before="0" w:after="0"/>
              <w:ind w:left="0" w:right="0" w:hanging="0"/>
              <w:jc w:val="left"/>
              <w:rPr/>
            </w:pPr>
            <w:r>
              <w:rPr>
                <w:rStyle w:val="Emphasis"/>
                <w:rFonts w:ascii="Times New Roman" w:hAnsi="Times New Roman"/>
                <w:sz w:val="18"/>
              </w:rPr>
              <w:t>Second Quarter</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241"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738"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6.94</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920"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4,000,000</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765"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27,758</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r>
      <w:tr>
        <w:trPr/>
        <w:tc>
          <w:tcPr>
            <w:tcW w:w="3110" w:type="dxa"/>
            <w:tcBorders>
              <w:bottom w:val="double" w:sz="6"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Total</w:t>
            </w:r>
          </w:p>
        </w:tc>
        <w:tc>
          <w:tcPr>
            <w:tcW w:w="1160" w:type="dxa"/>
            <w:tcBorders>
              <w:bottom w:val="double" w:sz="6" w:space="0" w:color="000000"/>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241"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738" w:type="dxa"/>
            <w:tcBorders>
              <w:bottom w:val="double" w:sz="6" w:space="0" w:color="000000"/>
            </w:tcBorders>
            <w:shd w:fill="FFFFFF" w:val="clear"/>
            <w:vAlign w:val="center"/>
          </w:tcPr>
          <w:p>
            <w:pPr>
              <w:pStyle w:val="TableContents"/>
              <w:bidi w:val="0"/>
              <w:spacing w:before="0" w:after="0"/>
              <w:ind w:left="0" w:right="0" w:hanging="0"/>
              <w:jc w:val="right"/>
              <w:rPr/>
            </w:pPr>
            <w:r>
              <w:rPr>
                <w:rStyle w:val="Emphasis"/>
              </w:rPr>
              <w:t> </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920" w:type="dxa"/>
            <w:tcBorders>
              <w:bottom w:val="double" w:sz="6"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18,558,681</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139" w:type="dxa"/>
            <w:tcBorders>
              <w:bottom w:val="double" w:sz="6"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765" w:type="dxa"/>
            <w:tcBorders>
              <w:bottom w:val="double" w:sz="6"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135,525</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r>
      <w:tr>
        <w:trPr/>
        <w:tc>
          <w:tcPr>
            <w:tcW w:w="311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b/>
                <w:sz w:val="18"/>
              </w:rPr>
            </w:pPr>
            <w:r>
              <w:rPr>
                <w:rFonts w:ascii="Times New Roman" w:hAnsi="Times New Roman"/>
                <w:b/>
                <w:sz w:val="18"/>
              </w:rPr>
              <w:t>2025</w:t>
            </w:r>
          </w:p>
        </w:tc>
        <w:tc>
          <w:tcPr>
            <w:tcW w:w="11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241"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738"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92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765"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r>
      <w:tr>
        <w:trPr/>
        <w:tc>
          <w:tcPr>
            <w:tcW w:w="3110" w:type="dxa"/>
            <w:tcBorders/>
            <w:shd w:fill="FFFFFF" w:val="clear"/>
            <w:tcMar>
              <w:bottom w:w="0" w:type="dxa"/>
            </w:tcMar>
            <w:vAlign w:val="center"/>
          </w:tcPr>
          <w:p>
            <w:pPr>
              <w:pStyle w:val="TableContents"/>
              <w:bidi w:val="0"/>
              <w:spacing w:lineRule="auto" w:line="288" w:before="0" w:after="0"/>
              <w:ind w:left="0" w:right="0" w:hanging="0"/>
              <w:jc w:val="left"/>
              <w:rPr>
                <w:rFonts w:ascii="Times New Roman" w:hAnsi="Times New Roman"/>
                <w:sz w:val="18"/>
              </w:rPr>
            </w:pPr>
            <w:r>
              <w:rPr>
                <w:rFonts w:ascii="Times New Roman" w:hAnsi="Times New Roman"/>
                <w:sz w:val="18"/>
              </w:rPr>
              <w:t>At the Market Offering Program(3)</w:t>
            </w:r>
          </w:p>
        </w:tc>
        <w:tc>
          <w:tcPr>
            <w:tcW w:w="1160" w:type="dxa"/>
            <w:tcBorders/>
            <w:shd w:fill="FFFFFF" w:val="clear"/>
            <w:tcMar>
              <w:bottom w:w="0" w:type="dxa"/>
            </w:tcMar>
            <w:vAlign w:val="center"/>
          </w:tcPr>
          <w:p>
            <w:pPr>
              <w:pStyle w:val="TableContents"/>
              <w:bidi w:val="0"/>
              <w:spacing w:before="0" w:after="0"/>
              <w:ind w:left="0" w:right="0" w:hanging="0"/>
              <w:jc w:val="left"/>
              <w:rPr/>
            </w:pPr>
            <w:r>
              <w:rPr>
                <w:rStyle w:val="Emphasis"/>
                <w:rFonts w:ascii="Times New Roman" w:hAnsi="Times New Roman"/>
                <w:sz w:val="18"/>
              </w:rPr>
              <w:t>First Quarter</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241"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738"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8.17</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920"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25,142,046</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39"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765"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205,424</w:t>
            </w:r>
          </w:p>
        </w:tc>
        <w:tc>
          <w:tcPr>
            <w:tcW w:w="60" w:type="dxa"/>
            <w:tcBorders/>
            <w:shd w:fill="FFFFFF" w:val="clear"/>
            <w:tcMar>
              <w:bottom w:w="0" w:type="dxa"/>
            </w:tcMar>
            <w:vAlign w:val="center"/>
          </w:tcPr>
          <w:p>
            <w:pPr>
              <w:pStyle w:val="TableContents"/>
              <w:bidi w:val="0"/>
              <w:spacing w:before="0" w:after="0"/>
              <w:jc w:val="left"/>
              <w:rPr/>
            </w:pPr>
            <w:r>
              <w:rPr/>
              <w:t> </w:t>
            </w:r>
          </w:p>
        </w:tc>
      </w:tr>
      <w:tr>
        <w:trPr/>
        <w:tc>
          <w:tcPr>
            <w:tcW w:w="3110" w:type="dxa"/>
            <w:tcBorders/>
            <w:shd w:fill="CCEEFF" w:val="clear"/>
            <w:tcMar>
              <w:bottom w:w="0" w:type="dxa"/>
            </w:tcMar>
            <w:vAlign w:val="center"/>
          </w:tcPr>
          <w:p>
            <w:pPr>
              <w:pStyle w:val="TableContents"/>
              <w:bidi w:val="0"/>
              <w:spacing w:lineRule="auto" w:line="288"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At the Market Offering Program(3)</w:t>
            </w:r>
          </w:p>
        </w:tc>
        <w:tc>
          <w:tcPr>
            <w:tcW w:w="1160" w:type="dxa"/>
            <w:tcBorders/>
            <w:shd w:fill="CCEEFF" w:val="clear"/>
            <w:tcMar>
              <w:bottom w:w="0" w:type="dxa"/>
            </w:tcMar>
            <w:vAlign w:val="center"/>
          </w:tcPr>
          <w:p>
            <w:pPr>
              <w:pStyle w:val="TableContents"/>
              <w:bidi w:val="0"/>
              <w:spacing w:before="0" w:after="0"/>
              <w:ind w:left="0" w:right="0" w:hanging="0"/>
              <w:jc w:val="left"/>
              <w:rPr/>
            </w:pPr>
            <w:r>
              <w:rPr>
                <w:rStyle w:val="Emphasis"/>
                <w:rFonts w:ascii="Times New Roman" w:hAnsi="Times New Roman"/>
                <w:caps w:val="false"/>
                <w:smallCaps w:val="false"/>
                <w:sz w:val="18"/>
              </w:rPr>
              <w:t>Second Quarter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1" w:type="dxa"/>
            <w:tcBorders/>
            <w:shd w:fill="CCEEFF" w:val="clear"/>
            <w:tcMar>
              <w:bottom w:w="0" w:type="dxa"/>
            </w:tcMar>
            <w:vAlign w:val="center"/>
          </w:tcPr>
          <w:p>
            <w:pPr>
              <w:pStyle w:val="TableContents"/>
              <w:bidi w:val="0"/>
              <w:spacing w:before="0" w:after="283"/>
              <w:ind w:left="0" w:right="0" w:hanging="0"/>
              <w:jc w:val="left"/>
              <w:rPr/>
            </w:pPr>
            <w:r>
              <w:rPr/>
              <w:t> </w:t>
            </w:r>
          </w:p>
        </w:tc>
        <w:tc>
          <w:tcPr>
            <w:tcW w:w="73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92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19,884,204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 w:type="dxa"/>
            <w:tcBorders/>
            <w:shd w:fill="CCEEFF" w:val="clear"/>
            <w:tcMar>
              <w:bottom w:w="0" w:type="dxa"/>
            </w:tcMar>
            <w:vAlign w:val="center"/>
          </w:tcPr>
          <w:p>
            <w:pPr>
              <w:pStyle w:val="TableContents"/>
              <w:bidi w:val="0"/>
              <w:spacing w:before="0" w:after="283"/>
              <w:ind w:left="0" w:right="0" w:hanging="0"/>
              <w:jc w:val="left"/>
              <w:rPr/>
            </w:pPr>
            <w:r>
              <w:rPr/>
              <w:t> </w:t>
            </w:r>
          </w:p>
        </w:tc>
        <w:tc>
          <w:tcPr>
            <w:tcW w:w="76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139,416</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110" w:type="dxa"/>
            <w:tcBorders/>
            <w:shd w:fill="FFFFFF" w:val="clear"/>
            <w:tcMar>
              <w:bottom w:w="0" w:type="dxa"/>
            </w:tcMar>
            <w:vAlign w:val="center"/>
          </w:tcPr>
          <w:p>
            <w:pPr>
              <w:pStyle w:val="TableContents"/>
              <w:bidi w:val="0"/>
              <w:spacing w:lineRule="auto" w:line="288"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At the Market Offering Program(3)</w:t>
            </w:r>
          </w:p>
        </w:tc>
        <w:tc>
          <w:tcPr>
            <w:tcW w:w="1160" w:type="dxa"/>
            <w:tcBorders/>
            <w:shd w:fill="FFFFFF" w:val="clear"/>
            <w:tcMar>
              <w:bottom w:w="0" w:type="dxa"/>
            </w:tcMar>
            <w:vAlign w:val="center"/>
          </w:tcPr>
          <w:p>
            <w:pPr>
              <w:pStyle w:val="TableContents"/>
              <w:bidi w:val="0"/>
              <w:spacing w:before="0" w:after="0"/>
              <w:ind w:left="0" w:right="0" w:hanging="0"/>
              <w:jc w:val="left"/>
              <w:rPr/>
            </w:pPr>
            <w:r>
              <w:rPr>
                <w:rStyle w:val="Emphasis"/>
                <w:rFonts w:ascii="Times New Roman" w:hAnsi="Times New Roman"/>
                <w:caps w:val="false"/>
                <w:smallCaps w:val="false"/>
                <w:sz w:val="18"/>
              </w:rPr>
              <w:t>Third Quarter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1" w:type="dxa"/>
            <w:tcBorders/>
            <w:shd w:fill="FFFFFF" w:val="clear"/>
            <w:tcMar>
              <w:bottom w:w="0" w:type="dxa"/>
            </w:tcMar>
            <w:vAlign w:val="center"/>
          </w:tcPr>
          <w:p>
            <w:pPr>
              <w:pStyle w:val="TableContents"/>
              <w:bidi w:val="0"/>
              <w:spacing w:before="0" w:after="283"/>
              <w:ind w:left="0" w:right="0" w:hanging="0"/>
              <w:jc w:val="left"/>
              <w:rPr/>
            </w:pPr>
            <w:r>
              <w:rPr/>
              <w:t> </w:t>
            </w:r>
          </w:p>
        </w:tc>
        <w:tc>
          <w:tcPr>
            <w:tcW w:w="73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7.03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2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21,664,659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 w:type="dxa"/>
            <w:tcBorders/>
            <w:shd w:fill="FFFFFF" w:val="clear"/>
            <w:tcMar>
              <w:bottom w:w="0" w:type="dxa"/>
            </w:tcMar>
            <w:vAlign w:val="center"/>
          </w:tcPr>
          <w:p>
            <w:pPr>
              <w:pStyle w:val="TableContents"/>
              <w:bidi w:val="0"/>
              <w:spacing w:before="0" w:after="283"/>
              <w:ind w:left="0" w:right="0" w:hanging="0"/>
              <w:jc w:val="left"/>
              <w:rPr/>
            </w:pPr>
            <w:r>
              <w:rPr/>
              <w:t> </w:t>
            </w:r>
          </w:p>
        </w:tc>
        <w:tc>
          <w:tcPr>
            <w:tcW w:w="76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152,345</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3110" w:type="dxa"/>
            <w:tcBorders>
              <w:bottom w:val="single" w:sz="2" w:space="0" w:color="000000"/>
            </w:tcBorders>
            <w:shd w:fill="CCEEFF" w:val="clear"/>
            <w:vAlign w:val="center"/>
          </w:tcPr>
          <w:p>
            <w:pPr>
              <w:pStyle w:val="TableContents"/>
              <w:bidi w:val="0"/>
              <w:spacing w:lineRule="auto" w:line="288" w:before="0" w:after="0"/>
              <w:ind w:left="0" w:right="0" w:hanging="0"/>
              <w:jc w:val="left"/>
              <w:rPr>
                <w:rFonts w:ascii="Times New Roman" w:hAnsi="Times New Roman"/>
                <w:sz w:val="18"/>
              </w:rPr>
            </w:pPr>
            <w:r>
              <w:rPr>
                <w:rFonts w:ascii="Times New Roman" w:hAnsi="Times New Roman"/>
                <w:sz w:val="18"/>
              </w:rPr>
              <w:t>At the Market Offering Program(3)</w:t>
            </w:r>
          </w:p>
        </w:tc>
        <w:tc>
          <w:tcPr>
            <w:tcW w:w="1160" w:type="dxa"/>
            <w:tcBorders>
              <w:bottom w:val="single" w:sz="2" w:space="0" w:color="000000"/>
            </w:tcBorders>
            <w:shd w:fill="CCEEFF" w:val="clear"/>
            <w:vAlign w:val="center"/>
          </w:tcPr>
          <w:p>
            <w:pPr>
              <w:pStyle w:val="TableContents"/>
              <w:bidi w:val="0"/>
              <w:spacing w:before="0" w:after="0"/>
              <w:ind w:left="0" w:right="0" w:hanging="0"/>
              <w:jc w:val="left"/>
              <w:rPr/>
            </w:pPr>
            <w:r>
              <w:rPr>
                <w:rStyle w:val="Emphasis"/>
                <w:rFonts w:ascii="Times New Roman" w:hAnsi="Times New Roman"/>
                <w:sz w:val="18"/>
              </w:rPr>
              <w:t>Fourth Quarter</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241"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738"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7.24</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920"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33,738,722</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765"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244,238</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r>
      <w:tr>
        <w:trPr/>
        <w:tc>
          <w:tcPr>
            <w:tcW w:w="3110" w:type="dxa"/>
            <w:tcBorders>
              <w:bottom w:val="double" w:sz="6"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Total</w:t>
            </w:r>
          </w:p>
        </w:tc>
        <w:tc>
          <w:tcPr>
            <w:tcW w:w="1160" w:type="dxa"/>
            <w:tcBorders>
              <w:bottom w:val="double" w:sz="6" w:space="0" w:color="000000"/>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241"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738" w:type="dxa"/>
            <w:tcBorders>
              <w:bottom w:val="double" w:sz="6" w:space="0" w:color="000000"/>
            </w:tcBorders>
            <w:shd w:fill="FFFFFF" w:val="clear"/>
            <w:vAlign w:val="center"/>
          </w:tcPr>
          <w:p>
            <w:pPr>
              <w:pStyle w:val="TableContents"/>
              <w:bidi w:val="0"/>
              <w:spacing w:before="0" w:after="0"/>
              <w:ind w:left="0" w:right="0" w:hanging="0"/>
              <w:jc w:val="right"/>
              <w:rPr/>
            </w:pPr>
            <w:r>
              <w:rPr>
                <w:rStyle w:val="Emphasis"/>
              </w:rPr>
              <w:t> </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920" w:type="dxa"/>
            <w:tcBorders>
              <w:bottom w:val="double" w:sz="6"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100,429,631</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139" w:type="dxa"/>
            <w:tcBorders>
              <w:bottom w:val="double" w:sz="6"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765" w:type="dxa"/>
            <w:tcBorders>
              <w:bottom w:val="double" w:sz="6"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741,423</w:t>
            </w:r>
          </w:p>
        </w:tc>
        <w:tc>
          <w:tcPr>
            <w:tcW w:w="60" w:type="dxa"/>
            <w:tcBorders>
              <w:bottom w:val="double" w:sz="6" w:space="0" w:color="000000"/>
            </w:tcBorders>
            <w:shd w:fill="FFFF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145" w:type="dxa"/>
        <w:jc w:val="left"/>
        <w:tblInd w:w="0" w:type="dxa"/>
        <w:tblLayout w:type="fixed"/>
        <w:tblCellMar>
          <w:top w:w="0" w:type="dxa"/>
          <w:left w:w="0" w:type="dxa"/>
          <w:bottom w:w="0" w:type="dxa"/>
          <w:right w:w="0" w:type="dxa"/>
        </w:tblCellMar>
      </w:tblPr>
      <w:tblGrid>
        <w:gridCol w:w="230"/>
        <w:gridCol w:w="8915"/>
      </w:tblGrid>
      <w:tr>
        <w:trPr/>
        <w:tc>
          <w:tcPr>
            <w:tcW w:w="230"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18"/>
              </w:rPr>
              <w:t>(</w:t>
            </w:r>
            <w:r>
              <w:rPr>
                <w:rStyle w:val="Emphasis"/>
                <w:rFonts w:ascii="Times New Roman;Times;serif" w:hAnsi="Times New Roman;Times;serif"/>
                <w:caps w:val="false"/>
                <w:smallCaps w:val="false"/>
                <w:sz w:val="18"/>
              </w:rPr>
              <w:t>1</w:t>
            </w:r>
            <w:r>
              <w:rPr>
                <w:rFonts w:ascii="Times New Roman;Times;serif" w:hAnsi="Times New Roman;Times;serif"/>
                <w:caps w:val="false"/>
                <w:smallCaps w:val="false"/>
                <w:sz w:val="18"/>
              </w:rPr>
              <w:t>)</w:t>
            </w:r>
          </w:p>
        </w:tc>
        <w:tc>
          <w:tcPr>
            <w:tcW w:w="89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Weighted average price received per share is after deducting the underwriters’ discount, if applicable, and other offering costs.</w:t>
            </w:r>
          </w:p>
        </w:tc>
      </w:tr>
    </w:tbl>
    <w:tbl>
      <w:tblPr>
        <w:tblW w:w="6550" w:type="dxa"/>
        <w:jc w:val="left"/>
        <w:tblInd w:w="0" w:type="dxa"/>
        <w:tblLayout w:type="fixed"/>
        <w:tblCellMar>
          <w:top w:w="0" w:type="dxa"/>
          <w:left w:w="0" w:type="dxa"/>
          <w:bottom w:w="0" w:type="dxa"/>
          <w:right w:w="0" w:type="dxa"/>
        </w:tblCellMar>
      </w:tblPr>
      <w:tblGrid>
        <w:gridCol w:w="230"/>
        <w:gridCol w:w="6320"/>
      </w:tblGrid>
      <w:tr>
        <w:trPr/>
        <w:tc>
          <w:tcPr>
            <w:tcW w:w="230"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18"/>
              </w:rPr>
              <w:t>(</w:t>
            </w:r>
            <w:r>
              <w:rPr>
                <w:rStyle w:val="Emphasis"/>
                <w:rFonts w:ascii="Times New Roman;Times;serif" w:hAnsi="Times New Roman;Times;serif"/>
                <w:caps w:val="false"/>
                <w:smallCaps w:val="false"/>
                <w:sz w:val="18"/>
              </w:rPr>
              <w:t>2</w:t>
            </w:r>
            <w:r>
              <w:rPr>
                <w:rFonts w:ascii="Times New Roman;Times;serif" w:hAnsi="Times New Roman;Times;serif"/>
                <w:caps w:val="false"/>
                <w:smallCaps w:val="false"/>
                <w:sz w:val="18"/>
              </w:rPr>
              <w:t>)</w:t>
            </w:r>
          </w:p>
        </w:tc>
        <w:tc>
          <w:tcPr>
            <w:tcW w:w="63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proceeds are net of the underwriters’ discount, if applicable, and other offering costs.</w:t>
            </w:r>
          </w:p>
        </w:tc>
      </w:tr>
    </w:tbl>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18"/>
              </w:rPr>
              <w:t>(</w:t>
            </w:r>
            <w:r>
              <w:rPr>
                <w:rStyle w:val="Emphasis"/>
                <w:rFonts w:ascii="Times New Roman;Times;serif" w:hAnsi="Times New Roman;Times;serif"/>
                <w:caps w:val="false"/>
                <w:smallCaps w:val="false"/>
                <w:sz w:val="18"/>
              </w:rPr>
              <w:t>3</w:t>
            </w:r>
            <w:r>
              <w:rPr>
                <w:rFonts w:ascii="Times New Roman;Times;serif" w:hAnsi="Times New Roman;Times;serif"/>
                <w:caps w:val="false"/>
                <w:smallCaps w:val="false"/>
                <w:sz w:val="18"/>
              </w:rPr>
              <w:t>)</w:t>
            </w:r>
          </w:p>
        </w:tc>
        <w:tc>
          <w:tcPr>
            <w:tcW w:w="10004"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18"/>
              </w:rPr>
              <w:t xml:space="preserve">The Company has entered into </w:t>
            </w:r>
            <w:r>
              <w:rPr>
                <w:rStyle w:val="Emphasis"/>
                <w:rFonts w:ascii="Times New Roman;Times;serif" w:hAnsi="Times New Roman;Times;serif"/>
                <w:caps w:val="false"/>
                <w:smallCaps w:val="false"/>
                <w:sz w:val="18"/>
              </w:rPr>
              <w:t>14</w:t>
            </w:r>
            <w:r>
              <w:rPr>
                <w:rFonts w:ascii="Times New Roman;Times;serif" w:hAnsi="Times New Roman;Times;serif"/>
                <w:caps w:val="false"/>
                <w:smallCaps w:val="false"/>
                <w:sz w:val="18"/>
              </w:rPr>
              <w:t xml:space="preserve"> equity distribution agreements, </w:t>
            </w:r>
            <w:r>
              <w:rPr>
                <w:rStyle w:val="Emphasis"/>
                <w:rFonts w:ascii="Times New Roman;Times;serif" w:hAnsi="Times New Roman;Times;serif"/>
                <w:caps w:val="false"/>
                <w:smallCaps w:val="false"/>
                <w:sz w:val="18"/>
              </w:rPr>
              <w:t>13</w:t>
            </w:r>
            <w:r>
              <w:rPr>
                <w:rFonts w:ascii="Times New Roman;Times;serif" w:hAnsi="Times New Roman;Times;serif"/>
                <w:caps w:val="false"/>
                <w:smallCaps w:val="false"/>
                <w:sz w:val="18"/>
              </w:rPr>
              <w:t> of which have either been terminated because all shares were sold or were replaced with a subsequent agreement.</w:t>
            </w:r>
          </w:p>
        </w:tc>
      </w:tr>
    </w:tbl>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340" w:right="0" w:hanging="0"/>
        <w:jc w:val="left"/>
        <w:rPr>
          <w:rFonts w:ascii="Times New Roman" w:hAnsi="Times New Roman"/>
          <w:b/>
          <w:caps w:val="false"/>
          <w:smallCaps w:val="false"/>
          <w:sz w:val="20"/>
        </w:rPr>
      </w:pPr>
      <w:r>
        <w:rPr>
          <w:rFonts w:ascii="Times New Roman" w:hAnsi="Times New Roman"/>
          <w:b/>
          <w:caps w:val="false"/>
          <w:smallCaps w:val="false"/>
          <w:sz w:val="20"/>
        </w:rPr>
        <w:t>Stock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29, 2015, </w:t>
      </w:r>
      <w:r>
        <w:rPr>
          <w:rFonts w:ascii="Times New Roman" w:hAnsi="Times New Roman"/>
          <w:caps w:val="false"/>
          <w:smallCaps w:val="false"/>
          <w:sz w:val="20"/>
        </w:rPr>
        <w:t xml:space="preserve">the Company’s Board of Directors authorized the repurchase of up to 400,000 shares of the Company’s common stock. On </w:t>
      </w:r>
      <w:r>
        <w:rPr>
          <w:rStyle w:val="Emphasis"/>
          <w:rFonts w:ascii="Times New Roman" w:hAnsi="Times New Roman"/>
          <w:caps w:val="false"/>
          <w:smallCaps w:val="false"/>
          <w:sz w:val="20"/>
        </w:rPr>
        <w:t xml:space="preserve">February 8, 2018, </w:t>
      </w:r>
      <w:r>
        <w:rPr>
          <w:rFonts w:ascii="Times New Roman" w:hAnsi="Times New Roman"/>
          <w:caps w:val="false"/>
          <w:smallCaps w:val="false"/>
          <w:sz w:val="20"/>
        </w:rPr>
        <w:t xml:space="preserve">the Board of Directors approved an increase in the stock repurchase program for up to an additional 904,564 shares of the Company's common stock. Coupled with the 156,751 shares remaining from the original 400,000 share authorization, the increased authorization brought the total authorization to 1,061,315 shares, representing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of the Company’s then outstanding share 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9, 2021, </w:t>
      </w:r>
      <w:r>
        <w:rPr>
          <w:rFonts w:ascii="Times New Roman" w:hAnsi="Times New Roman"/>
          <w:caps w:val="false"/>
          <w:smallCaps w:val="false"/>
          <w:sz w:val="20"/>
        </w:rPr>
        <w:t xml:space="preserve">the Board of Directors approved an increase in the number of shares of the Company’s common stock available in the stock repurchase program for up to an additional 3,372,399 shares, bringing the remaining authorization under the stock repurchase program to 3,539,861 shares, representing approximately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of the Company’s then outstanding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12, 2022, </w:t>
      </w:r>
      <w:r>
        <w:rPr>
          <w:rFonts w:ascii="Times New Roman" w:hAnsi="Times New Roman"/>
          <w:caps w:val="false"/>
          <w:smallCaps w:val="false"/>
          <w:sz w:val="20"/>
        </w:rPr>
        <w:t xml:space="preserve">the Board of Directors approved an increase in the number of shares of the Company’s common stock available in the stock repurchase program for up to an additional 4,300,000 shares, bringing the remaining authorization under the stock repurchase program to 6,183,601 shares, representing approximately </w:t>
      </w:r>
      <w:r>
        <w:rPr>
          <w:rStyle w:val="Emphasis"/>
          <w:rFonts w:ascii="Times New Roman" w:hAnsi="Times New Roman"/>
          <w:caps w:val="false"/>
          <w:smallCaps w:val="false"/>
          <w:sz w:val="20"/>
        </w:rPr>
        <w:t>18%</w:t>
      </w:r>
      <w:r>
        <w:rPr>
          <w:rFonts w:ascii="Times New Roman" w:hAnsi="Times New Roman"/>
          <w:caps w:val="false"/>
          <w:smallCaps w:val="false"/>
          <w:sz w:val="20"/>
        </w:rPr>
        <w:t xml:space="preserve"> of the Company’s then outstanding shares of common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22, 2026, </w:t>
      </w:r>
      <w:r>
        <w:rPr>
          <w:rFonts w:ascii="Times New Roman" w:hAnsi="Times New Roman"/>
          <w:caps w:val="false"/>
          <w:smallCaps w:val="false"/>
          <w:sz w:val="20"/>
        </w:rPr>
        <w:t xml:space="preserve">the Board of Directors approved an increase in the number of shares of the Company’s common stock available in the stock repurchase program for up to an additional 25,000,000 shares, bringing the remaining authorization under the stock repurchase program to 26,612,580 shares, representing approximately </w:t>
      </w:r>
      <w:r>
        <w:rPr>
          <w:rStyle w:val="Emphasis"/>
          <w:rFonts w:ascii="Times New Roman" w:hAnsi="Times New Roman"/>
          <w:caps w:val="false"/>
          <w:smallCaps w:val="false"/>
          <w:sz w:val="20"/>
        </w:rPr>
        <w:t>13.3%</w:t>
      </w:r>
      <w:r>
        <w:rPr>
          <w:rFonts w:ascii="Times New Roman" w:hAnsi="Times New Roman"/>
          <w:caps w:val="false"/>
          <w:smallCaps w:val="false"/>
          <w:sz w:val="20"/>
        </w:rPr>
        <w:t xml:space="preserve"> of the Company’s currently outstanding shares of common stock.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As part of the stock repurchase program, shares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purchased in open market transactions, block purchases, through privately negotiated transactions, or pursuant to any trading plan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adopted in accordance with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of the Securities Exchange Act of </w:t>
      </w:r>
      <w:r>
        <w:rPr>
          <w:rStyle w:val="Emphasis"/>
          <w:rFonts w:ascii="Times New Roman" w:hAnsi="Times New Roman"/>
          <w:caps w:val="false"/>
          <w:smallCaps w:val="false"/>
          <w:sz w:val="20"/>
        </w:rPr>
        <w:t>1934,</w:t>
      </w:r>
      <w:r>
        <w:rPr>
          <w:rFonts w:ascii="Times New Roman" w:hAnsi="Times New Roman"/>
          <w:caps w:val="false"/>
          <w:smallCaps w:val="false"/>
          <w:sz w:val="20"/>
        </w:rPr>
        <w:t xml:space="preserve"> as amended (the “Exchange Act”). Open market repurchases will be made in accordance with Exchange Act Rule </w:t>
      </w:r>
      <w:r>
        <w:rPr>
          <w:rStyle w:val="Emphasis"/>
          <w:rFonts w:ascii="Times New Roman" w:hAnsi="Times New Roman"/>
          <w:caps w:val="false"/>
          <w:smallCaps w:val="false"/>
          <w:sz w:val="20"/>
        </w:rPr>
        <w:t>10b</w:t>
      </w:r>
      <w:r>
        <w:rPr>
          <w:rFonts w:ascii="Times New Roman" w:hAnsi="Times New Roman"/>
          <w:caps w:val="false"/>
          <w:smallCaps w:val="false"/>
          <w:sz w:val="20"/>
        </w:rPr>
        <w:t>-</w:t>
      </w:r>
      <w:r>
        <w:rPr>
          <w:rStyle w:val="Emphasis"/>
          <w:rFonts w:ascii="Times New Roman" w:hAnsi="Times New Roman"/>
          <w:caps w:val="false"/>
          <w:smallCaps w:val="false"/>
          <w:sz w:val="20"/>
        </w:rPr>
        <w:t>18,</w:t>
      </w:r>
      <w:r>
        <w:rPr>
          <w:rFonts w:ascii="Times New Roman" w:hAnsi="Times New Roman"/>
          <w:caps w:val="false"/>
          <w:smallCaps w:val="false"/>
          <w:sz w:val="20"/>
        </w:rPr>
        <w:t xml:space="preserve"> which sets certain restrictions on the method, timing, price and volume of open market stock repurchases. The timing, manner, price and amount of any repurchases will be determined by the Company in its discretion and will be subject to economic and market conditions, stock price, applicable legal requirements and other factors. The authorization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obligate the Company to acquire any particular amount of common stock. The stock repurchase program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suspended or discontinued at the Company’s discretion without prior notice and has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shd w:fill="FFFFFF" w:val="clear"/>
        </w:rPr>
        <w:t xml:space="preserve">From the inception of the stock repurchase program through </w:t>
      </w:r>
      <w:r>
        <w:rPr>
          <w:rStyle w:val="Emphasis"/>
          <w:rFonts w:ascii="Times New Roman" w:hAnsi="Times New Roman"/>
          <w:caps w:val="false"/>
          <w:smallCaps w:val="false"/>
          <w:sz w:val="20"/>
        </w:rPr>
        <w:t>June 30, 2026</w:t>
      </w:r>
      <w:r>
        <w:rPr>
          <w:rFonts w:ascii="Times New Roman" w:hAnsi="Times New Roman"/>
          <w:caps w:val="false"/>
          <w:smallCaps w:val="false"/>
          <w:sz w:val="20"/>
          <w:shd w:fill="FFFFFF" w:val="clear"/>
        </w:rPr>
        <w:t xml:space="preserve">, the Company repurchased a total of </w:t>
      </w:r>
      <w:r>
        <w:rPr>
          <w:rFonts w:ascii="Times New Roman" w:hAnsi="Times New Roman"/>
          <w:caps w:val="false"/>
          <w:smallCaps w:val="false"/>
          <w:sz w:val="20"/>
        </w:rPr>
        <w:t>7,364,383</w:t>
      </w:r>
      <w:r>
        <w:rPr>
          <w:rFonts w:ascii="Times New Roman" w:hAnsi="Times New Roman"/>
          <w:caps w:val="false"/>
          <w:smallCaps w:val="false"/>
          <w:sz w:val="20"/>
          <w:shd w:fill="FFFFFF" w:val="clear"/>
        </w:rPr>
        <w:t> shares at an aggregate cost of approximately $</w:t>
      </w:r>
      <w:r>
        <w:rPr>
          <w:rFonts w:ascii="Times New Roman" w:hAnsi="Times New Roman"/>
          <w:caps w:val="false"/>
          <w:smallCaps w:val="false"/>
          <w:sz w:val="20"/>
        </w:rPr>
        <w:t>92.1 million</w:t>
      </w:r>
      <w:r>
        <w:rPr>
          <w:rFonts w:ascii="Times New Roman" w:hAnsi="Times New Roman"/>
          <w:caps w:val="false"/>
          <w:smallCaps w:val="false"/>
          <w:sz w:val="20"/>
          <w:shd w:fill="FFFFFF" w:val="clear"/>
        </w:rPr>
        <w:t>, including commissions and fees, for a weighted average price of $</w:t>
      </w:r>
      <w:r>
        <w:rPr>
          <w:rFonts w:ascii="Times New Roman" w:hAnsi="Times New Roman"/>
          <w:caps w:val="false"/>
          <w:smallCaps w:val="false"/>
          <w:sz w:val="20"/>
        </w:rPr>
        <w:t>12.51</w:t>
      </w:r>
      <w:r>
        <w:rPr>
          <w:rFonts w:ascii="Times New Roman" w:hAnsi="Times New Roman"/>
          <w:caps w:val="false"/>
          <w:smallCaps w:val="false"/>
          <w:sz w:val="20"/>
          <w:shd w:fill="FFFFFF" w:val="clear"/>
        </w:rPr>
        <w:t xml:space="preserve"> per share.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shd w:fill="FFFFFF" w:val="clear"/>
        </w:rPr>
        <w:t>, </w:t>
      </w:r>
      <w:r>
        <w:rPr>
          <w:rFonts w:ascii="Times New Roman" w:hAnsi="Times New Roman"/>
          <w:caps w:val="false"/>
          <w:smallCaps w:val="false"/>
          <w:sz w:val="20"/>
        </w:rPr>
        <w:t>the Company repurchased a total of 1,106,557 shares at an aggregate cost of approximately $7.3 million, including commissions and fees, for a weighted average price of $6.64 per share. During the year ended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the Company repurchased a total of 1,113,224 shares at an aggregate cost of approximately $7.3 million, including commissions and fees, for a weighted average price of $6.52 per share. </w:t>
      </w:r>
      <w:r>
        <w:rPr>
          <w:rFonts w:ascii="Times New Roman" w:hAnsi="Times New Roman"/>
          <w:caps w:val="false"/>
          <w:smallCaps w:val="false"/>
          <w:sz w:val="20"/>
          <w:shd w:fill="FFFFFF" w:val="clear"/>
        </w:rPr>
        <w:t>The remaining authorization under the stock repurchase program as of </w:t>
      </w:r>
      <w:r>
        <w:rPr>
          <w:rStyle w:val="Emphasis"/>
          <w:rFonts w:ascii="Times New Roman" w:hAnsi="Times New Roman"/>
          <w:caps w:val="false"/>
          <w:smallCaps w:val="false"/>
          <w:sz w:val="20"/>
          <w:shd w:fill="FFFFFF" w:val="clear"/>
        </w:rPr>
        <w:t xml:space="preserve"> July 23, 2026</w:t>
      </w:r>
      <w:r>
        <w:rPr>
          <w:rFonts w:ascii="Times New Roman" w:hAnsi="Times New Roman"/>
          <w:caps w:val="false"/>
          <w:smallCaps w:val="false"/>
          <w:sz w:val="20"/>
          <w:shd w:fill="FFFFFF" w:val="clear"/>
        </w:rPr>
        <w:t> was </w:t>
      </w:r>
      <w:r>
        <w:rPr>
          <w:rFonts w:ascii="Times New Roman" w:hAnsi="Times New Roman"/>
          <w:caps w:val="false"/>
          <w:smallCaps w:val="false"/>
          <w:sz w:val="20"/>
        </w:rPr>
        <w:t>26,612,580</w:t>
      </w:r>
      <w:r>
        <w:rPr>
          <w:rFonts w:ascii="Times New Roman" w:hAnsi="Times New Roman"/>
          <w:caps w:val="false"/>
          <w:smallCaps w:val="false"/>
          <w:sz w:val="20"/>
          <w:shd w:fill="FFFFFF" w:val="clear"/>
        </w:rPr>
        <w:t> shares.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360"/>
        <w:jc w:val="left"/>
        <w:rPr>
          <w:rFonts w:ascii="Times New Roman" w:hAnsi="Times New Roman"/>
          <w:b/>
          <w:caps w:val="false"/>
          <w:smallCaps w:val="false"/>
          <w:sz w:val="20"/>
        </w:rPr>
      </w:pPr>
      <w:r>
        <w:rPr>
          <w:rFonts w:ascii="Times New Roman" w:hAnsi="Times New Roman"/>
          <w:b/>
          <w:caps w:val="false"/>
          <w:smallCaps w:val="false"/>
          <w:sz w:val="20"/>
        </w:rPr>
        <w:t>Cash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table below presents the cash dividends declared on the Company’s common stock.</w:t>
      </w:r>
    </w:p>
    <w:p>
      <w:pPr>
        <w:pStyle w:val="TextBody"/>
        <w:bidi w:val="0"/>
        <w:spacing w:before="0" w:after="0"/>
        <w:ind w:left="0" w:right="0" w:hanging="0"/>
        <w:jc w:val="left"/>
        <w:rPr>
          <w:caps w:val="false"/>
          <w:smallCaps w:val="false"/>
        </w:rPr>
      </w:pPr>
      <w:r>
        <w:rPr>
          <w:caps w:val="false"/>
          <w:smallCaps w:val="false"/>
        </w:rPr>
        <w:t> </w:t>
      </w:r>
    </w:p>
    <w:tbl>
      <w:tblPr>
        <w:tblW w:w="3775" w:type="dxa"/>
        <w:jc w:val="left"/>
        <w:tblInd w:w="0" w:type="dxa"/>
        <w:tblLayout w:type="fixed"/>
        <w:tblCellMar>
          <w:top w:w="0" w:type="dxa"/>
          <w:left w:w="0" w:type="dxa"/>
          <w:bottom w:w="28" w:type="dxa"/>
          <w:right w:w="0" w:type="dxa"/>
        </w:tblCellMar>
      </w:tblPr>
      <w:tblGrid>
        <w:gridCol w:w="1197"/>
        <w:gridCol w:w="64"/>
        <w:gridCol w:w="248"/>
        <w:gridCol w:w="1166"/>
        <w:gridCol w:w="64"/>
        <w:gridCol w:w="64"/>
        <w:gridCol w:w="118"/>
        <w:gridCol w:w="794"/>
        <w:gridCol w:w="60"/>
      </w:tblGrid>
      <w:tr>
        <w:trPr/>
        <w:tc>
          <w:tcPr>
            <w:tcW w:w="3715" w:type="dxa"/>
            <w:gridSpan w:val="8"/>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(in thousands, except per share amounts)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197"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Year</w:t>
            </w:r>
          </w:p>
        </w:tc>
        <w:tc>
          <w:tcPr>
            <w:tcW w:w="6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41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Per Share Amount</w:t>
            </w:r>
          </w:p>
        </w:tc>
        <w:tc>
          <w:tcPr>
            <w:tcW w:w="64" w:type="dxa"/>
            <w:tcBorders>
              <w:bottom w:val="single" w:sz="2" w:space="0" w:color="000000"/>
            </w:tcBorders>
            <w:shd w:fill="FFFFFF" w:val="clear"/>
            <w:vAlign w:val="center"/>
          </w:tcPr>
          <w:p>
            <w:pPr>
              <w:pStyle w:val="TableContents"/>
              <w:bidi w:val="0"/>
              <w:spacing w:before="0" w:after="283"/>
              <w:jc w:val="left"/>
              <w:rPr/>
            </w:pPr>
            <w:r>
              <w:rPr/>
              <w:t> </w:t>
            </w:r>
          </w:p>
        </w:tc>
        <w:tc>
          <w:tcPr>
            <w:tcW w:w="6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12"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Total</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197"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2013</w:t>
            </w:r>
          </w:p>
        </w:tc>
        <w:tc>
          <w:tcPr>
            <w:tcW w:w="64" w:type="dxa"/>
            <w:tcBorders/>
            <w:shd w:fill="CCEEFF" w:val="clear"/>
            <w:tcMar>
              <w:bottom w:w="0" w:type="dxa"/>
            </w:tcMar>
            <w:vAlign w:val="center"/>
          </w:tcPr>
          <w:p>
            <w:pPr>
              <w:pStyle w:val="TableContents"/>
              <w:bidi w:val="0"/>
              <w:spacing w:before="0" w:after="283"/>
              <w:jc w:val="left"/>
              <w:rPr/>
            </w:pPr>
            <w:r>
              <w:rPr/>
              <w:t> </w:t>
            </w:r>
          </w:p>
        </w:tc>
        <w:tc>
          <w:tcPr>
            <w:tcW w:w="248"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1166"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6.975</w:t>
            </w:r>
          </w:p>
        </w:tc>
        <w:tc>
          <w:tcPr>
            <w:tcW w:w="64"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794"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4,662</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197"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2014</w:t>
            </w:r>
          </w:p>
        </w:tc>
        <w:tc>
          <w:tcPr>
            <w:tcW w:w="64" w:type="dxa"/>
            <w:tcBorders/>
            <w:shd w:fill="FFFFFF" w:val="clear"/>
            <w:tcMar>
              <w:bottom w:w="0" w:type="dxa"/>
            </w:tcMar>
            <w:vAlign w:val="center"/>
          </w:tcPr>
          <w:p>
            <w:pPr>
              <w:pStyle w:val="TableContents"/>
              <w:bidi w:val="0"/>
              <w:spacing w:before="0" w:after="283"/>
              <w:jc w:val="left"/>
              <w:rPr/>
            </w:pPr>
            <w:r>
              <w:rPr/>
              <w:t> </w:t>
            </w:r>
          </w:p>
        </w:tc>
        <w:tc>
          <w:tcPr>
            <w:tcW w:w="248" w:type="dxa"/>
            <w:tcBorders/>
            <w:shd w:fill="FFFFFF" w:val="clear"/>
            <w:tcMar>
              <w:bottom w:w="0" w:type="dxa"/>
            </w:tcMar>
            <w:vAlign w:val="center"/>
          </w:tcPr>
          <w:p>
            <w:pPr>
              <w:pStyle w:val="TableContents"/>
              <w:bidi w:val="0"/>
              <w:spacing w:before="0" w:after="283"/>
              <w:ind w:left="0" w:right="0" w:hanging="0"/>
              <w:jc w:val="left"/>
              <w:rPr/>
            </w:pPr>
            <w:r>
              <w:rPr/>
              <w:t> </w:t>
            </w:r>
          </w:p>
        </w:tc>
        <w:tc>
          <w:tcPr>
            <w:tcW w:w="1166"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10.800</w:t>
            </w:r>
          </w:p>
        </w:tc>
        <w:tc>
          <w:tcPr>
            <w:tcW w:w="64"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ind w:left="0" w:right="0" w:hanging="0"/>
              <w:jc w:val="left"/>
              <w:rPr/>
            </w:pPr>
            <w:r>
              <w:rPr/>
              <w:t> </w:t>
            </w:r>
          </w:p>
        </w:tc>
        <w:tc>
          <w:tcPr>
            <w:tcW w:w="79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22,643</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197"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2015</w:t>
            </w:r>
          </w:p>
        </w:tc>
        <w:tc>
          <w:tcPr>
            <w:tcW w:w="64" w:type="dxa"/>
            <w:tcBorders/>
            <w:shd w:fill="CCEEFF" w:val="clear"/>
            <w:tcMar>
              <w:bottom w:w="0" w:type="dxa"/>
            </w:tcMar>
            <w:vAlign w:val="center"/>
          </w:tcPr>
          <w:p>
            <w:pPr>
              <w:pStyle w:val="TableContents"/>
              <w:bidi w:val="0"/>
              <w:spacing w:before="0" w:after="283"/>
              <w:jc w:val="left"/>
              <w:rPr/>
            </w:pPr>
            <w:r>
              <w:rPr/>
              <w:t> </w:t>
            </w:r>
          </w:p>
        </w:tc>
        <w:tc>
          <w:tcPr>
            <w:tcW w:w="248" w:type="dxa"/>
            <w:tcBorders/>
            <w:shd w:fill="CCEEFF" w:val="clear"/>
            <w:tcMar>
              <w:bottom w:w="0" w:type="dxa"/>
            </w:tcMar>
            <w:vAlign w:val="center"/>
          </w:tcPr>
          <w:p>
            <w:pPr>
              <w:pStyle w:val="TableContents"/>
              <w:bidi w:val="0"/>
              <w:spacing w:before="0" w:after="283"/>
              <w:ind w:left="0" w:right="0" w:hanging="0"/>
              <w:jc w:val="left"/>
              <w:rPr/>
            </w:pPr>
            <w:r>
              <w:rPr/>
              <w:t> </w:t>
            </w:r>
          </w:p>
        </w:tc>
        <w:tc>
          <w:tcPr>
            <w:tcW w:w="116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9.600</w:t>
            </w:r>
          </w:p>
        </w:tc>
        <w:tc>
          <w:tcPr>
            <w:tcW w:w="64"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ind w:left="0" w:right="0" w:hanging="0"/>
              <w:jc w:val="left"/>
              <w:rPr/>
            </w:pPr>
            <w:r>
              <w:rPr/>
              <w:t> </w:t>
            </w:r>
          </w:p>
        </w:tc>
        <w:tc>
          <w:tcPr>
            <w:tcW w:w="79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38,748</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197"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2016</w:t>
            </w:r>
          </w:p>
        </w:tc>
        <w:tc>
          <w:tcPr>
            <w:tcW w:w="64" w:type="dxa"/>
            <w:tcBorders/>
            <w:shd w:fill="FFFFFF" w:val="clear"/>
            <w:tcMar>
              <w:bottom w:w="0" w:type="dxa"/>
            </w:tcMar>
            <w:vAlign w:val="center"/>
          </w:tcPr>
          <w:p>
            <w:pPr>
              <w:pStyle w:val="TableContents"/>
              <w:bidi w:val="0"/>
              <w:spacing w:before="0" w:after="283"/>
              <w:jc w:val="left"/>
              <w:rPr/>
            </w:pPr>
            <w:r>
              <w:rPr/>
              <w:t> </w:t>
            </w:r>
          </w:p>
        </w:tc>
        <w:tc>
          <w:tcPr>
            <w:tcW w:w="248" w:type="dxa"/>
            <w:tcBorders/>
            <w:shd w:fill="FFFFFF" w:val="clear"/>
            <w:tcMar>
              <w:bottom w:w="0" w:type="dxa"/>
            </w:tcMar>
            <w:vAlign w:val="center"/>
          </w:tcPr>
          <w:p>
            <w:pPr>
              <w:pStyle w:val="TableContents"/>
              <w:bidi w:val="0"/>
              <w:spacing w:before="0" w:after="283"/>
              <w:ind w:left="0" w:right="0" w:hanging="0"/>
              <w:jc w:val="left"/>
              <w:rPr/>
            </w:pPr>
            <w:r>
              <w:rPr/>
              <w:t> </w:t>
            </w:r>
          </w:p>
        </w:tc>
        <w:tc>
          <w:tcPr>
            <w:tcW w:w="1166"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8.400</w:t>
            </w:r>
          </w:p>
        </w:tc>
        <w:tc>
          <w:tcPr>
            <w:tcW w:w="64"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ind w:left="0" w:right="0" w:hanging="0"/>
              <w:jc w:val="left"/>
              <w:rPr/>
            </w:pPr>
            <w:r>
              <w:rPr/>
              <w:t> </w:t>
            </w:r>
          </w:p>
        </w:tc>
        <w:tc>
          <w:tcPr>
            <w:tcW w:w="79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41,388</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197"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2017</w:t>
            </w:r>
          </w:p>
        </w:tc>
        <w:tc>
          <w:tcPr>
            <w:tcW w:w="64" w:type="dxa"/>
            <w:tcBorders/>
            <w:shd w:fill="CCEEFF" w:val="clear"/>
            <w:tcMar>
              <w:bottom w:w="0" w:type="dxa"/>
            </w:tcMar>
            <w:vAlign w:val="center"/>
          </w:tcPr>
          <w:p>
            <w:pPr>
              <w:pStyle w:val="TableContents"/>
              <w:bidi w:val="0"/>
              <w:spacing w:before="0" w:after="283"/>
              <w:jc w:val="left"/>
              <w:rPr/>
            </w:pPr>
            <w:r>
              <w:rPr/>
              <w:t> </w:t>
            </w:r>
          </w:p>
        </w:tc>
        <w:tc>
          <w:tcPr>
            <w:tcW w:w="248" w:type="dxa"/>
            <w:tcBorders/>
            <w:shd w:fill="CCEEFF" w:val="clear"/>
            <w:tcMar>
              <w:bottom w:w="0" w:type="dxa"/>
            </w:tcMar>
            <w:vAlign w:val="center"/>
          </w:tcPr>
          <w:p>
            <w:pPr>
              <w:pStyle w:val="TableContents"/>
              <w:bidi w:val="0"/>
              <w:spacing w:before="0" w:after="283"/>
              <w:ind w:left="0" w:right="0" w:hanging="0"/>
              <w:jc w:val="left"/>
              <w:rPr/>
            </w:pPr>
            <w:r>
              <w:rPr/>
              <w:t> </w:t>
            </w:r>
          </w:p>
        </w:tc>
        <w:tc>
          <w:tcPr>
            <w:tcW w:w="116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8.400</w:t>
            </w:r>
          </w:p>
        </w:tc>
        <w:tc>
          <w:tcPr>
            <w:tcW w:w="64"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ind w:left="0" w:right="0" w:hanging="0"/>
              <w:jc w:val="left"/>
              <w:rPr/>
            </w:pPr>
            <w:r>
              <w:rPr/>
              <w:t> </w:t>
            </w:r>
          </w:p>
        </w:tc>
        <w:tc>
          <w:tcPr>
            <w:tcW w:w="79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70,717</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197"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2018</w:t>
            </w:r>
          </w:p>
        </w:tc>
        <w:tc>
          <w:tcPr>
            <w:tcW w:w="64" w:type="dxa"/>
            <w:tcBorders/>
            <w:shd w:fill="FFFFFF" w:val="clear"/>
            <w:tcMar>
              <w:bottom w:w="0" w:type="dxa"/>
            </w:tcMar>
            <w:vAlign w:val="center"/>
          </w:tcPr>
          <w:p>
            <w:pPr>
              <w:pStyle w:val="TableContents"/>
              <w:bidi w:val="0"/>
              <w:spacing w:before="0" w:after="283"/>
              <w:jc w:val="left"/>
              <w:rPr/>
            </w:pPr>
            <w:r>
              <w:rPr/>
              <w:t> </w:t>
            </w:r>
          </w:p>
        </w:tc>
        <w:tc>
          <w:tcPr>
            <w:tcW w:w="248" w:type="dxa"/>
            <w:tcBorders/>
            <w:shd w:fill="FFFFFF" w:val="clear"/>
            <w:tcMar>
              <w:bottom w:w="0" w:type="dxa"/>
            </w:tcMar>
            <w:vAlign w:val="center"/>
          </w:tcPr>
          <w:p>
            <w:pPr>
              <w:pStyle w:val="TableContents"/>
              <w:bidi w:val="0"/>
              <w:spacing w:before="0" w:after="283"/>
              <w:ind w:left="0" w:right="0" w:hanging="0"/>
              <w:jc w:val="left"/>
              <w:rPr/>
            </w:pPr>
            <w:r>
              <w:rPr/>
              <w:t> </w:t>
            </w:r>
          </w:p>
        </w:tc>
        <w:tc>
          <w:tcPr>
            <w:tcW w:w="1166"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5.350</w:t>
            </w:r>
          </w:p>
        </w:tc>
        <w:tc>
          <w:tcPr>
            <w:tcW w:w="64"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ind w:left="0" w:right="0" w:hanging="0"/>
              <w:jc w:val="left"/>
              <w:rPr/>
            </w:pPr>
            <w:r>
              <w:rPr/>
              <w:t> </w:t>
            </w:r>
          </w:p>
        </w:tc>
        <w:tc>
          <w:tcPr>
            <w:tcW w:w="79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55,814</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197"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2019</w:t>
            </w:r>
          </w:p>
        </w:tc>
        <w:tc>
          <w:tcPr>
            <w:tcW w:w="64" w:type="dxa"/>
            <w:tcBorders/>
            <w:shd w:fill="CCEEFF" w:val="clear"/>
            <w:tcMar>
              <w:bottom w:w="0" w:type="dxa"/>
            </w:tcMar>
            <w:vAlign w:val="center"/>
          </w:tcPr>
          <w:p>
            <w:pPr>
              <w:pStyle w:val="TableContents"/>
              <w:bidi w:val="0"/>
              <w:spacing w:before="0" w:after="283"/>
              <w:jc w:val="left"/>
              <w:rPr/>
            </w:pPr>
            <w:r>
              <w:rPr/>
              <w:t> </w:t>
            </w:r>
          </w:p>
        </w:tc>
        <w:tc>
          <w:tcPr>
            <w:tcW w:w="248" w:type="dxa"/>
            <w:tcBorders/>
            <w:shd w:fill="CCEEFF" w:val="clear"/>
            <w:tcMar>
              <w:bottom w:w="0" w:type="dxa"/>
            </w:tcMar>
            <w:vAlign w:val="center"/>
          </w:tcPr>
          <w:p>
            <w:pPr>
              <w:pStyle w:val="TableContents"/>
              <w:bidi w:val="0"/>
              <w:spacing w:before="0" w:after="283"/>
              <w:ind w:left="0" w:right="0" w:hanging="0"/>
              <w:jc w:val="left"/>
              <w:rPr/>
            </w:pPr>
            <w:r>
              <w:rPr/>
              <w:t> </w:t>
            </w:r>
          </w:p>
        </w:tc>
        <w:tc>
          <w:tcPr>
            <w:tcW w:w="116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4.800</w:t>
            </w:r>
          </w:p>
        </w:tc>
        <w:tc>
          <w:tcPr>
            <w:tcW w:w="64"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ind w:left="0" w:right="0" w:hanging="0"/>
              <w:jc w:val="left"/>
              <w:rPr/>
            </w:pPr>
            <w:r>
              <w:rPr/>
              <w:t> </w:t>
            </w:r>
          </w:p>
        </w:tc>
        <w:tc>
          <w:tcPr>
            <w:tcW w:w="79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54,421</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197"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2020</w:t>
            </w:r>
          </w:p>
        </w:tc>
        <w:tc>
          <w:tcPr>
            <w:tcW w:w="64" w:type="dxa"/>
            <w:tcBorders/>
            <w:shd w:fill="FFFFFF" w:val="clear"/>
            <w:tcMar>
              <w:bottom w:w="0" w:type="dxa"/>
            </w:tcMar>
            <w:vAlign w:val="center"/>
          </w:tcPr>
          <w:p>
            <w:pPr>
              <w:pStyle w:val="TableContents"/>
              <w:bidi w:val="0"/>
              <w:spacing w:before="0" w:after="283"/>
              <w:jc w:val="left"/>
              <w:rPr/>
            </w:pPr>
            <w:r>
              <w:rPr/>
              <w:t> </w:t>
            </w:r>
          </w:p>
        </w:tc>
        <w:tc>
          <w:tcPr>
            <w:tcW w:w="248" w:type="dxa"/>
            <w:tcBorders/>
            <w:shd w:fill="FFFFFF" w:val="clear"/>
            <w:tcMar>
              <w:bottom w:w="0" w:type="dxa"/>
            </w:tcMar>
            <w:vAlign w:val="center"/>
          </w:tcPr>
          <w:p>
            <w:pPr>
              <w:pStyle w:val="TableContents"/>
              <w:bidi w:val="0"/>
              <w:spacing w:before="0" w:after="283"/>
              <w:ind w:left="0" w:right="0" w:hanging="0"/>
              <w:jc w:val="left"/>
              <w:rPr/>
            </w:pPr>
            <w:r>
              <w:rPr/>
              <w:t> </w:t>
            </w:r>
          </w:p>
        </w:tc>
        <w:tc>
          <w:tcPr>
            <w:tcW w:w="1166"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3.950</w:t>
            </w:r>
          </w:p>
        </w:tc>
        <w:tc>
          <w:tcPr>
            <w:tcW w:w="64"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ind w:left="0" w:right="0" w:hanging="0"/>
              <w:jc w:val="left"/>
              <w:rPr/>
            </w:pPr>
            <w:r>
              <w:rPr/>
              <w:t> </w:t>
            </w:r>
          </w:p>
        </w:tc>
        <w:tc>
          <w:tcPr>
            <w:tcW w:w="79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53,570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197"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2021</w:t>
            </w:r>
          </w:p>
        </w:tc>
        <w:tc>
          <w:tcPr>
            <w:tcW w:w="64" w:type="dxa"/>
            <w:tcBorders/>
            <w:shd w:fill="CCEEFF" w:val="clear"/>
            <w:tcMar>
              <w:bottom w:w="0" w:type="dxa"/>
            </w:tcMar>
            <w:vAlign w:val="center"/>
          </w:tcPr>
          <w:p>
            <w:pPr>
              <w:pStyle w:val="TableContents"/>
              <w:bidi w:val="0"/>
              <w:spacing w:before="0" w:after="283"/>
              <w:jc w:val="left"/>
              <w:rPr/>
            </w:pPr>
            <w:r>
              <w:rPr/>
              <w:t> </w:t>
            </w:r>
          </w:p>
        </w:tc>
        <w:tc>
          <w:tcPr>
            <w:tcW w:w="248" w:type="dxa"/>
            <w:tcBorders/>
            <w:shd w:fill="CCEEFF" w:val="clear"/>
            <w:tcMar>
              <w:bottom w:w="0" w:type="dxa"/>
            </w:tcMar>
            <w:vAlign w:val="center"/>
          </w:tcPr>
          <w:p>
            <w:pPr>
              <w:pStyle w:val="TableContents"/>
              <w:bidi w:val="0"/>
              <w:spacing w:before="0" w:after="283"/>
              <w:ind w:left="0" w:right="0" w:hanging="0"/>
              <w:jc w:val="left"/>
              <w:rPr/>
            </w:pPr>
            <w:r>
              <w:rPr/>
              <w:t> </w:t>
            </w:r>
          </w:p>
        </w:tc>
        <w:tc>
          <w:tcPr>
            <w:tcW w:w="116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3.900</w:t>
            </w:r>
          </w:p>
        </w:tc>
        <w:tc>
          <w:tcPr>
            <w:tcW w:w="64"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ind w:left="0" w:right="0" w:hanging="0"/>
              <w:jc w:val="left"/>
              <w:rPr/>
            </w:pPr>
            <w:r>
              <w:rPr/>
              <w:t> </w:t>
            </w:r>
          </w:p>
        </w:tc>
        <w:tc>
          <w:tcPr>
            <w:tcW w:w="79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97,601</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197"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2022</w:t>
            </w:r>
          </w:p>
        </w:tc>
        <w:tc>
          <w:tcPr>
            <w:tcW w:w="64" w:type="dxa"/>
            <w:tcBorders/>
            <w:shd w:fill="FFFFFF" w:val="clear"/>
            <w:tcMar>
              <w:bottom w:w="0" w:type="dxa"/>
            </w:tcMar>
            <w:vAlign w:val="center"/>
          </w:tcPr>
          <w:p>
            <w:pPr>
              <w:pStyle w:val="TableContents"/>
              <w:bidi w:val="0"/>
              <w:spacing w:before="0" w:after="283"/>
              <w:jc w:val="left"/>
              <w:rPr/>
            </w:pPr>
            <w:r>
              <w:rPr/>
              <w:t> </w:t>
            </w:r>
          </w:p>
        </w:tc>
        <w:tc>
          <w:tcPr>
            <w:tcW w:w="248" w:type="dxa"/>
            <w:tcBorders/>
            <w:shd w:fill="FFFFFF" w:val="clear"/>
            <w:tcMar>
              <w:bottom w:w="0" w:type="dxa"/>
            </w:tcMar>
            <w:vAlign w:val="center"/>
          </w:tcPr>
          <w:p>
            <w:pPr>
              <w:pStyle w:val="TableContents"/>
              <w:bidi w:val="0"/>
              <w:spacing w:before="0" w:after="283"/>
              <w:ind w:left="0" w:right="0" w:hanging="0"/>
              <w:jc w:val="left"/>
              <w:rPr/>
            </w:pPr>
            <w:r>
              <w:rPr/>
              <w:t> </w:t>
            </w:r>
          </w:p>
        </w:tc>
        <w:tc>
          <w:tcPr>
            <w:tcW w:w="1166"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2.475</w:t>
            </w:r>
          </w:p>
        </w:tc>
        <w:tc>
          <w:tcPr>
            <w:tcW w:w="64"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ind w:left="0" w:right="0" w:hanging="0"/>
              <w:jc w:val="left"/>
              <w:rPr/>
            </w:pPr>
            <w:r>
              <w:rPr/>
              <w:t> </w:t>
            </w:r>
          </w:p>
        </w:tc>
        <w:tc>
          <w:tcPr>
            <w:tcW w:w="79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87,906</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197"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2023</w:t>
            </w:r>
          </w:p>
        </w:tc>
        <w:tc>
          <w:tcPr>
            <w:tcW w:w="64" w:type="dxa"/>
            <w:tcBorders/>
            <w:shd w:fill="CCEEFF" w:val="clear"/>
            <w:tcMar>
              <w:bottom w:w="0" w:type="dxa"/>
            </w:tcMar>
            <w:vAlign w:val="center"/>
          </w:tcPr>
          <w:p>
            <w:pPr>
              <w:pStyle w:val="TableContents"/>
              <w:bidi w:val="0"/>
              <w:spacing w:before="0" w:after="283"/>
              <w:jc w:val="left"/>
              <w:rPr/>
            </w:pPr>
            <w:r>
              <w:rPr/>
              <w:t> </w:t>
            </w:r>
          </w:p>
        </w:tc>
        <w:tc>
          <w:tcPr>
            <w:tcW w:w="248" w:type="dxa"/>
            <w:tcBorders/>
            <w:shd w:fill="CCEEFF" w:val="clear"/>
            <w:tcMar>
              <w:bottom w:w="0" w:type="dxa"/>
            </w:tcMar>
            <w:vAlign w:val="center"/>
          </w:tcPr>
          <w:p>
            <w:pPr>
              <w:pStyle w:val="TableContents"/>
              <w:bidi w:val="0"/>
              <w:spacing w:before="0" w:after="283"/>
              <w:jc w:val="left"/>
              <w:rPr/>
            </w:pPr>
            <w:r>
              <w:rPr/>
              <w:t> </w:t>
            </w:r>
          </w:p>
        </w:tc>
        <w:tc>
          <w:tcPr>
            <w:tcW w:w="1166"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1.800</w:t>
            </w:r>
          </w:p>
        </w:tc>
        <w:tc>
          <w:tcPr>
            <w:tcW w:w="64"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794"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81,127</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197"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2024</w:t>
            </w:r>
          </w:p>
        </w:tc>
        <w:tc>
          <w:tcPr>
            <w:tcW w:w="64" w:type="dxa"/>
            <w:tcBorders/>
            <w:shd w:fill="FFFFFF" w:val="clear"/>
            <w:tcMar>
              <w:bottom w:w="0" w:type="dxa"/>
            </w:tcMar>
            <w:vAlign w:val="center"/>
          </w:tcPr>
          <w:p>
            <w:pPr>
              <w:pStyle w:val="TableContents"/>
              <w:bidi w:val="0"/>
              <w:spacing w:before="0" w:after="283"/>
              <w:jc w:val="left"/>
              <w:rPr/>
            </w:pPr>
            <w:r>
              <w:rPr/>
              <w:t> </w:t>
            </w:r>
          </w:p>
        </w:tc>
        <w:tc>
          <w:tcPr>
            <w:tcW w:w="248" w:type="dxa"/>
            <w:tcBorders/>
            <w:shd w:fill="FFFFFF" w:val="clear"/>
            <w:tcMar>
              <w:bottom w:w="0" w:type="dxa"/>
            </w:tcMar>
            <w:vAlign w:val="center"/>
          </w:tcPr>
          <w:p>
            <w:pPr>
              <w:pStyle w:val="TableContents"/>
              <w:bidi w:val="0"/>
              <w:spacing w:before="0" w:after="283"/>
              <w:jc w:val="left"/>
              <w:rPr/>
            </w:pPr>
            <w:r>
              <w:rPr/>
              <w:t> </w:t>
            </w:r>
          </w:p>
        </w:tc>
        <w:tc>
          <w:tcPr>
            <w:tcW w:w="1166"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1.440</w:t>
            </w:r>
          </w:p>
        </w:tc>
        <w:tc>
          <w:tcPr>
            <w:tcW w:w="64"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jc w:val="left"/>
              <w:rPr/>
            </w:pPr>
            <w:r>
              <w:rPr/>
              <w:t> </w:t>
            </w:r>
          </w:p>
        </w:tc>
        <w:tc>
          <w:tcPr>
            <w:tcW w:w="794"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96,309</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197"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2025</w:t>
            </w:r>
          </w:p>
        </w:tc>
        <w:tc>
          <w:tcPr>
            <w:tcW w:w="64" w:type="dxa"/>
            <w:tcBorders/>
            <w:shd w:fill="CCEEFF" w:val="clear"/>
            <w:tcMar>
              <w:bottom w:w="0" w:type="dxa"/>
            </w:tcMar>
            <w:vAlign w:val="center"/>
          </w:tcPr>
          <w:p>
            <w:pPr>
              <w:pStyle w:val="TableContents"/>
              <w:bidi w:val="0"/>
              <w:spacing w:before="0" w:after="283"/>
              <w:ind w:left="0" w:right="0" w:hanging="0"/>
              <w:jc w:val="left"/>
              <w:rPr/>
            </w:pPr>
            <w:r>
              <w:rPr/>
              <w:t> </w:t>
            </w:r>
          </w:p>
        </w:tc>
        <w:tc>
          <w:tcPr>
            <w:tcW w:w="248" w:type="dxa"/>
            <w:tcBorders/>
            <w:shd w:fill="CCEEFF" w:val="clear"/>
            <w:tcMar>
              <w:bottom w:w="0" w:type="dxa"/>
            </w:tcMar>
            <w:vAlign w:val="center"/>
          </w:tcPr>
          <w:p>
            <w:pPr>
              <w:pStyle w:val="TableContents"/>
              <w:bidi w:val="0"/>
              <w:spacing w:before="0" w:after="283"/>
              <w:ind w:left="0" w:right="0" w:hanging="0"/>
              <w:jc w:val="left"/>
              <w:rPr/>
            </w:pPr>
            <w:r>
              <w:rPr/>
              <w:t> </w:t>
            </w:r>
          </w:p>
        </w:tc>
        <w:tc>
          <w:tcPr>
            <w:tcW w:w="116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1.440</w:t>
            </w:r>
          </w:p>
        </w:tc>
        <w:tc>
          <w:tcPr>
            <w:tcW w:w="64"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ind w:left="0" w:right="0" w:hanging="0"/>
              <w:jc w:val="left"/>
              <w:rPr/>
            </w:pPr>
            <w:r>
              <w:rPr/>
              <w:t> </w:t>
            </w:r>
          </w:p>
        </w:tc>
        <w:tc>
          <w:tcPr>
            <w:tcW w:w="118" w:type="dxa"/>
            <w:tcBorders/>
            <w:shd w:fill="CCEEFF" w:val="clear"/>
            <w:tcMar>
              <w:bottom w:w="0" w:type="dxa"/>
            </w:tcMar>
            <w:vAlign w:val="center"/>
          </w:tcPr>
          <w:p>
            <w:pPr>
              <w:pStyle w:val="TableContents"/>
              <w:bidi w:val="0"/>
              <w:spacing w:before="0" w:after="283"/>
              <w:ind w:left="0" w:right="0" w:hanging="0"/>
              <w:jc w:val="left"/>
              <w:rPr/>
            </w:pPr>
            <w:r>
              <w:rPr/>
              <w:t> </w:t>
            </w:r>
          </w:p>
        </w:tc>
        <w:tc>
          <w:tcPr>
            <w:tcW w:w="79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190,930</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1197" w:type="dxa"/>
            <w:tcBorders>
              <w:bottom w:val="single" w:sz="2" w:space="0" w:color="000000"/>
            </w:tcBorders>
            <w:shd w:fill="FFFFFF" w:val="clear"/>
            <w:vAlign w:val="center"/>
          </w:tcPr>
          <w:p>
            <w:pPr>
              <w:pStyle w:val="TableContents"/>
              <w:bidi w:val="0"/>
              <w:spacing w:lineRule="auto" w:line="288" w:before="0" w:after="0"/>
              <w:ind w:left="0" w:right="0" w:hanging="0"/>
              <w:jc w:val="left"/>
              <w:rPr>
                <w:rFonts w:ascii="Times New Roman" w:hAnsi="Times New Roman"/>
                <w:sz w:val="18"/>
              </w:rPr>
            </w:pPr>
            <w:r>
              <w:rPr>
                <w:rFonts w:ascii="Times New Roman" w:hAnsi="Times New Roman"/>
                <w:sz w:val="18"/>
              </w:rPr>
              <w:t>2026 - YTD(1)</w:t>
            </w:r>
          </w:p>
        </w:tc>
        <w:tc>
          <w:tcPr>
            <w:tcW w:w="64"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248"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166"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0.760</w:t>
            </w:r>
          </w:p>
        </w:tc>
        <w:tc>
          <w:tcPr>
            <w:tcW w:w="64"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4"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18"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794"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149,256</w:t>
            </w:r>
          </w:p>
        </w:tc>
        <w:tc>
          <w:tcPr>
            <w:tcW w:w="60" w:type="dxa"/>
            <w:tcBorders>
              <w:bottom w:val="single" w:sz="2" w:space="0" w:color="000000"/>
            </w:tcBorders>
            <w:shd w:fill="FFFFFF" w:val="clear"/>
            <w:vAlign w:val="center"/>
          </w:tcPr>
          <w:p>
            <w:pPr>
              <w:pStyle w:val="TableContents"/>
              <w:bidi w:val="0"/>
              <w:spacing w:before="0" w:after="0"/>
              <w:jc w:val="left"/>
              <w:rPr/>
            </w:pPr>
            <w:r>
              <w:rPr/>
              <w:t> </w:t>
            </w:r>
          </w:p>
        </w:tc>
      </w:tr>
      <w:tr>
        <w:trPr/>
        <w:tc>
          <w:tcPr>
            <w:tcW w:w="1197" w:type="dxa"/>
            <w:tcBorders>
              <w:bottom w:val="double" w:sz="6"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Totals</w:t>
            </w:r>
          </w:p>
        </w:tc>
        <w:tc>
          <w:tcPr>
            <w:tcW w:w="64"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48"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1166"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70.090</w:t>
            </w:r>
          </w:p>
        </w:tc>
        <w:tc>
          <w:tcPr>
            <w:tcW w:w="64" w:type="dxa"/>
            <w:tcBorders>
              <w:bottom w:val="double" w:sz="6" w:space="0" w:color="000000"/>
            </w:tcBorders>
            <w:shd w:fill="CCEEFF" w:val="clear"/>
            <w:vAlign w:val="center"/>
          </w:tcPr>
          <w:p>
            <w:pPr>
              <w:pStyle w:val="TableContents"/>
              <w:bidi w:val="0"/>
              <w:spacing w:before="0" w:after="283"/>
              <w:jc w:val="left"/>
              <w:rPr/>
            </w:pPr>
            <w:r>
              <w:rPr/>
              <w:t> </w:t>
            </w:r>
          </w:p>
        </w:tc>
        <w:tc>
          <w:tcPr>
            <w:tcW w:w="64"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8"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794"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1,045,092</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18"/>
              </w:rPr>
              <w:t>(</w:t>
            </w:r>
            <w:r>
              <w:rPr>
                <w:rStyle w:val="Emphasis"/>
                <w:rFonts w:ascii="Times New Roman;Times;serif" w:hAnsi="Times New Roman;Times;serif"/>
                <w:caps w:val="false"/>
                <w:smallCaps w:val="false"/>
                <w:sz w:val="18"/>
              </w:rPr>
              <w:t>1</w:t>
            </w:r>
            <w:r>
              <w:rPr>
                <w:rFonts w:ascii="Times New Roman;Times;serif" w:hAnsi="Times New Roman;Times;serif"/>
                <w:caps w:val="false"/>
                <w:smallCaps w:val="false"/>
                <w:sz w:val="18"/>
              </w:rPr>
              <w:t>)</w:t>
            </w:r>
          </w:p>
        </w:tc>
        <w:tc>
          <w:tcPr>
            <w:tcW w:w="10026"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18"/>
              </w:rPr>
              <w:t xml:space="preserve">On </w:t>
            </w:r>
            <w:r>
              <w:rPr>
                <w:rStyle w:val="Emphasis"/>
                <w:rFonts w:ascii="Times New Roman;Times;serif" w:hAnsi="Times New Roman;Times;serif"/>
                <w:caps w:val="false"/>
                <w:smallCaps w:val="false"/>
                <w:sz w:val="18"/>
              </w:rPr>
              <w:t>July 8, 2026</w:t>
            </w:r>
            <w:r>
              <w:rPr>
                <w:rFonts w:ascii="Times New Roman;Times;serif" w:hAnsi="Times New Roman;Times;serif"/>
                <w:caps w:val="false"/>
                <w:smallCaps w:val="false"/>
                <w:sz w:val="18"/>
              </w:rPr>
              <w:t xml:space="preserve">, the Company declared a dividend of $0.10 per share to be paid on </w:t>
            </w:r>
            <w:r>
              <w:rPr>
                <w:rStyle w:val="Emphasis"/>
                <w:rFonts w:ascii="Times New Roman;Times;serif" w:hAnsi="Times New Roman;Times;serif"/>
                <w:caps w:val="false"/>
                <w:smallCaps w:val="false"/>
                <w:sz w:val="18"/>
              </w:rPr>
              <w:t>August 28, 2026</w:t>
            </w:r>
            <w:r>
              <w:rPr>
                <w:rFonts w:ascii="Times New Roman;Times;serif" w:hAnsi="Times New Roman;Times;serif"/>
                <w:caps w:val="false"/>
                <w:smallCaps w:val="false"/>
                <w:sz w:val="18"/>
              </w:rPr>
              <w:t xml:space="preserve">. The effect of this dividend is included in the table above but is </w:t>
            </w:r>
            <w:r>
              <w:rPr>
                <w:rStyle w:val="Emphasis"/>
                <w:rFonts w:ascii="Times New Roman;Times;serif" w:hAnsi="Times New Roman;Times;serif"/>
                <w:caps w:val="false"/>
                <w:smallCaps w:val="false"/>
                <w:sz w:val="18"/>
              </w:rPr>
              <w:t>not</w:t>
            </w:r>
            <w:r>
              <w:rPr>
                <w:rFonts w:ascii="Times New Roman;Times;serif" w:hAnsi="Times New Roman;Times;serif"/>
                <w:caps w:val="false"/>
                <w:smallCaps w:val="false"/>
                <w:sz w:val="18"/>
              </w:rPr>
              <w:t xml:space="preserve"> reflected in the Company’s financial statements as of </w:t>
            </w:r>
            <w:r>
              <w:rPr>
                <w:rStyle w:val="Emphasis"/>
                <w:rFonts w:ascii="Times New Roman;Times;serif" w:hAnsi="Times New Roman;Times;serif"/>
                <w:caps w:val="false"/>
                <w:smallCaps w:val="false"/>
                <w:sz w:val="18"/>
              </w:rPr>
              <w:t>June 30, 2026</w:t>
            </w:r>
            <w:r>
              <w:rPr>
                <w:rFonts w:ascii="Times New Roman;Times;serif" w:hAnsi="Times New Roman;Times;serif"/>
                <w:caps w:val="false"/>
                <w:smallCaps w:val="false"/>
                <w:sz w:val="18"/>
              </w:rPr>
              <w:t>.</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9.</w:t>
      </w:r>
      <w:r>
        <w:rPr>
          <w:rFonts w:ascii="Times New Roman" w:hAnsi="Times New Roman"/>
          <w:b/>
          <w:caps w:val="false"/>
          <w:smallCaps w:val="false"/>
          <w:sz w:val="20"/>
        </w:rPr>
        <w:t xml:space="preserve"> STOCK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the Company’s Board of Directors adopted, and the stockholders approved, the Orchid Island Capital, Inc.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Equity Incentive Plan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Incentive Plan”) to replace the Orchid Island Capital, Inc. </w:t>
      </w:r>
      <w:r>
        <w:rPr>
          <w:rStyle w:val="Emphasis"/>
          <w:rFonts w:ascii="Times New Roman" w:hAnsi="Times New Roman"/>
          <w:caps w:val="false"/>
          <w:smallCaps w:val="false"/>
          <w:sz w:val="20"/>
        </w:rPr>
        <w:t>2012</w:t>
      </w:r>
      <w:r>
        <w:rPr>
          <w:rFonts w:ascii="Times New Roman" w:hAnsi="Times New Roman"/>
          <w:caps w:val="false"/>
          <w:smallCaps w:val="false"/>
          <w:sz w:val="20"/>
        </w:rPr>
        <w:t xml:space="preserve"> Equity Incentive Plan (the </w:t>
      </w:r>
      <w:r>
        <w:rPr>
          <w:rStyle w:val="Emphasis"/>
          <w:rFonts w:ascii="Times New Roman" w:hAnsi="Times New Roman"/>
          <w:caps w:val="false"/>
          <w:smallCaps w:val="false"/>
          <w:sz w:val="20"/>
        </w:rPr>
        <w:t>“2012</w:t>
      </w:r>
      <w:r>
        <w:rPr>
          <w:rFonts w:ascii="Times New Roman" w:hAnsi="Times New Roman"/>
          <w:caps w:val="false"/>
          <w:smallCaps w:val="false"/>
          <w:sz w:val="20"/>
        </w:rPr>
        <w:t xml:space="preserve"> Incentive Plan” and together with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Incentive Plan, the “Incentive Plans”).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Incentive Plan provides for the award of stock options, stock appreciation rights, stock awards, PUs, other equity-based awards (and dividend equivalents with respect to awards of PUs and other equity-based awards) and incentive awards.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Incentive Plan is administered by the Compensation Committee of the Company’s Board of Directors except that the Company’s full Board of Directors will administer awards made to directors who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employees of the Company or its affiliates.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Incentive Plan provides for awards of up to an aggregate of 10% of the issued and outstanding shares of the Company’s common stock (on a fully diluted basis) at the time of the awards, subject to a maximum aggregate 1,473,324 shares of the Company’s common stock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issued under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Incentive Plan.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b/>
          <w:caps w:val="false"/>
          <w:smallCaps w:val="false"/>
          <w:sz w:val="20"/>
        </w:rPr>
      </w:pPr>
      <w:r>
        <w:rPr>
          <w:rFonts w:ascii="Times New Roman" w:hAnsi="Times New Roman"/>
          <w:b/>
          <w:caps w:val="false"/>
          <w:smallCaps w:val="false"/>
          <w:sz w:val="20"/>
        </w:rPr>
        <w:t>Performance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Company has issued,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in the future issue additional, PUs under the Incentive Plans to certain executive officers and employees of its Manager. PUs vest after the end of a defined performance period, based on satisfaction of the performance conditions set forth in the PU agreement. When earned, each PU will be settled by the issuance of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share of the Company’s common stock, at which time the PU will be cancelled. The PUs contain dividend equivalent rights, which entitle the Participants to receive distributions declared by the Company on common stock, but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the right to vote the underlying shares of common stock. PUs are subject to forfeiture should the participant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serve as an executive officer or employee of the Company or the Manager. Compensation expense for the PUs, included in incentive compensation on the statements of comprehensive income (loss), is recognized over the remaining vesting period once it becomes probable that the performance conditions will be achieved. The dividend payable on the PUs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was $27,000 and $6,000, respectively, and is included in “Due to affiliates” in the Company's balance sheet.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360"/>
        <w:jc w:val="left"/>
        <w:rPr/>
      </w:pPr>
      <w:r>
        <w:rPr>
          <w:rFonts w:ascii="Times New Roman" w:hAnsi="Times New Roman"/>
          <w:caps w:val="false"/>
          <w:smallCaps w:val="false"/>
          <w:sz w:val="20"/>
        </w:rPr>
        <w:t xml:space="preserve">The following table presents information related to PUs outstanding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7218" w:type="dxa"/>
        <w:jc w:val="left"/>
        <w:tblInd w:w="0" w:type="dxa"/>
        <w:tblLayout w:type="fixed"/>
        <w:tblCellMar>
          <w:top w:w="0" w:type="dxa"/>
          <w:left w:w="0" w:type="dxa"/>
          <w:bottom w:w="28" w:type="dxa"/>
          <w:right w:w="0" w:type="dxa"/>
        </w:tblCellMar>
      </w:tblPr>
      <w:tblGrid>
        <w:gridCol w:w="3680"/>
        <w:gridCol w:w="60"/>
        <w:gridCol w:w="60"/>
        <w:gridCol w:w="605"/>
        <w:gridCol w:w="80"/>
        <w:gridCol w:w="60"/>
        <w:gridCol w:w="175"/>
        <w:gridCol w:w="684"/>
        <w:gridCol w:w="60"/>
        <w:gridCol w:w="60"/>
        <w:gridCol w:w="60"/>
        <w:gridCol w:w="575"/>
        <w:gridCol w:w="80"/>
        <w:gridCol w:w="60"/>
        <w:gridCol w:w="175"/>
        <w:gridCol w:w="684"/>
        <w:gridCol w:w="60"/>
      </w:tblGrid>
      <w:tr>
        <w:trPr/>
        <w:tc>
          <w:tcPr>
            <w:tcW w:w="36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 in thousands, except per share data)</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5"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vAlign w:val="center"/>
          </w:tcPr>
          <w:p>
            <w:pPr>
              <w:pStyle w:val="TableContents"/>
              <w:bidi w:val="0"/>
              <w:spacing w:before="0" w:after="283"/>
              <w:jc w:val="left"/>
              <w:rPr/>
            </w:pPr>
            <w:r>
              <w:rPr/>
              <w:t> </w:t>
            </w:r>
          </w:p>
        </w:tc>
        <w:tc>
          <w:tcPr>
            <w:tcW w:w="684"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575"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vAlign w:val="center"/>
          </w:tcPr>
          <w:p>
            <w:pPr>
              <w:pStyle w:val="TableContents"/>
              <w:bidi w:val="0"/>
              <w:spacing w:before="0" w:after="283"/>
              <w:jc w:val="left"/>
              <w:rPr/>
            </w:pPr>
            <w:r>
              <w:rPr/>
              <w:t> </w:t>
            </w:r>
          </w:p>
        </w:tc>
        <w:tc>
          <w:tcPr>
            <w:tcW w:w="684"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6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418" w:type="dxa"/>
            <w:gridSpan w:val="14"/>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Six Months Ended June 30,</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6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64" w:type="dxa"/>
            <w:gridSpan w:val="6"/>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2026</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34" w:type="dxa"/>
            <w:gridSpan w:val="6"/>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2025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6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59"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Weighted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59"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Weighted</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6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59"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Average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59"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Average</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6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59"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Grant Date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59"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Grant Date</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6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Shares</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Fair Value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3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Shares</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Fair Value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6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Unvested, beginning of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51,463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5"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68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9.05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80,201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5"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68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10.12</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6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Granted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240,486</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shd w:fill="FFFFFF" w:val="clear"/>
            <w:tcMar>
              <w:bottom w:w="0" w:type="dxa"/>
            </w:tcMar>
            <w:vAlign w:val="center"/>
          </w:tcPr>
          <w:p>
            <w:pPr>
              <w:pStyle w:val="TableContents"/>
              <w:bidi w:val="0"/>
              <w:spacing w:before="0" w:after="283"/>
              <w:ind w:left="0" w:right="0" w:hanging="0"/>
              <w:jc w:val="left"/>
              <w:rPr/>
            </w:pPr>
            <w:r>
              <w:rPr/>
              <w:t> </w:t>
            </w:r>
          </w:p>
        </w:tc>
        <w:tc>
          <w:tcPr>
            <w:tcW w:w="68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7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18,137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shd w:fill="FFFFFF" w:val="clear"/>
            <w:tcMar>
              <w:bottom w:w="0" w:type="dxa"/>
            </w:tcMar>
            <w:vAlign w:val="center"/>
          </w:tcPr>
          <w:p>
            <w:pPr>
              <w:pStyle w:val="TableContents"/>
              <w:bidi w:val="0"/>
              <w:spacing w:before="0" w:after="283"/>
              <w:ind w:left="0" w:right="0" w:hanging="0"/>
              <w:jc w:val="left"/>
              <w:rPr/>
            </w:pPr>
            <w:r>
              <w:rPr/>
              <w:t> </w:t>
            </w:r>
          </w:p>
        </w:tc>
        <w:tc>
          <w:tcPr>
            <w:tcW w:w="68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8.27</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680" w:type="dxa"/>
            <w:tcBorders/>
            <w:shd w:fill="CCEEFF" w:val="clear"/>
            <w:tcMar>
              <w:bottom w:w="0" w:type="dxa"/>
            </w:tcMar>
            <w:vAlign w:val="center"/>
          </w:tcPr>
          <w:p>
            <w:pPr>
              <w:pStyle w:val="TableContents"/>
              <w:bidi w:val="0"/>
              <w:spacing w:lineRule="auto" w:line="288"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Forfeited(1)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jc w:val="left"/>
              <w:rPr/>
            </w:pPr>
            <w:r>
              <w:rPr/>
              <w:t> </w:t>
            </w:r>
          </w:p>
        </w:tc>
        <w:tc>
          <w:tcPr>
            <w:tcW w:w="684"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(2,393</w:t>
            </w:r>
          </w:p>
        </w:tc>
        <w:tc>
          <w:tcPr>
            <w:tcW w:w="8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jc w:val="left"/>
              <w:rPr/>
            </w:pPr>
            <w:r>
              <w:rPr/>
              <w:t> </w:t>
            </w:r>
          </w:p>
        </w:tc>
        <w:tc>
          <w:tcPr>
            <w:tcW w:w="684"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9.13</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6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Vested and issued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(23,416</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9.77</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(24,476</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11.17</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680" w:type="dxa"/>
            <w:tcBorders>
              <w:bottom w:val="double" w:sz="6"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Unvested, end of period</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60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268,533</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7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684"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7.36</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57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71,469</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7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684"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9.32</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r>
      <w:tr>
        <w:trPr/>
        <w:tc>
          <w:tcPr>
            <w:tcW w:w="36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5"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vAlign w:val="center"/>
          </w:tcPr>
          <w:p>
            <w:pPr>
              <w:pStyle w:val="TableContents"/>
              <w:bidi w:val="0"/>
              <w:spacing w:before="0" w:after="283"/>
              <w:jc w:val="left"/>
              <w:rPr/>
            </w:pPr>
            <w:r>
              <w:rPr/>
              <w:t> </w:t>
            </w:r>
          </w:p>
        </w:tc>
        <w:tc>
          <w:tcPr>
            <w:tcW w:w="684"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575"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vAlign w:val="center"/>
          </w:tcPr>
          <w:p>
            <w:pPr>
              <w:pStyle w:val="TableContents"/>
              <w:bidi w:val="0"/>
              <w:spacing w:before="0" w:after="283"/>
              <w:jc w:val="left"/>
              <w:rPr/>
            </w:pPr>
            <w:r>
              <w:rPr/>
              <w:t> </w:t>
            </w:r>
          </w:p>
        </w:tc>
        <w:tc>
          <w:tcPr>
            <w:tcW w:w="684"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6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Compensation expense during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pPr>
            <w:r>
              <w:rPr>
                <w:rStyle w:val="Emphasis"/>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5"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68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right"/>
              <w:rPr/>
            </w:pPr>
            <w:r>
              <w:rPr>
                <w:rStyle w:val="Emphasis"/>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5"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68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171</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6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Unrecognized compensation expense, end of period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5"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68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1,547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right"/>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5"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68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286</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6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Intrinsic value, end of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pPr>
            <w:r>
              <w:rPr>
                <w:rStyle w:val="Emphasis"/>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5"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68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1,872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right"/>
              <w:rPr/>
            </w:pPr>
            <w:r>
              <w:rPr>
                <w:rStyle w:val="Emphasis"/>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5"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68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501</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6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Weighted-average remaining vesting term (in years)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5" w:type="dxa"/>
            <w:tcBorders>
              <w:bottom w:val="single" w:sz="2" w:space="0" w:color="000000"/>
            </w:tcBorders>
            <w:shd w:fill="FFFFFF" w:val="clear"/>
            <w:vAlign w:val="center"/>
          </w:tcPr>
          <w:p>
            <w:pPr>
              <w:pStyle w:val="TableContents"/>
              <w:bidi w:val="0"/>
              <w:spacing w:before="0" w:after="283"/>
              <w:jc w:val="right"/>
              <w:rPr/>
            </w:pPr>
            <w:r>
              <w:rPr>
                <w:rStyle w:val="Emphasis"/>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1.8</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575" w:type="dxa"/>
            <w:tcBorders>
              <w:bottom w:val="single" w:sz="2" w:space="0" w:color="000000"/>
            </w:tcBorders>
            <w:shd w:fill="FFFFFF" w:val="clear"/>
            <w:vAlign w:val="center"/>
          </w:tcPr>
          <w:p>
            <w:pPr>
              <w:pStyle w:val="TableContents"/>
              <w:bidi w:val="0"/>
              <w:spacing w:before="0" w:after="283"/>
              <w:jc w:val="right"/>
              <w:rPr/>
            </w:pPr>
            <w:r>
              <w:rPr>
                <w:rStyle w:val="Emphasis"/>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w:t>
            </w:r>
          </w:p>
        </w:tc>
        <w:tc>
          <w:tcPr>
            <w:tcW w:w="9975"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During </w:t>
            </w:r>
            <w:r>
              <w:rPr>
                <w:rStyle w:val="Emphasis"/>
                <w:rFonts w:ascii="Times New Roman" w:hAnsi="Times New Roman"/>
                <w:caps w:val="false"/>
                <w:smallCaps w:val="false"/>
                <w:sz w:val="20"/>
              </w:rPr>
              <w:t>2025,</w:t>
            </w:r>
            <w:r>
              <w:rPr>
                <w:rFonts w:ascii="Times New Roman" w:hAnsi="Times New Roman"/>
                <w:caps w:val="false"/>
                <w:smallCaps w:val="false"/>
                <w:sz w:val="20"/>
              </w:rPr>
              <w:t> a participant's service as an employee of the Manager ended, resulting in the forfeiture of 2,393 PUs as provided in the Plans.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b/>
          <w:caps w:val="false"/>
          <w:smallCaps w:val="false"/>
          <w:sz w:val="20"/>
        </w:rPr>
      </w:pPr>
      <w:r>
        <w:rPr>
          <w:rFonts w:ascii="Times New Roman" w:hAnsi="Times New Roman"/>
          <w:b/>
          <w:caps w:val="false"/>
          <w:smallCaps w:val="false"/>
          <w:sz w:val="20"/>
        </w:rPr>
        <w:t>Stock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Company has issued,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in the future issue additional, immediately vested common stock under the Incentive Plans to certain executive officers and employees of its Manager. The following table presents information related to fully vested common stock issued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All of the fully vested shares of common stock issued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and the related compensation expense, were granted with respect to service performed during the fiscal years 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respectively. </w:t>
      </w:r>
    </w:p>
    <w:p>
      <w:pPr>
        <w:pStyle w:val="TextBody"/>
        <w:bidi w:val="0"/>
        <w:spacing w:before="0" w:after="0"/>
        <w:ind w:left="0" w:right="0" w:hanging="0"/>
        <w:jc w:val="left"/>
        <w:rPr>
          <w:caps w:val="false"/>
          <w:smallCaps w:val="false"/>
        </w:rPr>
      </w:pPr>
      <w:r>
        <w:rPr>
          <w:caps w:val="false"/>
          <w:smallCaps w:val="false"/>
        </w:rPr>
        <w:t> </w:t>
      </w:r>
    </w:p>
    <w:tbl>
      <w:tblPr>
        <w:tblW w:w="8017" w:type="dxa"/>
        <w:jc w:val="left"/>
        <w:tblInd w:w="0" w:type="dxa"/>
        <w:tblLayout w:type="fixed"/>
        <w:tblCellMar>
          <w:top w:w="0" w:type="dxa"/>
          <w:left w:w="0" w:type="dxa"/>
          <w:bottom w:w="28" w:type="dxa"/>
          <w:right w:w="0" w:type="dxa"/>
        </w:tblCellMar>
      </w:tblPr>
      <w:tblGrid>
        <w:gridCol w:w="5795"/>
        <w:gridCol w:w="60"/>
        <w:gridCol w:w="158"/>
        <w:gridCol w:w="872"/>
        <w:gridCol w:w="86"/>
        <w:gridCol w:w="86"/>
        <w:gridCol w:w="158"/>
        <w:gridCol w:w="742"/>
        <w:gridCol w:w="60"/>
      </w:tblGrid>
      <w:tr>
        <w:trPr/>
        <w:tc>
          <w:tcPr>
            <w:tcW w:w="579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 in thousands, except per share data)</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vAlign w:val="center"/>
          </w:tcPr>
          <w:p>
            <w:pPr>
              <w:pStyle w:val="TableContents"/>
              <w:bidi w:val="0"/>
              <w:spacing w:before="0" w:after="283"/>
              <w:jc w:val="left"/>
              <w:rPr/>
            </w:pPr>
            <w:r>
              <w:rPr/>
              <w:t> </w:t>
            </w:r>
          </w:p>
        </w:tc>
        <w:tc>
          <w:tcPr>
            <w:tcW w:w="872" w:type="dxa"/>
            <w:tcBorders>
              <w:bottom w:val="single" w:sz="2" w:space="0" w:color="000000"/>
            </w:tcBorders>
            <w:shd w:fill="FFFFFF" w:val="clear"/>
            <w:vAlign w:val="center"/>
          </w:tcPr>
          <w:p>
            <w:pPr>
              <w:pStyle w:val="TableContents"/>
              <w:bidi w:val="0"/>
              <w:spacing w:before="0" w:after="283"/>
              <w:jc w:val="left"/>
              <w:rPr/>
            </w:pPr>
            <w:r>
              <w:rPr/>
              <w:t> </w:t>
            </w:r>
          </w:p>
        </w:tc>
        <w:tc>
          <w:tcPr>
            <w:tcW w:w="86" w:type="dxa"/>
            <w:tcBorders>
              <w:bottom w:val="single" w:sz="2" w:space="0" w:color="000000"/>
            </w:tcBorders>
            <w:shd w:fill="FFFFFF" w:val="clear"/>
            <w:vAlign w:val="center"/>
          </w:tcPr>
          <w:p>
            <w:pPr>
              <w:pStyle w:val="TableContents"/>
              <w:bidi w:val="0"/>
              <w:spacing w:before="0" w:after="283"/>
              <w:jc w:val="left"/>
              <w:rPr/>
            </w:pPr>
            <w:r>
              <w:rPr/>
              <w:t> </w:t>
            </w:r>
          </w:p>
        </w:tc>
        <w:tc>
          <w:tcPr>
            <w:tcW w:w="86" w:type="dxa"/>
            <w:tcBorders>
              <w:bottom w:val="single" w:sz="2" w:space="0" w:color="000000"/>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vAlign w:val="center"/>
          </w:tcPr>
          <w:p>
            <w:pPr>
              <w:pStyle w:val="TableContents"/>
              <w:bidi w:val="0"/>
              <w:spacing w:before="0" w:after="283"/>
              <w:jc w:val="left"/>
              <w:rPr/>
            </w:pPr>
            <w:r>
              <w:rPr/>
              <w:t> </w:t>
            </w:r>
          </w:p>
        </w:tc>
        <w:tc>
          <w:tcPr>
            <w:tcW w:w="742"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57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102" w:type="dxa"/>
            <w:gridSpan w:val="6"/>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Six Months Ended June 30,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57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2026</w:t>
            </w:r>
          </w:p>
        </w:tc>
        <w:tc>
          <w:tcPr>
            <w:tcW w:w="86" w:type="dxa"/>
            <w:tcBorders>
              <w:bottom w:val="single" w:sz="2" w:space="0" w:color="000000"/>
            </w:tcBorders>
            <w:shd w:fill="FFFFFF" w:val="clear"/>
            <w:vAlign w:val="center"/>
          </w:tcPr>
          <w:p>
            <w:pPr>
              <w:pStyle w:val="TableContents"/>
              <w:bidi w:val="0"/>
              <w:spacing w:before="0" w:after="283"/>
              <w:jc w:val="left"/>
              <w:rPr/>
            </w:pPr>
            <w:r>
              <w:rPr/>
              <w:t> </w:t>
            </w:r>
          </w:p>
        </w:tc>
        <w:tc>
          <w:tcPr>
            <w:tcW w:w="8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0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2025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579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Fully vested shares granted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ind w:left="0" w:right="0" w:hanging="0"/>
              <w:jc w:val="left"/>
              <w:rPr/>
            </w:pPr>
            <w:r>
              <w:rPr/>
              <w:t> </w:t>
            </w:r>
          </w:p>
        </w:tc>
        <w:tc>
          <w:tcPr>
            <w:tcW w:w="872"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240,486</w:t>
            </w:r>
          </w:p>
        </w:tc>
        <w:tc>
          <w:tcPr>
            <w:tcW w:w="86"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ind w:left="0" w:right="0" w:hanging="0"/>
              <w:jc w:val="left"/>
              <w:rPr/>
            </w:pPr>
            <w:r>
              <w:rPr/>
              <w:t> </w:t>
            </w:r>
          </w:p>
        </w:tc>
        <w:tc>
          <w:tcPr>
            <w:tcW w:w="742"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18,137</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579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Weighted average grant date price per share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58"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72"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7.23</w:t>
            </w:r>
          </w:p>
        </w:tc>
        <w:tc>
          <w:tcPr>
            <w:tcW w:w="86"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ind w:left="0" w:right="0" w:hanging="0"/>
              <w:jc w:val="left"/>
              <w:rPr/>
            </w:pPr>
            <w:r>
              <w:rPr/>
              <w:t> </w:t>
            </w:r>
          </w:p>
        </w:tc>
        <w:tc>
          <w:tcPr>
            <w:tcW w:w="158"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742"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8.27</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5795" w:type="dxa"/>
            <w:tcBorders>
              <w:bottom w:val="single" w:sz="2" w:space="0" w:color="000000"/>
            </w:tcBorders>
            <w:shd w:fill="CCEEFF" w:val="clear"/>
            <w:vAlign w:val="center"/>
          </w:tcPr>
          <w:p>
            <w:pPr>
              <w:pStyle w:val="TableContents"/>
              <w:bidi w:val="0"/>
              <w:spacing w:lineRule="auto" w:line="288"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Compensation expense related to fully vested shares of common stock awards (1)</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58"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72"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1,739</w:t>
            </w:r>
          </w:p>
        </w:tc>
        <w:tc>
          <w:tcPr>
            <w:tcW w:w="86" w:type="dxa"/>
            <w:tcBorders>
              <w:bottom w:val="single" w:sz="2" w:space="0" w:color="000000"/>
            </w:tcBorders>
            <w:shd w:fill="CCEEFF" w:val="clear"/>
            <w:vAlign w:val="center"/>
          </w:tcPr>
          <w:p>
            <w:pPr>
              <w:pStyle w:val="TableContents"/>
              <w:bidi w:val="0"/>
              <w:spacing w:before="0" w:after="283"/>
              <w:jc w:val="left"/>
              <w:rPr/>
            </w:pPr>
            <w:r>
              <w:rPr/>
              <w:t> </w:t>
            </w:r>
          </w:p>
        </w:tc>
        <w:tc>
          <w:tcPr>
            <w:tcW w:w="8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58"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742"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150</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0"/>
              <w:ind w:left="0" w:right="0" w:hanging="0"/>
              <w:jc w:val="left"/>
              <w:rPr/>
            </w:pPr>
            <w:r>
              <w:rPr>
                <w:rFonts w:ascii="Times New Roman" w:hAnsi="Times New Roman"/>
                <w:caps w:val="false"/>
                <w:smallCaps w:val="false"/>
                <w:sz w:val="18"/>
              </w:rPr>
              <w:t>(</w:t>
            </w:r>
            <w:r>
              <w:rPr>
                <w:rStyle w:val="Emphasis"/>
                <w:rFonts w:ascii="Times New Roman" w:hAnsi="Times New Roman"/>
                <w:caps w:val="false"/>
                <w:smallCaps w:val="false"/>
                <w:sz w:val="18"/>
              </w:rPr>
              <w:t>1</w:t>
            </w:r>
            <w:r>
              <w:rPr>
                <w:rFonts w:ascii="Times New Roman" w:hAnsi="Times New Roman"/>
                <w:caps w:val="false"/>
                <w:smallCaps w:val="false"/>
                <w:sz w:val="18"/>
              </w:rPr>
              <w:t>) </w:t>
            </w:r>
          </w:p>
        </w:tc>
        <w:tc>
          <w:tcPr>
            <w:tcW w:w="9947" w:type="dxa"/>
            <w:tcBorders/>
            <w:vAlign w:val="center"/>
          </w:tcPr>
          <w:p>
            <w:pPr>
              <w:pStyle w:val="TableContents"/>
              <w:bidi w:val="0"/>
              <w:spacing w:before="0" w:after="0"/>
              <w:ind w:left="0" w:right="0" w:hanging="0"/>
              <w:jc w:val="left"/>
              <w:rPr/>
            </w:pPr>
            <w:r>
              <w:rPr>
                <w:rFonts w:ascii="Times New Roman" w:hAnsi="Times New Roman"/>
                <w:caps w:val="false"/>
                <w:smallCaps w:val="false"/>
                <w:sz w:val="18"/>
              </w:rPr>
              <w:t xml:space="preserve">The awards issued during the </w:t>
            </w:r>
            <w:r>
              <w:rPr>
                <w:rStyle w:val="Emphasis"/>
                <w:rFonts w:ascii="Times New Roman" w:hAnsi="Times New Roman"/>
                <w:caps w:val="false"/>
                <w:smallCaps w:val="false"/>
                <w:sz w:val="18"/>
              </w:rPr>
              <w:t>three</w:t>
            </w:r>
            <w:r>
              <w:rPr>
                <w:rFonts w:ascii="Times New Roman" w:hAnsi="Times New Roman"/>
                <w:caps w:val="false"/>
                <w:smallCaps w:val="false"/>
                <w:sz w:val="18"/>
              </w:rPr>
              <w:t xml:space="preserve"> months ended </w:t>
            </w:r>
            <w:r>
              <w:rPr>
                <w:rStyle w:val="Emphasis"/>
                <w:rFonts w:ascii="Times New Roman" w:hAnsi="Times New Roman"/>
                <w:caps w:val="false"/>
                <w:smallCaps w:val="false"/>
                <w:sz w:val="18"/>
              </w:rPr>
              <w:t>March 31, 2026 </w:t>
            </w:r>
            <w:r>
              <w:rPr>
                <w:rFonts w:ascii="Times New Roman" w:hAnsi="Times New Roman"/>
                <w:caps w:val="false"/>
                <w:smallCaps w:val="false"/>
                <w:sz w:val="18"/>
              </w:rPr>
              <w:t xml:space="preserve">and </w:t>
            </w:r>
            <w:r>
              <w:rPr>
                <w:rStyle w:val="Emphasis"/>
                <w:rFonts w:ascii="Times New Roman" w:hAnsi="Times New Roman"/>
                <w:caps w:val="false"/>
                <w:smallCaps w:val="false"/>
                <w:sz w:val="18"/>
              </w:rPr>
              <w:t>2025</w:t>
            </w:r>
            <w:r>
              <w:rPr>
                <w:rFonts w:ascii="Times New Roman" w:hAnsi="Times New Roman"/>
                <w:caps w:val="false"/>
                <w:smallCaps w:val="false"/>
                <w:sz w:val="18"/>
              </w:rPr>
              <w:t> were granted with respect to service performed in </w:t>
            </w:r>
            <w:r>
              <w:rPr>
                <w:rStyle w:val="Emphasis"/>
                <w:rFonts w:ascii="Times New Roman" w:hAnsi="Times New Roman"/>
                <w:caps w:val="false"/>
                <w:smallCaps w:val="false"/>
                <w:sz w:val="18"/>
              </w:rPr>
              <w:t>2025</w:t>
            </w:r>
            <w:r>
              <w:rPr>
                <w:rFonts w:ascii="Times New Roman" w:hAnsi="Times New Roman"/>
                <w:caps w:val="false"/>
                <w:smallCaps w:val="false"/>
                <w:sz w:val="18"/>
              </w:rPr>
              <w:t xml:space="preserve"> and </w:t>
            </w:r>
            <w:r>
              <w:rPr>
                <w:rStyle w:val="Emphasis"/>
                <w:rFonts w:ascii="Times New Roman" w:hAnsi="Times New Roman"/>
                <w:caps w:val="false"/>
                <w:smallCaps w:val="false"/>
                <w:sz w:val="18"/>
              </w:rPr>
              <w:t>2024,</w:t>
            </w:r>
            <w:r>
              <w:rPr>
                <w:rFonts w:ascii="Times New Roman" w:hAnsi="Times New Roman"/>
                <w:caps w:val="false"/>
                <w:smallCaps w:val="false"/>
                <w:sz w:val="18"/>
              </w:rPr>
              <w:t xml:space="preserve">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b/>
          <w:caps w:val="false"/>
          <w:smallCaps w:val="false"/>
          <w:sz w:val="20"/>
        </w:rPr>
      </w:pPr>
      <w:r>
        <w:rPr>
          <w:rFonts w:ascii="Times New Roman" w:hAnsi="Times New Roman"/>
          <w:b/>
          <w:caps w:val="false"/>
          <w:smallCaps w:val="false"/>
          <w:sz w:val="20"/>
        </w:rPr>
        <w:t>Deferred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Non-employee directors receive a portion of their compensation in the form of DSU awards pursuant to the Incentive Plans. Each DSU represents a right to receive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share of the Company’s common stock. Each non-employee director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elect to receive all of his or her compensation in the form of DSUs. The DSUs are immediately vested and are settled at a future date based on the election of the individual participant. Compensation expense for the DSUs is included in directors’ fees and liability insurance in the statements of comprehensive income (loss). The DSUs contain dividend equivalent rights, which entitle the participant to receive distributions declared by the Company on common stock. These dividend equivalent rights are settled in cash or additional DSUs at the participant’s election. The DSUs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the right to vote the underlying shares of common stock. The dividend payable on the DSUs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was $75,000 and $74,000, respectively, and is included in “Other liabilities” in the Company's balance sheet.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360"/>
        <w:jc w:val="left"/>
        <w:rPr/>
      </w:pPr>
      <w:r>
        <w:rPr>
          <w:rFonts w:ascii="Times New Roman" w:hAnsi="Times New Roman"/>
          <w:caps w:val="false"/>
          <w:smallCaps w:val="false"/>
          <w:sz w:val="20"/>
        </w:rPr>
        <w:t xml:space="preserve">The following table presents information related to the DSUs outstanding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338" w:type="dxa"/>
        <w:jc w:val="left"/>
        <w:tblInd w:w="0" w:type="dxa"/>
        <w:tblLayout w:type="fixed"/>
        <w:tblCellMar>
          <w:top w:w="0" w:type="dxa"/>
          <w:left w:w="0" w:type="dxa"/>
          <w:bottom w:w="28" w:type="dxa"/>
          <w:right w:w="0" w:type="dxa"/>
        </w:tblCellMar>
      </w:tblPr>
      <w:tblGrid>
        <w:gridCol w:w="2810"/>
        <w:gridCol w:w="60"/>
        <w:gridCol w:w="60"/>
        <w:gridCol w:w="605"/>
        <w:gridCol w:w="60"/>
        <w:gridCol w:w="60"/>
        <w:gridCol w:w="175"/>
        <w:gridCol w:w="684"/>
        <w:gridCol w:w="60"/>
        <w:gridCol w:w="60"/>
        <w:gridCol w:w="60"/>
        <w:gridCol w:w="605"/>
        <w:gridCol w:w="60"/>
        <w:gridCol w:w="60"/>
        <w:gridCol w:w="175"/>
        <w:gridCol w:w="684"/>
        <w:gridCol w:w="60"/>
      </w:tblGrid>
      <w:tr>
        <w:trPr/>
        <w:tc>
          <w:tcPr>
            <w:tcW w:w="281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 in thousands, except per share data)</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vAlign w:val="center"/>
          </w:tcPr>
          <w:p>
            <w:pPr>
              <w:pStyle w:val="TableContents"/>
              <w:bidi w:val="0"/>
              <w:spacing w:before="0" w:after="283"/>
              <w:jc w:val="left"/>
              <w:rPr/>
            </w:pPr>
            <w:r>
              <w:rPr/>
              <w:t> </w:t>
            </w:r>
          </w:p>
        </w:tc>
        <w:tc>
          <w:tcPr>
            <w:tcW w:w="684"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vAlign w:val="center"/>
          </w:tcPr>
          <w:p>
            <w:pPr>
              <w:pStyle w:val="TableContents"/>
              <w:bidi w:val="0"/>
              <w:spacing w:before="0" w:after="283"/>
              <w:jc w:val="left"/>
              <w:rPr/>
            </w:pPr>
            <w:r>
              <w:rPr/>
              <w:t> </w:t>
            </w:r>
          </w:p>
        </w:tc>
        <w:tc>
          <w:tcPr>
            <w:tcW w:w="684"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81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408" w:type="dxa"/>
            <w:gridSpan w:val="14"/>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Six Months Ended June 30,</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81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44" w:type="dxa"/>
            <w:gridSpan w:val="6"/>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2026</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44" w:type="dxa"/>
            <w:gridSpan w:val="6"/>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2025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81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59"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Weighted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59"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Weighted</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81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59"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Average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59"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Average</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81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59"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Grant Date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59"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Grant Date</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81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Shares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Fair Value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Shares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Fair Value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Outstanding, beginning of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232,968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5"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68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154,385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5"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68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12.98</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Granted and vested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38,464</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7.13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36,797</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7.63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810" w:type="dxa"/>
            <w:tcBorders>
              <w:bottom w:val="double" w:sz="6"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Outstanding, end of period</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60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271,432</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7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684"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10.51</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60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191,182</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7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684"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11.95</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r>
      <w:tr>
        <w:trPr/>
        <w:tc>
          <w:tcPr>
            <w:tcW w:w="281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vAlign w:val="center"/>
          </w:tcPr>
          <w:p>
            <w:pPr>
              <w:pStyle w:val="TableContents"/>
              <w:bidi w:val="0"/>
              <w:spacing w:before="0" w:after="283"/>
              <w:jc w:val="left"/>
              <w:rPr/>
            </w:pPr>
            <w:r>
              <w:rPr/>
              <w:t> </w:t>
            </w:r>
          </w:p>
        </w:tc>
        <w:tc>
          <w:tcPr>
            <w:tcW w:w="684"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vAlign w:val="center"/>
          </w:tcPr>
          <w:p>
            <w:pPr>
              <w:pStyle w:val="TableContents"/>
              <w:bidi w:val="0"/>
              <w:spacing w:before="0" w:after="283"/>
              <w:jc w:val="left"/>
              <w:rPr/>
            </w:pPr>
            <w:r>
              <w:rPr/>
              <w:t> </w:t>
            </w:r>
          </w:p>
        </w:tc>
        <w:tc>
          <w:tcPr>
            <w:tcW w:w="684"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Compensation expense during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pPr>
            <w:r>
              <w:rPr>
                <w:rStyle w:val="Emphasis"/>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5"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68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pPr>
            <w:r>
              <w:rPr>
                <w:rStyle w:val="Emphasis"/>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5"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68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229</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Intrinsic value, end of period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5" w:type="dxa"/>
            <w:tcBorders>
              <w:bottom w:val="single" w:sz="2" w:space="0" w:color="000000"/>
            </w:tcBorders>
            <w:shd w:fill="FFFFFF" w:val="clear"/>
            <w:vAlign w:val="center"/>
          </w:tcPr>
          <w:p>
            <w:pPr>
              <w:pStyle w:val="TableContents"/>
              <w:bidi w:val="0"/>
              <w:spacing w:before="0" w:after="283"/>
              <w:jc w:val="right"/>
              <w:rPr/>
            </w:pPr>
            <w:r>
              <w:rPr>
                <w:rStyle w:val="Emphasis"/>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75"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68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1,892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5" w:type="dxa"/>
            <w:tcBorders>
              <w:bottom w:val="single" w:sz="2" w:space="0" w:color="000000"/>
            </w:tcBorders>
            <w:shd w:fill="FFFFFF" w:val="clear"/>
            <w:vAlign w:val="center"/>
          </w:tcPr>
          <w:p>
            <w:pPr>
              <w:pStyle w:val="TableContents"/>
              <w:bidi w:val="0"/>
              <w:spacing w:before="0" w:after="283"/>
              <w:jc w:val="right"/>
              <w:rPr/>
            </w:pPr>
            <w:r>
              <w:rPr>
                <w:rStyle w:val="Emphasis"/>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75"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68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1,340</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10.</w:t>
      </w:r>
      <w:r>
        <w:rPr>
          <w:rFonts w:ascii="Times New Roman" w:hAnsi="Times New Roman"/>
          <w:b/>
          <w:caps w:val="false"/>
          <w:smallCaps w:val="false"/>
          <w:sz w:val="20"/>
        </w:rPr>
        <w:t xml:space="preserve">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From time to time,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become involved in various claims and legal actions arising in the ordinary course of business. Management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aware of any reported or unreported contingencies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11.</w:t>
      </w:r>
      <w:r>
        <w:rPr>
          <w:rFonts w:ascii="Times New Roman" w:hAnsi="Times New Roman"/>
          <w:b/>
          <w:caps w:val="false"/>
          <w:smallCaps w:val="false"/>
          <w:sz w:val="20"/>
        </w:rPr>
        <w:t xml:space="preserve">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Company will generally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subject to U.S. federal income tax on its REIT taxable income to the extent that it distributes its REIT taxable income to its stockholders and satisfies the ongoing REIT requirements, including meeting certain asset, income and stock ownership tests. A REIT must generally distribute at least </w:t>
      </w:r>
      <w:r>
        <w:rPr>
          <w:rStyle w:val="Emphasis"/>
          <w:rFonts w:ascii="Times New Roman" w:hAnsi="Times New Roman"/>
          <w:caps w:val="false"/>
          <w:smallCaps w:val="false"/>
          <w:sz w:val="20"/>
        </w:rPr>
        <w:t>90%</w:t>
      </w:r>
      <w:r>
        <w:rPr>
          <w:rFonts w:ascii="Times New Roman" w:hAnsi="Times New Roman"/>
          <w:caps w:val="false"/>
          <w:smallCaps w:val="false"/>
          <w:sz w:val="20"/>
        </w:rPr>
        <w:t xml:space="preserve"> of its REIT taxable income, determined without regard to the deductions for dividends paid and excluding net capital gain, to its stockholders, annually to maintain REIT status. An amount equal to the sum of which </w:t>
      </w:r>
      <w:r>
        <w:rPr>
          <w:rStyle w:val="Emphasis"/>
          <w:rFonts w:ascii="Times New Roman" w:hAnsi="Times New Roman"/>
          <w:caps w:val="false"/>
          <w:smallCaps w:val="false"/>
          <w:sz w:val="20"/>
        </w:rPr>
        <w:t>85%</w:t>
      </w:r>
      <w:r>
        <w:rPr>
          <w:rFonts w:ascii="Times New Roman" w:hAnsi="Times New Roman"/>
          <w:caps w:val="false"/>
          <w:smallCaps w:val="false"/>
          <w:sz w:val="20"/>
        </w:rPr>
        <w:t xml:space="preserve"> of its REIT ordinary income and </w:t>
      </w:r>
      <w:r>
        <w:rPr>
          <w:rStyle w:val="Emphasis"/>
          <w:rFonts w:ascii="Times New Roman" w:hAnsi="Times New Roman"/>
          <w:caps w:val="false"/>
          <w:smallCaps w:val="false"/>
          <w:sz w:val="20"/>
        </w:rPr>
        <w:t>95%</w:t>
      </w:r>
      <w:r>
        <w:rPr>
          <w:rFonts w:ascii="Times New Roman" w:hAnsi="Times New Roman"/>
          <w:caps w:val="false"/>
          <w:smallCaps w:val="false"/>
          <w:sz w:val="20"/>
        </w:rPr>
        <w:t xml:space="preserve"> of its REIT capital gain net income, plus certain undistributed income from prior taxable years, must be distributed within the taxable year, in order to avoid the imposition of a </w:t>
      </w:r>
      <w:r>
        <w:rPr>
          <w:rStyle w:val="Emphasis"/>
          <w:rFonts w:ascii="Times New Roman" w:hAnsi="Times New Roman"/>
          <w:caps w:val="false"/>
          <w:smallCaps w:val="false"/>
          <w:sz w:val="20"/>
        </w:rPr>
        <w:t>4%</w:t>
      </w:r>
      <w:r>
        <w:rPr>
          <w:rFonts w:ascii="Times New Roman" w:hAnsi="Times New Roman"/>
          <w:caps w:val="false"/>
          <w:smallCaps w:val="false"/>
          <w:sz w:val="20"/>
        </w:rPr>
        <w:t xml:space="preserve"> excise tax. The remaining balance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distributed up to the end of the following taxable year, provided the REIT elects to treat such amount as a prior year distribution and meets certain other requirements.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12.</w:t>
      </w:r>
      <w:r>
        <w:rPr>
          <w:rFonts w:ascii="Times New Roman" w:hAnsi="Times New Roman"/>
          <w:b/>
          <w:caps w:val="false"/>
          <w:smallCaps w:val="false"/>
          <w:sz w:val="20"/>
        </w:rPr>
        <w:t xml:space="preserve"> EARNINGS PER SHARE (EPS)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Company had dividend eligible PUs and DSUs that were outstanding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basic and diluted per share computations include these unvested PUs and DSUs if there is income available to common stock, as they have dividend participation rights. The unvested PUs and DSUs have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contractual obligation to share in losses. Because there 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such obligation, the unvested PUs and DSUs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included in the basic and diluted EPS computations when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income is available to common stock even though they are considered participating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360"/>
        <w:jc w:val="left"/>
        <w:rPr/>
      </w:pPr>
      <w:r>
        <w:rPr>
          <w:rFonts w:ascii="Times New Roman" w:hAnsi="Times New Roman"/>
          <w:caps w:val="false"/>
          <w:smallCaps w:val="false"/>
          <w:sz w:val="20"/>
        </w:rPr>
        <w:t xml:space="preserve">The table below reconciles the numerator and denominator of EPS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691"/>
        <w:gridCol w:w="60"/>
        <w:gridCol w:w="142"/>
        <w:gridCol w:w="784"/>
        <w:gridCol w:w="103"/>
        <w:gridCol w:w="77"/>
        <w:gridCol w:w="142"/>
        <w:gridCol w:w="784"/>
        <w:gridCol w:w="80"/>
        <w:gridCol w:w="60"/>
        <w:gridCol w:w="156"/>
        <w:gridCol w:w="858"/>
        <w:gridCol w:w="85"/>
        <w:gridCol w:w="85"/>
        <w:gridCol w:w="156"/>
        <w:gridCol w:w="858"/>
        <w:gridCol w:w="84"/>
      </w:tblGrid>
      <w:tr>
        <w:trPr/>
        <w:tc>
          <w:tcPr>
            <w:tcW w:w="5691"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(in thousands, except per share information)</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vAlign w:val="center"/>
          </w:tcPr>
          <w:p>
            <w:pPr>
              <w:pStyle w:val="TableContents"/>
              <w:bidi w:val="0"/>
              <w:spacing w:before="0" w:after="283"/>
              <w:jc w:val="left"/>
              <w:rPr/>
            </w:pPr>
            <w:r>
              <w:rPr/>
              <w:t> </w:t>
            </w:r>
          </w:p>
        </w:tc>
        <w:tc>
          <w:tcPr>
            <w:tcW w:w="784" w:type="dxa"/>
            <w:tcBorders>
              <w:bottom w:val="single" w:sz="2" w:space="0" w:color="000000"/>
            </w:tcBorders>
            <w:shd w:fill="FFFFFF" w:val="clear"/>
            <w:vAlign w:val="center"/>
          </w:tcPr>
          <w:p>
            <w:pPr>
              <w:pStyle w:val="TableContents"/>
              <w:bidi w:val="0"/>
              <w:spacing w:before="0" w:after="283"/>
              <w:jc w:val="left"/>
              <w:rPr/>
            </w:pPr>
            <w:r>
              <w:rPr/>
              <w:t> </w:t>
            </w:r>
          </w:p>
        </w:tc>
        <w:tc>
          <w:tcPr>
            <w:tcW w:w="103" w:type="dxa"/>
            <w:tcBorders>
              <w:bottom w:val="single" w:sz="2" w:space="0" w:color="000000"/>
            </w:tcBorders>
            <w:shd w:fill="FFFFFF" w:val="clear"/>
            <w:vAlign w:val="center"/>
          </w:tcPr>
          <w:p>
            <w:pPr>
              <w:pStyle w:val="TableContents"/>
              <w:bidi w:val="0"/>
              <w:spacing w:before="0" w:after="283"/>
              <w:jc w:val="left"/>
              <w:rPr/>
            </w:pPr>
            <w:r>
              <w:rPr/>
              <w:t> </w:t>
            </w:r>
          </w:p>
        </w:tc>
        <w:tc>
          <w:tcPr>
            <w:tcW w:w="77" w:type="dxa"/>
            <w:tcBorders>
              <w:bottom w:val="single" w:sz="2" w:space="0" w:color="000000"/>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vAlign w:val="center"/>
          </w:tcPr>
          <w:p>
            <w:pPr>
              <w:pStyle w:val="TableContents"/>
              <w:bidi w:val="0"/>
              <w:spacing w:before="0" w:after="283"/>
              <w:jc w:val="left"/>
              <w:rPr/>
            </w:pPr>
            <w:r>
              <w:rPr/>
              <w:t> </w:t>
            </w:r>
          </w:p>
        </w:tc>
        <w:tc>
          <w:tcPr>
            <w:tcW w:w="784"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vAlign w:val="center"/>
          </w:tcPr>
          <w:p>
            <w:pPr>
              <w:pStyle w:val="TableContents"/>
              <w:bidi w:val="0"/>
              <w:spacing w:before="0" w:after="283"/>
              <w:jc w:val="left"/>
              <w:rPr/>
            </w:pPr>
            <w:r>
              <w:rPr/>
              <w:t> </w:t>
            </w:r>
          </w:p>
        </w:tc>
        <w:tc>
          <w:tcPr>
            <w:tcW w:w="858" w:type="dxa"/>
            <w:tcBorders>
              <w:bottom w:val="single" w:sz="2" w:space="0" w:color="000000"/>
            </w:tcBorders>
            <w:shd w:fill="FFFFFF" w:val="clear"/>
            <w:vAlign w:val="center"/>
          </w:tcPr>
          <w:p>
            <w:pPr>
              <w:pStyle w:val="TableContents"/>
              <w:bidi w:val="0"/>
              <w:spacing w:before="0" w:after="283"/>
              <w:jc w:val="left"/>
              <w:rPr/>
            </w:pPr>
            <w:r>
              <w:rPr/>
              <w:t> </w:t>
            </w:r>
          </w:p>
        </w:tc>
        <w:tc>
          <w:tcPr>
            <w:tcW w:w="85" w:type="dxa"/>
            <w:tcBorders>
              <w:bottom w:val="single" w:sz="2" w:space="0" w:color="000000"/>
            </w:tcBorders>
            <w:shd w:fill="FFFFFF" w:val="clear"/>
            <w:vAlign w:val="center"/>
          </w:tcPr>
          <w:p>
            <w:pPr>
              <w:pStyle w:val="TableContents"/>
              <w:bidi w:val="0"/>
              <w:spacing w:before="0" w:after="283"/>
              <w:jc w:val="left"/>
              <w:rPr/>
            </w:pPr>
            <w:r>
              <w:rPr/>
              <w:t> </w:t>
            </w:r>
          </w:p>
        </w:tc>
        <w:tc>
          <w:tcPr>
            <w:tcW w:w="85" w:type="dxa"/>
            <w:tcBorders>
              <w:bottom w:val="single" w:sz="2" w:space="0" w:color="000000"/>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vAlign w:val="center"/>
          </w:tcPr>
          <w:p>
            <w:pPr>
              <w:pStyle w:val="TableContents"/>
              <w:bidi w:val="0"/>
              <w:spacing w:before="0" w:after="283"/>
              <w:jc w:val="left"/>
              <w:rPr/>
            </w:pPr>
            <w:r>
              <w:rPr/>
              <w:t> </w:t>
            </w:r>
          </w:p>
        </w:tc>
        <w:tc>
          <w:tcPr>
            <w:tcW w:w="858" w:type="dxa"/>
            <w:tcBorders>
              <w:bottom w:val="single" w:sz="2" w:space="0" w:color="000000"/>
            </w:tcBorders>
            <w:shd w:fill="FFFFFF" w:val="clear"/>
            <w:vAlign w:val="center"/>
          </w:tcPr>
          <w:p>
            <w:pPr>
              <w:pStyle w:val="TableContents"/>
              <w:bidi w:val="0"/>
              <w:spacing w:before="0" w:after="283"/>
              <w:jc w:val="left"/>
              <w:rPr/>
            </w:pPr>
            <w:r>
              <w:rPr/>
              <w:t> </w:t>
            </w:r>
          </w:p>
        </w:tc>
        <w:tc>
          <w:tcPr>
            <w:tcW w:w="84"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569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32" w:type="dxa"/>
            <w:gridSpan w:val="6"/>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Six Months Ended June 30,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198" w:type="dxa"/>
            <w:gridSpan w:val="6"/>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Three Months Ended June 30,</w:t>
            </w:r>
          </w:p>
        </w:tc>
        <w:tc>
          <w:tcPr>
            <w:tcW w:w="84" w:type="dxa"/>
            <w:tcBorders/>
            <w:shd w:fill="FFFFFF" w:val="clear"/>
            <w:tcMar>
              <w:bottom w:w="0" w:type="dxa"/>
            </w:tcMar>
            <w:vAlign w:val="center"/>
          </w:tcPr>
          <w:p>
            <w:pPr>
              <w:pStyle w:val="TableContents"/>
              <w:bidi w:val="0"/>
              <w:spacing w:before="0" w:after="283"/>
              <w:jc w:val="left"/>
              <w:rPr/>
            </w:pPr>
            <w:r>
              <w:rPr/>
              <w:t> </w:t>
            </w:r>
          </w:p>
        </w:tc>
      </w:tr>
      <w:tr>
        <w:trPr/>
        <w:tc>
          <w:tcPr>
            <w:tcW w:w="5691"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26"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2026</w:t>
            </w:r>
          </w:p>
        </w:tc>
        <w:tc>
          <w:tcPr>
            <w:tcW w:w="103" w:type="dxa"/>
            <w:tcBorders>
              <w:bottom w:val="single" w:sz="2" w:space="0" w:color="000000"/>
            </w:tcBorders>
            <w:shd w:fill="FFFFFF" w:val="clear"/>
            <w:vAlign w:val="center"/>
          </w:tcPr>
          <w:p>
            <w:pPr>
              <w:pStyle w:val="TableContents"/>
              <w:bidi w:val="0"/>
              <w:spacing w:before="0" w:after="283"/>
              <w:jc w:val="left"/>
              <w:rPr/>
            </w:pPr>
            <w:r>
              <w:rPr/>
              <w:t> </w:t>
            </w:r>
          </w:p>
        </w:tc>
        <w:tc>
          <w:tcPr>
            <w:tcW w:w="7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26"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2025</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1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2026</w:t>
            </w:r>
          </w:p>
        </w:tc>
        <w:tc>
          <w:tcPr>
            <w:tcW w:w="85" w:type="dxa"/>
            <w:tcBorders>
              <w:bottom w:val="single" w:sz="2" w:space="0" w:color="000000"/>
            </w:tcBorders>
            <w:shd w:fill="FFFFFF" w:val="clear"/>
            <w:vAlign w:val="center"/>
          </w:tcPr>
          <w:p>
            <w:pPr>
              <w:pStyle w:val="TableContents"/>
              <w:bidi w:val="0"/>
              <w:spacing w:before="0" w:after="283"/>
              <w:jc w:val="left"/>
              <w:rPr/>
            </w:pPr>
            <w:r>
              <w:rPr/>
              <w:t> </w:t>
            </w:r>
          </w:p>
        </w:tc>
        <w:tc>
          <w:tcPr>
            <w:tcW w:w="8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1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2025</w:t>
            </w:r>
          </w:p>
        </w:tc>
        <w:tc>
          <w:tcPr>
            <w:tcW w:w="84"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569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Basic and diluted EPS per common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784"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784"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858"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858"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r>
      <w:tr>
        <w:trPr/>
        <w:tc>
          <w:tcPr>
            <w:tcW w:w="5691"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Numerator for basic and diluted EPS per share of common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784" w:type="dxa"/>
            <w:tcBorders/>
            <w:shd w:fill="FFFFFF" w:val="clear"/>
            <w:tcMar>
              <w:bottom w:w="0" w:type="dxa"/>
            </w:tcMar>
            <w:vAlign w:val="center"/>
          </w:tcPr>
          <w:p>
            <w:pPr>
              <w:pStyle w:val="TableContents"/>
              <w:bidi w:val="0"/>
              <w:spacing w:before="0" w:after="283"/>
              <w:jc w:val="left"/>
              <w:rPr/>
            </w:pPr>
            <w:r>
              <w:rPr/>
              <w:t> </w:t>
            </w:r>
          </w:p>
        </w:tc>
        <w:tc>
          <w:tcPr>
            <w:tcW w:w="103"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784"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858"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858"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r>
      <w:tr>
        <w:trPr/>
        <w:tc>
          <w:tcPr>
            <w:tcW w:w="5691" w:type="dxa"/>
            <w:tcBorders>
              <w:bottom w:val="double" w:sz="6" w:space="0" w:color="000000"/>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income (loss) - Basic and diluted</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84"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69,237</w:t>
            </w:r>
          </w:p>
        </w:tc>
        <w:tc>
          <w:tcPr>
            <w:tcW w:w="103" w:type="dxa"/>
            <w:tcBorders>
              <w:bottom w:val="double" w:sz="6" w:space="0" w:color="000000"/>
            </w:tcBorders>
            <w:shd w:fill="CCEEFF" w:val="clear"/>
            <w:vAlign w:val="center"/>
          </w:tcPr>
          <w:p>
            <w:pPr>
              <w:pStyle w:val="TableContents"/>
              <w:bidi w:val="0"/>
              <w:spacing w:before="0" w:after="283"/>
              <w:jc w:val="left"/>
              <w:rPr/>
            </w:pPr>
            <w:r>
              <w:rPr/>
              <w:t> </w:t>
            </w:r>
          </w:p>
        </w:tc>
        <w:tc>
          <w:tcPr>
            <w:tcW w:w="77"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84"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(16,456</w:t>
            </w:r>
          </w:p>
        </w:tc>
        <w:tc>
          <w:tcPr>
            <w:tcW w:w="8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58"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89,192</w:t>
            </w:r>
          </w:p>
        </w:tc>
        <w:tc>
          <w:tcPr>
            <w:tcW w:w="85" w:type="dxa"/>
            <w:tcBorders>
              <w:bottom w:val="double" w:sz="6" w:space="0" w:color="000000"/>
            </w:tcBorders>
            <w:shd w:fill="CCEEFF" w:val="clear"/>
            <w:vAlign w:val="center"/>
          </w:tcPr>
          <w:p>
            <w:pPr>
              <w:pStyle w:val="TableContents"/>
              <w:bidi w:val="0"/>
              <w:spacing w:before="0" w:after="283"/>
              <w:jc w:val="left"/>
              <w:rPr/>
            </w:pPr>
            <w:r>
              <w:rPr/>
              <w:t> </w:t>
            </w:r>
          </w:p>
        </w:tc>
        <w:tc>
          <w:tcPr>
            <w:tcW w:w="85"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58"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(33,578</w:t>
            </w:r>
          </w:p>
        </w:tc>
        <w:tc>
          <w:tcPr>
            <w:tcW w:w="84"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5691"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Weighted average shares of common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784" w:type="dxa"/>
            <w:tcBorders/>
            <w:shd w:fill="FFFFFF" w:val="clear"/>
            <w:tcMar>
              <w:bottom w:w="0" w:type="dxa"/>
            </w:tcMar>
            <w:vAlign w:val="center"/>
          </w:tcPr>
          <w:p>
            <w:pPr>
              <w:pStyle w:val="TableContents"/>
              <w:bidi w:val="0"/>
              <w:spacing w:before="0" w:after="283"/>
              <w:jc w:val="left"/>
              <w:rPr/>
            </w:pPr>
            <w:r>
              <w:rPr/>
              <w:t> </w:t>
            </w:r>
          </w:p>
        </w:tc>
        <w:tc>
          <w:tcPr>
            <w:tcW w:w="103"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784"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858"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858"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r>
      <w:tr>
        <w:trPr/>
        <w:tc>
          <w:tcPr>
            <w:tcW w:w="5691" w:type="dxa"/>
            <w:tcBorders/>
            <w:shd w:fill="CCEEFF" w:val="clear"/>
            <w:tcMar>
              <w:bottom w:w="0" w:type="dxa"/>
            </w:tcM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Shares of common stock outstanding at the balance sheet date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ind w:left="0" w:right="0" w:hanging="0"/>
              <w:jc w:val="left"/>
              <w:rPr/>
            </w:pPr>
            <w:r>
              <w:rPr/>
              <w:t> </w:t>
            </w:r>
          </w:p>
        </w:tc>
        <w:tc>
          <w:tcPr>
            <w:tcW w:w="78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199,603</w:t>
            </w:r>
          </w:p>
        </w:tc>
        <w:tc>
          <w:tcPr>
            <w:tcW w:w="103"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ind w:left="0" w:right="0" w:hanging="0"/>
              <w:jc w:val="left"/>
              <w:rPr/>
            </w:pPr>
            <w:r>
              <w:rPr/>
              <w:t> </w:t>
            </w:r>
          </w:p>
        </w:tc>
        <w:tc>
          <w:tcPr>
            <w:tcW w:w="78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126,567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ind w:left="0" w:right="0" w:hanging="0"/>
              <w:jc w:val="left"/>
              <w:rPr/>
            </w:pPr>
            <w:r>
              <w:rPr/>
              <w:t> </w:t>
            </w:r>
          </w:p>
        </w:tc>
        <w:tc>
          <w:tcPr>
            <w:tcW w:w="85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199,603</w:t>
            </w:r>
          </w:p>
        </w:tc>
        <w:tc>
          <w:tcPr>
            <w:tcW w:w="85"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ind w:left="0" w:right="0" w:hanging="0"/>
              <w:jc w:val="left"/>
              <w:rPr/>
            </w:pPr>
            <w:r>
              <w:rPr/>
              <w:t> </w:t>
            </w:r>
          </w:p>
        </w:tc>
        <w:tc>
          <w:tcPr>
            <w:tcW w:w="85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126,567</w:t>
            </w:r>
          </w:p>
        </w:tc>
        <w:tc>
          <w:tcPr>
            <w:tcW w:w="84" w:type="dxa"/>
            <w:tcBorders/>
            <w:shd w:fill="CCEEFF" w:val="clear"/>
            <w:tcMar>
              <w:bottom w:w="0" w:type="dxa"/>
            </w:tcMar>
            <w:vAlign w:val="center"/>
          </w:tcPr>
          <w:p>
            <w:pPr>
              <w:pStyle w:val="TableContents"/>
              <w:bidi w:val="0"/>
              <w:spacing w:before="0" w:after="283"/>
              <w:jc w:val="left"/>
              <w:rPr/>
            </w:pPr>
            <w:r>
              <w:rPr/>
              <w:t> </w:t>
            </w:r>
          </w:p>
        </w:tc>
      </w:tr>
      <w:tr>
        <w:trPr/>
        <w:tc>
          <w:tcPr>
            <w:tcW w:w="5691" w:type="dxa"/>
            <w:tcBorders/>
            <w:shd w:fill="FFFFFF" w:val="clear"/>
            <w:tcMar>
              <w:bottom w:w="0" w:type="dxa"/>
            </w:tcM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Unvested dividend eligible share based compensation outstanding at the balance sheet date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ind w:left="0" w:right="0" w:hanging="0"/>
              <w:jc w:val="left"/>
              <w:rPr/>
            </w:pPr>
            <w:r>
              <w:rPr/>
              <w:t> </w:t>
            </w:r>
          </w:p>
        </w:tc>
        <w:tc>
          <w:tcPr>
            <w:tcW w:w="78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540</w:t>
            </w:r>
          </w:p>
        </w:tc>
        <w:tc>
          <w:tcPr>
            <w:tcW w:w="103"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ind w:left="0" w:right="0" w:hanging="0"/>
              <w:jc w:val="left"/>
              <w:rPr/>
            </w:pPr>
            <w:r>
              <w:rPr/>
              <w:t> </w:t>
            </w:r>
          </w:p>
        </w:tc>
        <w:tc>
          <w:tcPr>
            <w:tcW w:w="78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ind w:left="0" w:right="0" w:hanging="0"/>
              <w:jc w:val="left"/>
              <w:rPr/>
            </w:pPr>
            <w:r>
              <w:rPr/>
              <w:t> </w:t>
            </w:r>
          </w:p>
        </w:tc>
        <w:tc>
          <w:tcPr>
            <w:tcW w:w="85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540</w:t>
            </w:r>
          </w:p>
        </w:tc>
        <w:tc>
          <w:tcPr>
            <w:tcW w:w="85"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ind w:left="0" w:right="0" w:hanging="0"/>
              <w:jc w:val="left"/>
              <w:rPr/>
            </w:pPr>
            <w:r>
              <w:rPr/>
              <w:t> </w:t>
            </w:r>
          </w:p>
        </w:tc>
        <w:tc>
          <w:tcPr>
            <w:tcW w:w="85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4" w:type="dxa"/>
            <w:tcBorders/>
            <w:shd w:fill="FFFFFF" w:val="clear"/>
            <w:tcMar>
              <w:bottom w:w="0" w:type="dxa"/>
            </w:tcMar>
            <w:vAlign w:val="center"/>
          </w:tcPr>
          <w:p>
            <w:pPr>
              <w:pStyle w:val="TableContents"/>
              <w:bidi w:val="0"/>
              <w:spacing w:before="0" w:after="283"/>
              <w:jc w:val="left"/>
              <w:rPr/>
            </w:pPr>
            <w:r>
              <w:rPr/>
              <w:t> </w:t>
            </w:r>
          </w:p>
        </w:tc>
      </w:tr>
      <w:tr>
        <w:trPr/>
        <w:tc>
          <w:tcPr>
            <w:tcW w:w="5691" w:type="dxa"/>
            <w:tcBorders>
              <w:bottom w:val="single" w:sz="2" w:space="0" w:color="000000"/>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Effect of weighting</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8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(5,002</w:t>
            </w:r>
          </w:p>
        </w:tc>
        <w:tc>
          <w:tcPr>
            <w:tcW w:w="103"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77" w:type="dxa"/>
            <w:tcBorders>
              <w:bottom w:val="single" w:sz="2" w:space="0" w:color="000000"/>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8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(21,824</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5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789</w:t>
            </w:r>
          </w:p>
        </w:tc>
        <w:tc>
          <w:tcPr>
            <w:tcW w:w="85" w:type="dxa"/>
            <w:tcBorders>
              <w:bottom w:val="single" w:sz="2" w:space="0" w:color="000000"/>
            </w:tcBorders>
            <w:shd w:fill="CCEEFF" w:val="clear"/>
            <w:vAlign w:val="center"/>
          </w:tcPr>
          <w:p>
            <w:pPr>
              <w:pStyle w:val="TableContents"/>
              <w:bidi w:val="0"/>
              <w:spacing w:before="0" w:after="283"/>
              <w:jc w:val="left"/>
              <w:rPr/>
            </w:pPr>
            <w:r>
              <w:rPr/>
              <w:t> </w:t>
            </w:r>
          </w:p>
        </w:tc>
        <w:tc>
          <w:tcPr>
            <w:tcW w:w="85" w:type="dxa"/>
            <w:tcBorders>
              <w:bottom w:val="single" w:sz="2" w:space="0" w:color="000000"/>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5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(12,114</w:t>
            </w:r>
          </w:p>
        </w:tc>
        <w:tc>
          <w:tcPr>
            <w:tcW w:w="84"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5691" w:type="dxa"/>
            <w:tcBorders>
              <w:bottom w:val="double" w:sz="6"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Weighted average shares-basic and diluted</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784"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195,141</w:t>
            </w:r>
          </w:p>
        </w:tc>
        <w:tc>
          <w:tcPr>
            <w:tcW w:w="103" w:type="dxa"/>
            <w:tcBorders>
              <w:bottom w:val="double" w:sz="6" w:space="0" w:color="000000"/>
            </w:tcBorders>
            <w:shd w:fill="FFFFFF" w:val="clear"/>
            <w:vAlign w:val="center"/>
          </w:tcPr>
          <w:p>
            <w:pPr>
              <w:pStyle w:val="TableContents"/>
              <w:bidi w:val="0"/>
              <w:spacing w:before="0" w:after="283"/>
              <w:jc w:val="left"/>
              <w:rPr/>
            </w:pPr>
            <w:r>
              <w:rPr/>
              <w:t> </w:t>
            </w:r>
          </w:p>
        </w:tc>
        <w:tc>
          <w:tcPr>
            <w:tcW w:w="77" w:type="dxa"/>
            <w:tcBorders>
              <w:bottom w:val="double" w:sz="6" w:space="0" w:color="000000"/>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784"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104,743</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858"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200,932</w:t>
            </w:r>
          </w:p>
        </w:tc>
        <w:tc>
          <w:tcPr>
            <w:tcW w:w="85" w:type="dxa"/>
            <w:tcBorders>
              <w:bottom w:val="double" w:sz="6" w:space="0" w:color="000000"/>
            </w:tcBorders>
            <w:shd w:fill="FFFFFF" w:val="clear"/>
            <w:vAlign w:val="center"/>
          </w:tcPr>
          <w:p>
            <w:pPr>
              <w:pStyle w:val="TableContents"/>
              <w:bidi w:val="0"/>
              <w:spacing w:before="0" w:after="283"/>
              <w:jc w:val="left"/>
              <w:rPr/>
            </w:pPr>
            <w:r>
              <w:rPr/>
              <w:t> </w:t>
            </w:r>
          </w:p>
        </w:tc>
        <w:tc>
          <w:tcPr>
            <w:tcW w:w="85" w:type="dxa"/>
            <w:tcBorders>
              <w:bottom w:val="double" w:sz="6" w:space="0" w:color="000000"/>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858"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114,453</w:t>
            </w:r>
          </w:p>
        </w:tc>
        <w:tc>
          <w:tcPr>
            <w:tcW w:w="84" w:type="dxa"/>
            <w:tcBorders>
              <w:bottom w:val="double" w:sz="6" w:space="0" w:color="000000"/>
            </w:tcBorders>
            <w:shd w:fill="FFFFFF" w:val="clear"/>
            <w:vAlign w:val="center"/>
          </w:tcPr>
          <w:p>
            <w:pPr>
              <w:pStyle w:val="TableContents"/>
              <w:bidi w:val="0"/>
              <w:spacing w:before="0" w:after="283"/>
              <w:jc w:val="left"/>
              <w:rPr/>
            </w:pPr>
            <w:r>
              <w:rPr/>
              <w:t> </w:t>
            </w:r>
          </w:p>
        </w:tc>
      </w:tr>
      <w:tr>
        <w:trPr/>
        <w:tc>
          <w:tcPr>
            <w:tcW w:w="569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income (loss) per common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784"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784"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858"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858"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r>
      <w:tr>
        <w:trPr/>
        <w:tc>
          <w:tcPr>
            <w:tcW w:w="5691" w:type="dxa"/>
            <w:tcBorders/>
            <w:shd w:fill="FFFFFF" w:val="clear"/>
            <w:tcMar>
              <w:bottom w:w="0" w:type="dxa"/>
            </w:tcM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Basic and diluted</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8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0.35</w:t>
            </w:r>
          </w:p>
        </w:tc>
        <w:tc>
          <w:tcPr>
            <w:tcW w:w="103"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ind w:left="0" w:right="0" w:hanging="0"/>
              <w:jc w:val="left"/>
              <w:rPr/>
            </w:pPr>
            <w:r>
              <w:rPr/>
              <w:t> </w:t>
            </w:r>
          </w:p>
        </w:tc>
        <w:tc>
          <w:tcPr>
            <w:tcW w:w="14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8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(0.16</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56"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5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0.44</w:t>
            </w:r>
          </w:p>
        </w:tc>
        <w:tc>
          <w:tcPr>
            <w:tcW w:w="85"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ind w:left="0" w:right="0" w:hanging="0"/>
              <w:jc w:val="left"/>
              <w:rPr/>
            </w:pPr>
            <w:r>
              <w:rPr/>
              <w:t> </w:t>
            </w:r>
          </w:p>
        </w:tc>
        <w:tc>
          <w:tcPr>
            <w:tcW w:w="156"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5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(0.29</w:t>
            </w:r>
          </w:p>
        </w:tc>
        <w:tc>
          <w:tcPr>
            <w:tcW w:w="84"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5691" w:type="dxa"/>
            <w:tcBorders/>
            <w:shd w:fill="CCEEFF" w:val="clear"/>
            <w:tcMar>
              <w:bottom w:w="0" w:type="dxa"/>
            </w:tcM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Anti-dilutive incentive shares not included in calculation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78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103"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78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263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85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5"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85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263</w:t>
            </w:r>
          </w:p>
        </w:tc>
        <w:tc>
          <w:tcPr>
            <w:tcW w:w="84"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13.</w:t>
      </w:r>
      <w:r>
        <w:rPr>
          <w:rFonts w:ascii="Times New Roman" w:hAnsi="Times New Roman"/>
          <w:b/>
          <w:caps w:val="false"/>
          <w:smallCaps w:val="false"/>
          <w:sz w:val="20"/>
        </w:rPr>
        <w:t xml:space="preserve">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framework for using fair value to measure assets and liabilities defines fair value as the price that would be received to sell an asset or paid to transfer a liability (an exit price). A fair value measure should reflect the assumptions that market participants would use in pricing the asset or liability, including the assumptions about the risk inherent in a particular valuation technique, the effect of a restriction on the sale or use of an asset and the risk of non-performance. Required disclosures include presentation of balance sheet amounts measured at fair value based on inputs the Company uses to derive fair value measurements. These inputs are: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valuations, where the valuation is based on quoted market prices for identical assets or liabilities traded in active markets (which include exchanges and over-the-counter markets with sufficient volume),</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valuations, where the valuation is based on quoted market prices for similar instruments traded in active markets, quoted prices for identical or similar instruments in markets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active and model-based valuation techniques for which all significant assumptions are observable in the market,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valuations, where the valuation is generated from model-based techniques that use significant assumptions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observable in the market, but observable based on Company-specific data. These unobservable assumptions reflect the Company’s own estimates for assumptions that market participants would use in pricing the asset or liability. Valuation techniques typically include option pricing models, discounted cash flow models and similar techniques, but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also include the use of market prices of assets or liabilities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directly comparable to the subject asset or liability.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Company's RMBS and TBA securities are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valuations, and such valuations currently are determined by the Company based on independent pricing sources and/or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party broker quotes. Because the price estimates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vary, the Company must make certain judgments and assumptions about the appropriate price to use to calculate the fair values. The Company and the independent pricing sources use various valuation techniques to determine the price of the Company’s securities. These techniques include observing the most recent market for like or identical assets (including security coupon, maturity, yield, and prepayment speeds), spread pricing techniques to determine market credit spreads (option adjusted spread, </w:t>
      </w:r>
      <w:r>
        <w:rPr>
          <w:rStyle w:val="Emphasis"/>
          <w:rFonts w:ascii="Times New Roman" w:hAnsi="Times New Roman"/>
          <w:caps w:val="false"/>
          <w:smallCaps w:val="false"/>
          <w:sz w:val="20"/>
        </w:rPr>
        <w:t>zero</w:t>
      </w:r>
      <w:r>
        <w:rPr>
          <w:rFonts w:ascii="Times New Roman" w:hAnsi="Times New Roman"/>
          <w:caps w:val="false"/>
          <w:smallCaps w:val="false"/>
          <w:sz w:val="20"/>
        </w:rPr>
        <w:t xml:space="preserve"> volatility spread, spread to the U.S. Treasury curve or spread to a benchmark such as a TBA), and model driven approaches (the discounted cash flow method, Black Scholes and SABR models which rely upon observable market rates such as the term structure of interest rates and volatility). The appropriate spread pricing method used is based on market convention. The pricing source determines the spread of recently observed trade activity or observable markets for assets similar to those being priced. The spread is then adjusted based on variances in certain characteristics between the market observation and the asset being priced. Those characteristics include: type of asset, the expected life of the asset, the stability and predictability of the expected future cash flows of the asset, whether the coupon of the asset is fixed or adjustable, the guarantor of the security if applicable, the coupon, the maturity, the issuer, size of the underlying loans, year in which the underlying loans were originated, loan to value ratio, state in which the underlying loans reside, credit score of the underlying borrowers and other variables if appropriate. The fair value of the security is determined by using the adjusted spread.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Company’s U.S. Treasury securities that are based on quoted prices for identical instruments in active markets are classified as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assets. U.S. Treasury securities are considered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investments when they were issued before the most recent issue and were still outstanding at measurement day.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360"/>
        <w:jc w:val="left"/>
        <w:rPr/>
      </w:pPr>
      <w:r>
        <w:rPr>
          <w:rFonts w:ascii="Times New Roman" w:hAnsi="Times New Roman"/>
          <w:caps w:val="false"/>
          <w:smallCaps w:val="false"/>
          <w:sz w:val="20"/>
        </w:rPr>
        <w:t xml:space="preserve">The Company’s futures contracts are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valuations, as they are exchange-traded instruments and quoted market prices are readily available. Futures contracts are settled daily. The Company’s interest rate swaps, interest rate swaptions and dual digital options are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valuations. The fair value of interest rate swaps is determined using a discounted cash flow approach using forward market interest rates and discount rates, which are observable inputs. The fair value of interest rate swaptions and dual digital options are determined using an option pricing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RMBS, U.S. Treasury securities, derivatives and TBA securities were recorded at fair value on a recurring basis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When determining fair value measurements, the Company considers the principal or most advantageous market in which it would transact and considers assumptions that market participants would use when pricing the asset. When possible, the Company looks to active and observable markets to price identical assets. When identical assets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traded in active markets, the Company looks to market observable data for similar assets.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The estimated fair value of cash and cash equivalents, restricted cash, accrued interest receivable, receivable for securities sold, other assets, due to affiliates, repurchase agreements, payable for unsettled securities purchased, accrued interest payable and other liabilities generally approximates their carrying values due to the short-term nature of these financial instruments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The Company estimates the fair value of the cash and cash equivalents using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inputs, and the accrued interest receivable, receivable for securities sold, other assets, due to affiliates, repurchase agreements, payable for unsettled securities purchased, accrued interest payable and other liabilities using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inputs.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following table presents financial assets (liabilities) measured at fair value on a recurring basis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Derivative contracts are reported as a net position by contract type, and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based on master netting arrangements.</w:t>
      </w:r>
    </w:p>
    <w:p>
      <w:pPr>
        <w:pStyle w:val="TextBody"/>
        <w:bidi w:val="0"/>
        <w:spacing w:before="0" w:after="0"/>
        <w:ind w:left="0" w:right="0" w:hanging="0"/>
        <w:jc w:val="left"/>
        <w:rPr>
          <w:caps w:val="false"/>
          <w:smallCaps w:val="false"/>
        </w:rPr>
      </w:pPr>
      <w:r>
        <w:rPr>
          <w:caps w:val="false"/>
          <w:smallCaps w:val="false"/>
        </w:rPr>
        <w:t> </w:t>
      </w:r>
    </w:p>
    <w:tbl>
      <w:tblPr>
        <w:tblW w:w="8924" w:type="dxa"/>
        <w:jc w:val="left"/>
        <w:tblInd w:w="0" w:type="dxa"/>
        <w:tblLayout w:type="fixed"/>
        <w:tblCellMar>
          <w:top w:w="0" w:type="dxa"/>
          <w:left w:w="0" w:type="dxa"/>
          <w:bottom w:w="28" w:type="dxa"/>
          <w:right w:w="0" w:type="dxa"/>
        </w:tblCellMar>
      </w:tblPr>
      <w:tblGrid>
        <w:gridCol w:w="5510"/>
        <w:gridCol w:w="60"/>
        <w:gridCol w:w="610"/>
        <w:gridCol w:w="444"/>
        <w:gridCol w:w="60"/>
        <w:gridCol w:w="60"/>
        <w:gridCol w:w="110"/>
        <w:gridCol w:w="830"/>
        <w:gridCol w:w="80"/>
        <w:gridCol w:w="60"/>
        <w:gridCol w:w="601"/>
        <w:gridCol w:w="439"/>
        <w:gridCol w:w="60"/>
      </w:tblGrid>
      <w:tr>
        <w:trPr/>
        <w:tc>
          <w:tcPr>
            <w:tcW w:w="551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10" w:type="dxa"/>
            <w:tcBorders>
              <w:bottom w:val="single" w:sz="2" w:space="0" w:color="000000"/>
            </w:tcBorders>
            <w:shd w:fill="FFFFFF" w:val="clear"/>
            <w:vAlign w:val="center"/>
          </w:tcPr>
          <w:p>
            <w:pPr>
              <w:pStyle w:val="TableContents"/>
              <w:bidi w:val="0"/>
              <w:spacing w:before="0" w:after="283"/>
              <w:jc w:val="left"/>
              <w:rPr/>
            </w:pPr>
            <w:r>
              <w:rPr/>
              <w:t> </w:t>
            </w:r>
          </w:p>
        </w:tc>
        <w:tc>
          <w:tcPr>
            <w:tcW w:w="444"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1" w:type="dxa"/>
            <w:tcBorders>
              <w:bottom w:val="single" w:sz="2" w:space="0" w:color="000000"/>
            </w:tcBorders>
            <w:shd w:fill="FFFFFF" w:val="clear"/>
            <w:vAlign w:val="center"/>
          </w:tcPr>
          <w:p>
            <w:pPr>
              <w:pStyle w:val="TableContents"/>
              <w:bidi w:val="0"/>
              <w:spacing w:before="0" w:after="283"/>
              <w:jc w:val="left"/>
              <w:rPr/>
            </w:pPr>
            <w:r>
              <w:rPr/>
              <w:t> </w:t>
            </w:r>
          </w:p>
        </w:tc>
        <w:tc>
          <w:tcPr>
            <w:tcW w:w="439"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551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54"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Quoted Prices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1" w:type="dxa"/>
            <w:tcBorders/>
            <w:shd w:fill="FFFFFF" w:val="clear"/>
            <w:tcMar>
              <w:bottom w:w="0" w:type="dxa"/>
            </w:tcMar>
            <w:vAlign w:val="center"/>
          </w:tcPr>
          <w:p>
            <w:pPr>
              <w:pStyle w:val="TableContents"/>
              <w:bidi w:val="0"/>
              <w:spacing w:before="0" w:after="283"/>
              <w:jc w:val="left"/>
              <w:rPr/>
            </w:pPr>
            <w:r>
              <w:rPr/>
              <w:t> </w:t>
            </w:r>
          </w:p>
        </w:tc>
        <w:tc>
          <w:tcPr>
            <w:tcW w:w="439"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551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54"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in Active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4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Significant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1" w:type="dxa"/>
            <w:tcBorders/>
            <w:shd w:fill="FFFFFF" w:val="clear"/>
            <w:tcMar>
              <w:bottom w:w="0" w:type="dxa"/>
            </w:tcMar>
            <w:vAlign w:val="center"/>
          </w:tcPr>
          <w:p>
            <w:pPr>
              <w:pStyle w:val="TableContents"/>
              <w:bidi w:val="0"/>
              <w:spacing w:before="0" w:after="283"/>
              <w:jc w:val="left"/>
              <w:rPr/>
            </w:pPr>
            <w:r>
              <w:rPr/>
              <w:t> </w:t>
            </w:r>
          </w:p>
        </w:tc>
        <w:tc>
          <w:tcPr>
            <w:tcW w:w="439"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551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54"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Markets for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4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Other</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4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Significant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551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54"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Identical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4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Observable</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4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Unobservable</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551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54"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4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Inputs</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4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Inputs</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551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5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(Level 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(Level 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(Level 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551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June 30, 2026</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10" w:type="dxa"/>
            <w:tcBorders>
              <w:bottom w:val="single" w:sz="2" w:space="0" w:color="000000"/>
            </w:tcBorders>
            <w:shd w:fill="FFFFFF" w:val="clear"/>
            <w:vAlign w:val="center"/>
          </w:tcPr>
          <w:p>
            <w:pPr>
              <w:pStyle w:val="TableContents"/>
              <w:bidi w:val="0"/>
              <w:spacing w:before="0" w:after="283"/>
              <w:jc w:val="left"/>
              <w:rPr/>
            </w:pPr>
            <w:r>
              <w:rPr/>
              <w:t> </w:t>
            </w:r>
          </w:p>
        </w:tc>
        <w:tc>
          <w:tcPr>
            <w:tcW w:w="444"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1" w:type="dxa"/>
            <w:tcBorders>
              <w:bottom w:val="single" w:sz="2" w:space="0" w:color="000000"/>
            </w:tcBorders>
            <w:shd w:fill="FFFFFF" w:val="clear"/>
            <w:vAlign w:val="center"/>
          </w:tcPr>
          <w:p>
            <w:pPr>
              <w:pStyle w:val="TableContents"/>
              <w:bidi w:val="0"/>
              <w:spacing w:before="0" w:after="283"/>
              <w:jc w:val="left"/>
              <w:rPr/>
            </w:pPr>
            <w:r>
              <w:rPr/>
              <w:t> </w:t>
            </w:r>
          </w:p>
        </w:tc>
        <w:tc>
          <w:tcPr>
            <w:tcW w:w="439"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551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Mortgage-backed securities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10"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44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11,540,164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01"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439"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551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U.S. Treasury securities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0" w:type="dxa"/>
            <w:tcBorders/>
            <w:shd w:fill="FFFFFF" w:val="clear"/>
            <w:tcMar>
              <w:bottom w:w="0" w:type="dxa"/>
            </w:tcMar>
            <w:vAlign w:val="center"/>
          </w:tcPr>
          <w:p>
            <w:pPr>
              <w:pStyle w:val="TableContents"/>
              <w:bidi w:val="0"/>
              <w:spacing w:before="0" w:after="283"/>
              <w:ind w:left="0" w:right="0" w:hanging="0"/>
              <w:jc w:val="left"/>
              <w:rPr/>
            </w:pPr>
            <w:r>
              <w:rPr/>
              <w:t> </w:t>
            </w:r>
          </w:p>
        </w:tc>
        <w:tc>
          <w:tcPr>
            <w:tcW w:w="44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182,862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1" w:type="dxa"/>
            <w:tcBorders/>
            <w:shd w:fill="FFFFFF" w:val="clear"/>
            <w:tcMar>
              <w:bottom w:w="0" w:type="dxa"/>
            </w:tcMar>
            <w:vAlign w:val="center"/>
          </w:tcPr>
          <w:p>
            <w:pPr>
              <w:pStyle w:val="TableContents"/>
              <w:bidi w:val="0"/>
              <w:spacing w:before="0" w:after="283"/>
              <w:ind w:left="0" w:right="0" w:hanging="0"/>
              <w:jc w:val="left"/>
              <w:rPr/>
            </w:pPr>
            <w:r>
              <w:rPr/>
              <w:t> </w:t>
            </w:r>
          </w:p>
        </w:tc>
        <w:tc>
          <w:tcPr>
            <w:tcW w:w="439"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551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Interest rate swaps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0" w:type="dxa"/>
            <w:tcBorders/>
            <w:shd w:fill="CCEEFF" w:val="clear"/>
            <w:tcMar>
              <w:bottom w:w="0" w:type="dxa"/>
            </w:tcMar>
            <w:vAlign w:val="center"/>
          </w:tcPr>
          <w:p>
            <w:pPr>
              <w:pStyle w:val="TableContents"/>
              <w:bidi w:val="0"/>
              <w:spacing w:before="0" w:after="283"/>
              <w:ind w:left="0" w:right="0" w:hanging="0"/>
              <w:jc w:val="left"/>
              <w:rPr/>
            </w:pPr>
            <w:r>
              <w:rPr/>
              <w:t> </w:t>
            </w:r>
          </w:p>
        </w:tc>
        <w:tc>
          <w:tcPr>
            <w:tcW w:w="44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11,520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1" w:type="dxa"/>
            <w:tcBorders/>
            <w:shd w:fill="CCEEFF" w:val="clear"/>
            <w:tcMar>
              <w:bottom w:w="0" w:type="dxa"/>
            </w:tcMar>
            <w:vAlign w:val="center"/>
          </w:tcPr>
          <w:p>
            <w:pPr>
              <w:pStyle w:val="TableContents"/>
              <w:bidi w:val="0"/>
              <w:spacing w:before="0" w:after="283"/>
              <w:ind w:left="0" w:right="0" w:hanging="0"/>
              <w:jc w:val="left"/>
              <w:rPr/>
            </w:pPr>
            <w:r>
              <w:rPr/>
              <w:t> </w:t>
            </w:r>
          </w:p>
        </w:tc>
        <w:tc>
          <w:tcPr>
            <w:tcW w:w="439"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551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Interest rate swaptions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0" w:type="dxa"/>
            <w:tcBorders/>
            <w:shd w:fill="FFFFFF" w:val="clear"/>
            <w:tcMar>
              <w:bottom w:w="0" w:type="dxa"/>
            </w:tcMar>
            <w:vAlign w:val="center"/>
          </w:tcPr>
          <w:p>
            <w:pPr>
              <w:pStyle w:val="TableContents"/>
              <w:bidi w:val="0"/>
              <w:spacing w:before="0" w:after="283"/>
              <w:jc w:val="left"/>
              <w:rPr/>
            </w:pPr>
            <w:r>
              <w:rPr/>
              <w:t> </w:t>
            </w:r>
          </w:p>
        </w:tc>
        <w:tc>
          <w:tcPr>
            <w:tcW w:w="444"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3,542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1" w:type="dxa"/>
            <w:tcBorders/>
            <w:shd w:fill="FFFFFF" w:val="clear"/>
            <w:tcMar>
              <w:bottom w:w="0" w:type="dxa"/>
            </w:tcMar>
            <w:vAlign w:val="center"/>
          </w:tcPr>
          <w:p>
            <w:pPr>
              <w:pStyle w:val="TableContents"/>
              <w:bidi w:val="0"/>
              <w:spacing w:before="0" w:after="283"/>
              <w:jc w:val="left"/>
              <w:rPr/>
            </w:pPr>
            <w:r>
              <w:rPr/>
              <w:t> </w:t>
            </w:r>
          </w:p>
        </w:tc>
        <w:tc>
          <w:tcPr>
            <w:tcW w:w="439"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551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TBA securities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0" w:type="dxa"/>
            <w:tcBorders/>
            <w:shd w:fill="CCEEFF" w:val="clear"/>
            <w:tcMar>
              <w:bottom w:w="0" w:type="dxa"/>
            </w:tcMar>
            <w:vAlign w:val="center"/>
          </w:tcPr>
          <w:p>
            <w:pPr>
              <w:pStyle w:val="TableContents"/>
              <w:bidi w:val="0"/>
              <w:spacing w:before="0" w:after="283"/>
              <w:jc w:val="left"/>
              <w:rPr/>
            </w:pPr>
            <w:r>
              <w:rPr/>
              <w:t> </w:t>
            </w:r>
          </w:p>
        </w:tc>
        <w:tc>
          <w:tcPr>
            <w:tcW w:w="444"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(4,723</w:t>
            </w:r>
          </w:p>
        </w:tc>
        <w:tc>
          <w:tcPr>
            <w:tcW w:w="8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1" w:type="dxa"/>
            <w:tcBorders/>
            <w:shd w:fill="CCEEFF" w:val="clear"/>
            <w:tcMar>
              <w:bottom w:w="0" w:type="dxa"/>
            </w:tcMar>
            <w:vAlign w:val="center"/>
          </w:tcPr>
          <w:p>
            <w:pPr>
              <w:pStyle w:val="TableContents"/>
              <w:bidi w:val="0"/>
              <w:spacing w:before="0" w:after="283"/>
              <w:jc w:val="left"/>
              <w:rPr/>
            </w:pPr>
            <w:r>
              <w:rPr/>
              <w:t> </w:t>
            </w:r>
          </w:p>
        </w:tc>
        <w:tc>
          <w:tcPr>
            <w:tcW w:w="439"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551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Obligation to return securities borrowed under reverse repurchase agreements</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1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444" w:type="dxa"/>
            <w:tcBorders>
              <w:bottom w:val="single" w:sz="2" w:space="0" w:color="000000"/>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(496,036</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1"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439" w:type="dxa"/>
            <w:tcBorders>
              <w:bottom w:val="single" w:sz="2" w:space="0" w:color="000000"/>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60" w:type="dxa"/>
            <w:tcBorders>
              <w:bottom w:val="single" w:sz="2" w:space="0" w:color="000000"/>
            </w:tcBorders>
            <w:shd w:fill="FFFFFF" w:val="clear"/>
            <w:vAlign w:val="center"/>
          </w:tcPr>
          <w:p>
            <w:pPr>
              <w:pStyle w:val="TableContents"/>
              <w:bidi w:val="0"/>
              <w:spacing w:before="0" w:after="0"/>
              <w:jc w:val="left"/>
              <w:rPr/>
            </w:pPr>
            <w:r>
              <w:rPr/>
              <w:t> </w:t>
            </w:r>
          </w:p>
        </w:tc>
      </w:tr>
      <w:tr>
        <w:trPr/>
        <w:tc>
          <w:tcPr>
            <w:tcW w:w="551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December 31, 2025</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10" w:type="dxa"/>
            <w:tcBorders>
              <w:bottom w:val="single" w:sz="2" w:space="0" w:color="000000"/>
            </w:tcBorders>
            <w:shd w:fill="CCEEFF" w:val="clear"/>
            <w:vAlign w:val="center"/>
          </w:tcPr>
          <w:p>
            <w:pPr>
              <w:pStyle w:val="TableContents"/>
              <w:bidi w:val="0"/>
              <w:spacing w:before="0" w:after="283"/>
              <w:jc w:val="left"/>
              <w:rPr/>
            </w:pPr>
            <w:r>
              <w:rPr/>
              <w:t> </w:t>
            </w:r>
          </w:p>
        </w:tc>
        <w:tc>
          <w:tcPr>
            <w:tcW w:w="444"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jc w:val="left"/>
              <w:rPr/>
            </w:pPr>
            <w:r>
              <w:rPr/>
              <w:t> </w:t>
            </w:r>
          </w:p>
        </w:tc>
        <w:tc>
          <w:tcPr>
            <w:tcW w:w="830" w:type="dxa"/>
            <w:tcBorders>
              <w:bottom w:val="single" w:sz="2" w:space="0" w:color="000000"/>
            </w:tcBorders>
            <w:shd w:fill="CCEEFF" w:val="clear"/>
            <w:vAlign w:val="center"/>
          </w:tcPr>
          <w:p>
            <w:pPr>
              <w:pStyle w:val="TableContents"/>
              <w:bidi w:val="0"/>
              <w:spacing w:before="0" w:after="283"/>
              <w:jc w:val="left"/>
              <w:rPr/>
            </w:pPr>
            <w:r>
              <w:rPr/>
              <w:t> </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1" w:type="dxa"/>
            <w:tcBorders>
              <w:bottom w:val="single" w:sz="2" w:space="0" w:color="000000"/>
            </w:tcBorders>
            <w:shd w:fill="CCEEFF" w:val="clear"/>
            <w:vAlign w:val="center"/>
          </w:tcPr>
          <w:p>
            <w:pPr>
              <w:pStyle w:val="TableContents"/>
              <w:bidi w:val="0"/>
              <w:spacing w:before="0" w:after="283"/>
              <w:jc w:val="left"/>
              <w:rPr/>
            </w:pPr>
            <w:r>
              <w:rPr/>
              <w:t> </w:t>
            </w:r>
          </w:p>
        </w:tc>
        <w:tc>
          <w:tcPr>
            <w:tcW w:w="439"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551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Mortgage-backed securities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10"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44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3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10,628,658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01"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439"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551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U.S. Treasury securities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0" w:type="dxa"/>
            <w:tcBorders/>
            <w:shd w:fill="CCEEFF" w:val="clear"/>
            <w:tcMar>
              <w:bottom w:w="0" w:type="dxa"/>
            </w:tcMar>
            <w:vAlign w:val="center"/>
          </w:tcPr>
          <w:p>
            <w:pPr>
              <w:pStyle w:val="TableContents"/>
              <w:bidi w:val="0"/>
              <w:spacing w:before="0" w:after="283"/>
              <w:ind w:left="0" w:right="0" w:hanging="0"/>
              <w:jc w:val="left"/>
              <w:rPr/>
            </w:pPr>
            <w:r>
              <w:rPr/>
              <w:t> </w:t>
            </w:r>
          </w:p>
        </w:tc>
        <w:tc>
          <w:tcPr>
            <w:tcW w:w="44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135,133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1" w:type="dxa"/>
            <w:tcBorders/>
            <w:shd w:fill="CCEEFF" w:val="clear"/>
            <w:tcMar>
              <w:bottom w:w="0" w:type="dxa"/>
            </w:tcMar>
            <w:vAlign w:val="center"/>
          </w:tcPr>
          <w:p>
            <w:pPr>
              <w:pStyle w:val="TableContents"/>
              <w:bidi w:val="0"/>
              <w:spacing w:before="0" w:after="283"/>
              <w:ind w:left="0" w:right="0" w:hanging="0"/>
              <w:jc w:val="left"/>
              <w:rPr/>
            </w:pPr>
            <w:r>
              <w:rPr/>
              <w:t> </w:t>
            </w:r>
          </w:p>
        </w:tc>
        <w:tc>
          <w:tcPr>
            <w:tcW w:w="439"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551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Interest rate swaps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0" w:type="dxa"/>
            <w:tcBorders/>
            <w:shd w:fill="FFFFFF" w:val="clear"/>
            <w:tcMar>
              <w:bottom w:w="0" w:type="dxa"/>
            </w:tcMar>
            <w:vAlign w:val="center"/>
          </w:tcPr>
          <w:p>
            <w:pPr>
              <w:pStyle w:val="TableContents"/>
              <w:bidi w:val="0"/>
              <w:spacing w:before="0" w:after="283"/>
              <w:ind w:left="0" w:right="0" w:hanging="0"/>
              <w:jc w:val="left"/>
              <w:rPr/>
            </w:pPr>
            <w:r>
              <w:rPr/>
              <w:t> </w:t>
            </w:r>
          </w:p>
        </w:tc>
        <w:tc>
          <w:tcPr>
            <w:tcW w:w="44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8,238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1" w:type="dxa"/>
            <w:tcBorders/>
            <w:shd w:fill="FFFFFF" w:val="clear"/>
            <w:tcMar>
              <w:bottom w:w="0" w:type="dxa"/>
            </w:tcMar>
            <w:vAlign w:val="center"/>
          </w:tcPr>
          <w:p>
            <w:pPr>
              <w:pStyle w:val="TableContents"/>
              <w:bidi w:val="0"/>
              <w:spacing w:before="0" w:after="283"/>
              <w:ind w:left="0" w:right="0" w:hanging="0"/>
              <w:jc w:val="left"/>
              <w:rPr/>
            </w:pPr>
            <w:r>
              <w:rPr/>
              <w:t> </w:t>
            </w:r>
          </w:p>
        </w:tc>
        <w:tc>
          <w:tcPr>
            <w:tcW w:w="439"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551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TBA securities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0" w:type="dxa"/>
            <w:tcBorders/>
            <w:shd w:fill="CCEEFF" w:val="clear"/>
            <w:tcMar>
              <w:bottom w:w="0" w:type="dxa"/>
            </w:tcMar>
            <w:vAlign w:val="center"/>
          </w:tcPr>
          <w:p>
            <w:pPr>
              <w:pStyle w:val="TableContents"/>
              <w:bidi w:val="0"/>
              <w:spacing w:before="0" w:after="283"/>
              <w:ind w:left="0" w:right="0" w:hanging="0"/>
              <w:jc w:val="left"/>
              <w:rPr/>
            </w:pPr>
            <w:r>
              <w:rPr/>
              <w:t> </w:t>
            </w:r>
          </w:p>
        </w:tc>
        <w:tc>
          <w:tcPr>
            <w:tcW w:w="44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(831</w:t>
            </w:r>
          </w:p>
        </w:tc>
        <w:tc>
          <w:tcPr>
            <w:tcW w:w="8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1" w:type="dxa"/>
            <w:tcBorders/>
            <w:shd w:fill="CCEEFF" w:val="clear"/>
            <w:tcMar>
              <w:bottom w:w="0" w:type="dxa"/>
            </w:tcMar>
            <w:vAlign w:val="center"/>
          </w:tcPr>
          <w:p>
            <w:pPr>
              <w:pStyle w:val="TableContents"/>
              <w:bidi w:val="0"/>
              <w:spacing w:before="0" w:after="283"/>
              <w:ind w:left="0" w:right="0" w:hanging="0"/>
              <w:jc w:val="left"/>
              <w:rPr/>
            </w:pPr>
            <w:r>
              <w:rPr/>
              <w:t> </w:t>
            </w:r>
          </w:p>
        </w:tc>
        <w:tc>
          <w:tcPr>
            <w:tcW w:w="439"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551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Obligation to return securities borrowed under reverse repurchase agreements</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1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444" w:type="dxa"/>
            <w:tcBorders>
              <w:bottom w:val="single" w:sz="2" w:space="0" w:color="000000"/>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(128,724</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1"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439" w:type="dxa"/>
            <w:tcBorders>
              <w:bottom w:val="single" w:sz="2" w:space="0" w:color="000000"/>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60" w:type="dxa"/>
            <w:tcBorders>
              <w:bottom w:val="single" w:sz="2" w:space="0" w:color="000000"/>
            </w:tcBorders>
            <w:shd w:fill="FFFF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transfers of financial assets or liabilities between levels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or </w:t>
      </w:r>
      <w:r>
        <w:rPr>
          <w:rStyle w:val="Emphasis"/>
          <w:rFonts w:ascii="Times New Roman" w:hAnsi="Times New Roman"/>
          <w:caps w:val="false"/>
          <w:smallCaps w:val="false"/>
          <w:sz w:val="20"/>
        </w:rPr>
        <w:t>3.</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14.</w:t>
      </w:r>
      <w:r>
        <w:rPr>
          <w:rFonts w:ascii="Times New Roman" w:hAnsi="Times New Roman"/>
          <w:b/>
          <w:caps w:val="false"/>
          <w:smallCaps w:val="false"/>
          <w:sz w:val="20"/>
        </w:rPr>
        <w:t xml:space="preserve">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Management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Company is externally managed and advised by Bimini Advisors, LLC (the “Manager”) pursuant to the terms of a management agreement. The management agreement has been renewed through </w:t>
      </w:r>
      <w:r>
        <w:rPr>
          <w:rStyle w:val="Emphasis"/>
          <w:rFonts w:ascii="Times New Roman" w:hAnsi="Times New Roman"/>
          <w:caps w:val="false"/>
          <w:smallCaps w:val="false"/>
          <w:sz w:val="20"/>
        </w:rPr>
        <w:t>February 20, 2027 </w:t>
      </w:r>
      <w:r>
        <w:rPr>
          <w:rFonts w:ascii="Times New Roman" w:hAnsi="Times New Roman"/>
          <w:caps w:val="false"/>
          <w:smallCaps w:val="false"/>
          <w:sz w:val="20"/>
        </w:rPr>
        <w:t>and provides for automatic one-year extension options thereafter and is subject to certain termination rights. Under the terms of the management agreement, the Manager is responsible for administering the business activities and day-to-day operations of the Company. The Manager receives a monthly management fee in the amount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One-</w:t>
            </w:r>
            <w:r>
              <w:rPr>
                <w:rStyle w:val="Emphasis"/>
                <w:rFonts w:ascii="Times New Roman" w:hAnsi="Times New Roman"/>
                <w:caps w:val="false"/>
                <w:smallCaps w:val="false"/>
                <w:sz w:val="20"/>
              </w:rPr>
              <w:t>twelfth</w:t>
            </w:r>
            <w:r>
              <w:rPr>
                <w:rFonts w:ascii="Times New Roman" w:hAnsi="Times New Roman"/>
                <w:caps w:val="false"/>
                <w:smallCaps w:val="false"/>
                <w:sz w:val="20"/>
              </w:rPr>
              <w:t xml:space="preserve"> of </w:t>
            </w:r>
            <w:r>
              <w:rPr>
                <w:rStyle w:val="Emphasis"/>
                <w:rFonts w:ascii="Times New Roman" w:hAnsi="Times New Roman"/>
                <w:caps w:val="false"/>
                <w:smallCaps w:val="false"/>
                <w:sz w:val="20"/>
              </w:rPr>
              <w:t>1.5%</w:t>
            </w:r>
            <w:r>
              <w:rPr>
                <w:rFonts w:ascii="Times New Roman" w:hAnsi="Times New Roman"/>
                <w:caps w:val="false"/>
                <w:smallCaps w:val="false"/>
                <w:sz w:val="20"/>
              </w:rPr>
              <w:t xml:space="preserve"> of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$250</w:t>
            </w:r>
            <w:r>
              <w:rPr>
                <w:rFonts w:ascii="Times New Roman" w:hAnsi="Times New Roman"/>
                <w:caps w:val="false"/>
                <w:smallCaps w:val="false"/>
                <w:sz w:val="20"/>
              </w:rPr>
              <w:t xml:space="preserve"> million of the Company’s month-end equity, as defined in the management agreement,</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One-</w:t>
            </w:r>
            <w:r>
              <w:rPr>
                <w:rStyle w:val="Emphasis"/>
                <w:rFonts w:ascii="Times New Roman" w:hAnsi="Times New Roman"/>
                <w:caps w:val="false"/>
                <w:smallCaps w:val="false"/>
                <w:sz w:val="20"/>
              </w:rPr>
              <w:t>twelfth</w:t>
            </w:r>
            <w:r>
              <w:rPr>
                <w:rFonts w:ascii="Times New Roman" w:hAnsi="Times New Roman"/>
                <w:caps w:val="false"/>
                <w:smallCaps w:val="false"/>
                <w:sz w:val="20"/>
              </w:rPr>
              <w:t xml:space="preserve"> of </w:t>
            </w:r>
            <w:r>
              <w:rPr>
                <w:rStyle w:val="Emphasis"/>
                <w:rFonts w:ascii="Times New Roman" w:hAnsi="Times New Roman"/>
                <w:caps w:val="false"/>
                <w:smallCaps w:val="false"/>
                <w:sz w:val="20"/>
              </w:rPr>
              <w:t>1.25%</w:t>
            </w:r>
            <w:r>
              <w:rPr>
                <w:rFonts w:ascii="Times New Roman" w:hAnsi="Times New Roman"/>
                <w:caps w:val="false"/>
                <w:smallCaps w:val="false"/>
                <w:sz w:val="20"/>
              </w:rPr>
              <w:t xml:space="preserve"> of the Company’s month-end equity that is greater than </w:t>
            </w:r>
            <w:r>
              <w:rPr>
                <w:rStyle w:val="Emphasis"/>
                <w:rFonts w:ascii="Times New Roman" w:hAnsi="Times New Roman"/>
                <w:caps w:val="false"/>
                <w:smallCaps w:val="false"/>
                <w:sz w:val="20"/>
              </w:rPr>
              <w:t>$250</w:t>
            </w:r>
            <w:r>
              <w:rPr>
                <w:rFonts w:ascii="Times New Roman" w:hAnsi="Times New Roman"/>
                <w:caps w:val="false"/>
                <w:smallCaps w:val="false"/>
                <w:sz w:val="20"/>
              </w:rPr>
              <w:t xml:space="preserve"> million and less than or equal to </w:t>
            </w:r>
            <w:r>
              <w:rPr>
                <w:rStyle w:val="Emphasis"/>
                <w:rFonts w:ascii="Times New Roman" w:hAnsi="Times New Roman"/>
                <w:caps w:val="false"/>
                <w:smallCaps w:val="false"/>
                <w:sz w:val="20"/>
              </w:rPr>
              <w:t>$500</w:t>
            </w:r>
            <w:r>
              <w:rPr>
                <w:rFonts w:ascii="Times New Roman" w:hAnsi="Times New Roman"/>
                <w:caps w:val="false"/>
                <w:smallCaps w:val="false"/>
                <w:sz w:val="20"/>
              </w:rPr>
              <w:t xml:space="preserve"> million, and</w:t>
            </w:r>
          </w:p>
        </w:tc>
      </w:tr>
    </w:tbl>
    <w:tbl>
      <w:tblPr>
        <w:tblW w:w="7675" w:type="dxa"/>
        <w:jc w:val="left"/>
        <w:tblInd w:w="0" w:type="dxa"/>
        <w:tblLayout w:type="fixed"/>
        <w:tblCellMar>
          <w:top w:w="0" w:type="dxa"/>
          <w:left w:w="0" w:type="dxa"/>
          <w:bottom w:w="0" w:type="dxa"/>
          <w:right w:w="0" w:type="dxa"/>
        </w:tblCellMar>
      </w:tblPr>
      <w:tblGrid>
        <w:gridCol w:w="60"/>
        <w:gridCol w:w="170"/>
        <w:gridCol w:w="74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445"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One-</w:t>
            </w:r>
            <w:r>
              <w:rPr>
                <w:rStyle w:val="Emphasis"/>
                <w:rFonts w:ascii="Times New Roman" w:hAnsi="Times New Roman"/>
                <w:caps w:val="false"/>
                <w:smallCaps w:val="false"/>
                <w:sz w:val="20"/>
              </w:rPr>
              <w:t>twelfth</w:t>
            </w:r>
            <w:r>
              <w:rPr>
                <w:rFonts w:ascii="Times New Roman" w:hAnsi="Times New Roman"/>
                <w:caps w:val="false"/>
                <w:smallCaps w:val="false"/>
                <w:sz w:val="20"/>
              </w:rPr>
              <w:t xml:space="preserve"> of </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of the Company’s month-end equity that is greater than </w:t>
            </w:r>
            <w:r>
              <w:rPr>
                <w:rStyle w:val="Emphasis"/>
                <w:rFonts w:ascii="Times New Roman" w:hAnsi="Times New Roman"/>
                <w:caps w:val="false"/>
                <w:smallCaps w:val="false"/>
                <w:sz w:val="20"/>
              </w:rPr>
              <w:t>$500</w:t>
            </w:r>
            <w:r>
              <w:rPr>
                <w:rFonts w:ascii="Times New Roman" w:hAnsi="Times New Roman"/>
                <w:caps w:val="false"/>
                <w:smallCaps w:val="false"/>
                <w:sz w:val="20"/>
              </w:rPr>
              <w:t xml:space="preserve">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Manager also provides certain repurchase agreement trading, clearing and administrative services to the Company. In consideration for such services, the Company pays the following fees to the Manager: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A daily fee equal to the outstanding principal balance of repurchase agreement funding in place as of the end of such day multiplied by </w:t>
            </w:r>
            <w:r>
              <w:rPr>
                <w:rStyle w:val="Emphasis"/>
                <w:rFonts w:ascii="Times New Roman" w:hAnsi="Times New Roman"/>
                <w:caps w:val="false"/>
                <w:smallCaps w:val="false"/>
                <w:sz w:val="20"/>
              </w:rPr>
              <w:t>1.5</w:t>
            </w:r>
            <w:r>
              <w:rPr>
                <w:rFonts w:ascii="Times New Roman" w:hAnsi="Times New Roman"/>
                <w:caps w:val="false"/>
                <w:smallCaps w:val="false"/>
                <w:sz w:val="20"/>
              </w:rPr>
              <w:t xml:space="preserve"> basis points for the amount of aggregate outstanding principal balance less than or equal to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billion, and multiplied by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basis point for any amount of aggregate outstanding principal balance in excess of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billion, and</w:t>
            </w:r>
          </w:p>
        </w:tc>
      </w:tr>
    </w:tbl>
    <w:tbl>
      <w:tblPr>
        <w:tblW w:w="9445" w:type="dxa"/>
        <w:jc w:val="left"/>
        <w:tblInd w:w="0" w:type="dxa"/>
        <w:tblLayout w:type="fixed"/>
        <w:tblCellMar>
          <w:top w:w="0" w:type="dxa"/>
          <w:left w:w="0" w:type="dxa"/>
          <w:bottom w:w="0" w:type="dxa"/>
          <w:right w:w="0" w:type="dxa"/>
        </w:tblCellMar>
      </w:tblPr>
      <w:tblGrid>
        <w:gridCol w:w="60"/>
        <w:gridCol w:w="170"/>
        <w:gridCol w:w="92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215"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A fee for the clearing and operational services provided by personnel of the Manager equal to </w:t>
            </w:r>
            <w:r>
              <w:rPr>
                <w:rStyle w:val="Emphasis"/>
                <w:rFonts w:ascii="Times New Roman" w:hAnsi="Times New Roman"/>
                <w:caps w:val="false"/>
                <w:smallCaps w:val="false"/>
                <w:sz w:val="20"/>
              </w:rPr>
              <w:t>$10,000</w:t>
            </w:r>
            <w:r>
              <w:rPr>
                <w:rFonts w:ascii="Times New Roman" w:hAnsi="Times New Roman"/>
                <w:caps w:val="false"/>
                <w:smallCaps w:val="false"/>
                <w:sz w:val="20"/>
              </w:rPr>
              <w:t xml:space="preserve"> per month.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Company is obligated to reimburse the Manager for any direct expenses incurred on its behalf and to pay the Manager the Company’s pro rata portion of certain overhead costs set forth in the management agreement. Should the Company terminate the management agreement without cause, it will pay the Manager a termination fee equal to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times the average annual management fee, as defined in the management agreement, before or on the last day of the term of the agreement.</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shd w:fill="FFFFFF" w:val="clear"/>
        </w:rPr>
        <w:t>Total expenses recorded for the management fee, allocated overhead and repurchase agreement trading, clearing and administrative services were approximately $10.2 million and $5.1 million for the </w:t>
      </w:r>
      <w:r>
        <w:rPr>
          <w:rStyle w:val="Emphasis"/>
          <w:rFonts w:ascii="Times New Roman" w:hAnsi="Times New Roman"/>
          <w:caps w:val="false"/>
          <w:smallCaps w:val="false"/>
          <w:sz w:val="20"/>
          <w:shd w:fill="FFFFFF" w:val="clear"/>
        </w:rPr>
        <w:t>six</w:t>
      </w:r>
      <w:r>
        <w:rPr>
          <w:rFonts w:ascii="Times New Roman" w:hAnsi="Times New Roman"/>
          <w:caps w:val="false"/>
          <w:smallCaps w:val="false"/>
          <w:sz w:val="20"/>
          <w:shd w:fill="FFFFFF" w:val="clear"/>
        </w:rPr>
        <w:t xml:space="preserve"> and </w:t>
      </w:r>
      <w:r>
        <w:rPr>
          <w:rStyle w:val="Emphasis"/>
          <w:rFonts w:ascii="Times New Roman" w:hAnsi="Times New Roman"/>
          <w:caps w:val="false"/>
          <w:smallCaps w:val="false"/>
          <w:sz w:val="20"/>
          <w:shd w:fill="FFFFFF" w:val="clear"/>
        </w:rPr>
        <w:t>three</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shd w:fill="FFFFFF" w:val="clear"/>
        </w:rPr>
        <w:t>June 30, 2026</w:t>
      </w:r>
      <w:r>
        <w:rPr>
          <w:rFonts w:ascii="Times New Roman" w:hAnsi="Times New Roman"/>
          <w:caps w:val="false"/>
          <w:smallCaps w:val="false"/>
          <w:sz w:val="20"/>
          <w:shd w:fill="FFFFFF" w:val="clear"/>
        </w:rPr>
        <w:t>, respectively, and $7.4 million and $3.8 million for the </w:t>
      </w:r>
      <w:r>
        <w:rPr>
          <w:rStyle w:val="Emphasis"/>
          <w:rFonts w:ascii="Times New Roman" w:hAnsi="Times New Roman"/>
          <w:caps w:val="false"/>
          <w:smallCaps w:val="false"/>
          <w:sz w:val="20"/>
          <w:shd w:fill="FFFFFF" w:val="clear"/>
        </w:rPr>
        <w:t>six</w:t>
      </w:r>
      <w:r>
        <w:rPr>
          <w:rFonts w:ascii="Times New Roman" w:hAnsi="Times New Roman"/>
          <w:caps w:val="false"/>
          <w:smallCaps w:val="false"/>
          <w:sz w:val="20"/>
          <w:shd w:fill="FFFFFF" w:val="clear"/>
        </w:rPr>
        <w:t xml:space="preserve"> and </w:t>
      </w:r>
      <w:r>
        <w:rPr>
          <w:rStyle w:val="Emphasis"/>
          <w:rFonts w:ascii="Times New Roman" w:hAnsi="Times New Roman"/>
          <w:caps w:val="false"/>
          <w:smallCaps w:val="false"/>
          <w:sz w:val="20"/>
          <w:shd w:fill="FFFFFF" w:val="clear"/>
        </w:rPr>
        <w:t>three</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shd w:fill="FFFFFF" w:val="clear"/>
        </w:rPr>
        <w:t>June 30, 2025</w:t>
      </w:r>
      <w:r>
        <w:rPr>
          <w:rFonts w:ascii="Times New Roman" w:hAnsi="Times New Roman"/>
          <w:caps w:val="false"/>
          <w:smallCaps w:val="false"/>
          <w:sz w:val="20"/>
          <w:shd w:fill="FFFFFF" w:val="clear"/>
        </w:rPr>
        <w:t xml:space="preserve">, respectively. At </w:t>
      </w:r>
      <w:r>
        <w:rPr>
          <w:rStyle w:val="Emphasis"/>
          <w:rFonts w:ascii="Times New Roman" w:hAnsi="Times New Roman"/>
          <w:caps w:val="false"/>
          <w:smallCaps w:val="false"/>
          <w:sz w:val="20"/>
        </w:rPr>
        <w:t>June 30, 2026</w:t>
      </w:r>
      <w:r>
        <w:rPr>
          <w:rFonts w:ascii="Times New Roman" w:hAnsi="Times New Roman"/>
          <w:caps w:val="false"/>
          <w:smallCaps w:val="false"/>
          <w:sz w:val="20"/>
          <w:shd w:fill="FFFFFF" w:val="clear"/>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shd w:fill="FFFFFF" w:val="clear"/>
        </w:rPr>
        <w:t>, the net amount due to affiliates was approximately $</w:t>
      </w:r>
      <w:r>
        <w:rPr>
          <w:rFonts w:ascii="Times New Roman" w:hAnsi="Times New Roman"/>
          <w:caps w:val="false"/>
          <w:smallCaps w:val="false"/>
          <w:sz w:val="20"/>
        </w:rPr>
        <w:t xml:space="preserve">1.8 </w:t>
      </w:r>
      <w:r>
        <w:rPr>
          <w:rFonts w:ascii="Times New Roman" w:hAnsi="Times New Roman"/>
          <w:caps w:val="false"/>
          <w:smallCaps w:val="false"/>
          <w:sz w:val="20"/>
          <w:shd w:fill="FFFFFF" w:val="clear"/>
        </w:rPr>
        <w:t>million and $</w:t>
      </w:r>
      <w:r>
        <w:rPr>
          <w:rFonts w:ascii="Times New Roman" w:hAnsi="Times New Roman"/>
          <w:caps w:val="false"/>
          <w:smallCaps w:val="false"/>
          <w:sz w:val="20"/>
        </w:rPr>
        <w:t xml:space="preserve">1.7 </w:t>
      </w:r>
      <w:r>
        <w:rPr>
          <w:rFonts w:ascii="Times New Roman" w:hAnsi="Times New Roman"/>
          <w:caps w:val="false"/>
          <w:smallCaps w:val="false"/>
          <w:sz w:val="20"/>
          <w:shd w:fill="FFFFFF" w:val="clear"/>
        </w:rPr>
        <w:t>million, respectively.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shd w:fill="FFFFFF" w:val="clear"/>
        </w:rPr>
      </w:pPr>
      <w:r>
        <w:rPr>
          <w:rFonts w:ascii="Times New Roman" w:hAnsi="Times New Roman"/>
          <w:b/>
          <w:caps w:val="false"/>
          <w:smallCaps w:val="false"/>
          <w:sz w:val="20"/>
          <w:shd w:fill="FFFFFF" w:val="clear"/>
        </w:rPr>
        <w:t>Other Relationships with Bimini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shd w:fill="FFFFFF" w:val="clear"/>
        </w:rPr>
        <w:t xml:space="preserve">Robert Cauley, the Company’s Chief Executive Officer and Chairman of the Board of Directors, also serves as Chief Executive Officer and Chairman of the Board of Directors of Bimini and owns shares of common stock of Bimini. George H. Haas, IV, the Company’s Chief Financial Officer, Chief Investment Officer, Secretary and a member of the Board of Directors, also serves as the Chief Financial Officer, Chief Investment Officer and Treasurer of Bimini and owns shares of common stock of Bimini. In addition, as of </w:t>
      </w:r>
      <w:r>
        <w:rPr>
          <w:rStyle w:val="Emphasis"/>
          <w:rFonts w:ascii="Times New Roman" w:hAnsi="Times New Roman"/>
          <w:caps w:val="false"/>
          <w:smallCaps w:val="false"/>
          <w:sz w:val="20"/>
        </w:rPr>
        <w:t>June 30, 2026</w:t>
      </w:r>
      <w:r>
        <w:rPr>
          <w:rFonts w:ascii="Times New Roman" w:hAnsi="Times New Roman"/>
          <w:caps w:val="false"/>
          <w:smallCaps w:val="false"/>
          <w:sz w:val="20"/>
          <w:shd w:fill="FFFFFF" w:val="clear"/>
        </w:rPr>
        <w:t>, Bimini owned 569,071 shares, or 0.3%, of the Company’s common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firstLine="36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15.</w:t>
      </w:r>
      <w:r>
        <w:rPr>
          <w:rFonts w:ascii="Times New Roman" w:hAnsi="Times New Roman"/>
          <w:b/>
          <w:caps w:val="false"/>
          <w:smallCaps w:val="false"/>
          <w:sz w:val="20"/>
        </w:rPr>
        <w:t xml:space="preserve"> SEGMENT INFORMATION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The Company follows ASC </w:t>
      </w:r>
      <w:r>
        <w:rPr>
          <w:rStyle w:val="Emphasis"/>
          <w:rFonts w:ascii="Times New Roman" w:hAnsi="Times New Roman"/>
          <w:i/>
          <w:caps w:val="false"/>
          <w:smallCaps w:val="false"/>
          <w:sz w:val="20"/>
        </w:rPr>
        <w:t>280,</w:t>
      </w:r>
      <w:r>
        <w:rPr>
          <w:rFonts w:ascii="Times New Roman" w:hAnsi="Times New Roman"/>
          <w:caps w:val="false"/>
          <w:smallCaps w:val="false"/>
          <w:sz w:val="20"/>
        </w:rPr>
        <w:t> </w:t>
      </w:r>
      <w:r>
        <w:rPr>
          <w:rFonts w:ascii="Times New Roman" w:hAnsi="Times New Roman"/>
          <w:i/>
          <w:caps w:val="false"/>
          <w:smallCaps w:val="false"/>
          <w:sz w:val="20"/>
        </w:rPr>
        <w:t>Segment Reporting</w:t>
      </w:r>
      <w:r>
        <w:rPr>
          <w:rFonts w:ascii="Times New Roman" w:hAnsi="Times New Roman"/>
          <w:caps w:val="false"/>
          <w:smallCaps w:val="false"/>
          <w:sz w:val="20"/>
        </w:rPr>
        <w:t>, which establishes standards for the way public business enterprises report information about operating segments in annual financial statements and requires that those enterprises report selected information about operating segments in financial statements issued to shareholders. The Company’s Chief Operating Decision Maker ("CODM"), its CEO, assesses performance and allocates resources based on company-wide financial information. The Company derives nearly all of its income from interest on its RMBS portfolio. Consequently, the Company has determined that it operates in a single reportable segment and the strategic purpose of all operating activities is to support that one segment. The CODM evaluates company-wide performance based on multiple performance measures, including net income, which is the Company's primary measure of segment performance. The CODM does </w:t>
      </w:r>
      <w:r>
        <w:rPr>
          <w:rStyle w:val="Emphasis"/>
          <w:rFonts w:ascii="Times New Roman" w:hAnsi="Times New Roman"/>
          <w:caps w:val="false"/>
          <w:smallCaps w:val="false"/>
          <w:sz w:val="20"/>
        </w:rPr>
        <w:t>not</w:t>
      </w:r>
      <w:r>
        <w:rPr>
          <w:rFonts w:ascii="Times New Roman" w:hAnsi="Times New Roman"/>
          <w:caps w:val="false"/>
          <w:smallCaps w:val="false"/>
          <w:sz w:val="20"/>
        </w:rPr>
        <w:t> generally evaluate our performance using asset or historical cash flow information. Since the Company operates in </w:t>
      </w:r>
      <w:r>
        <w:rPr>
          <w:rStyle w:val="Emphasis"/>
          <w:rFonts w:ascii="Times New Roman" w:hAnsi="Times New Roman"/>
          <w:caps w:val="false"/>
          <w:smallCaps w:val="false"/>
          <w:sz w:val="20"/>
        </w:rPr>
        <w:t>one</w:t>
      </w:r>
      <w:r>
        <w:rPr>
          <w:rFonts w:ascii="Times New Roman" w:hAnsi="Times New Roman"/>
          <w:caps w:val="false"/>
          <w:smallCaps w:val="false"/>
          <w:sz w:val="20"/>
        </w:rPr>
        <w:t> operating segment, all required financial segment information can be found in the financial statements. Significant expenses within net income that are used to evaluate performance are each separately presented in the statements of comprehensive income (loss).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distinguish between markets or segments for the purpose of internal reporting. The Company's segment assets are presented in the Company's Balance Sheets under total assets.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bookmarkStart w:id="8" w:name="mda"/>
      <w:bookmarkEnd w:id="8"/>
      <w:r>
        <w:rPr>
          <w:rFonts w:ascii="Times New Roman" w:hAnsi="Times New Roman"/>
          <w:b/>
          <w:caps w:val="false"/>
          <w:smallCaps w:val="false"/>
          <w:sz w:val="20"/>
        </w:rPr>
        <w:t>ITEM 2. 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following discussion of our financial condition and results of operations should be read in conjunction with the financial statements and notes to those statements included in Item 1 of this Form 10-Q. Certain written statements in this Quarterly Report on Form 10-Q that are not historical facts constitute “forward-looking statements” within the meaning of Section 27A of the Securities Act of 1933, as amended, and Section 21E of the Exchange Act. Statements in this report addressing expectations, assumptions, beliefs, projections, future plans and strategies, future events, developments that we expect or anticipate will occur in the future, and future operating results, capital management, and dividend policy are forward-looking statements. Forward-looking statements are based upon management’s beliefs, assumptions, and expectations as of the date of this report regarding future events and operating performance, considering all information currently available to us, and are applicable only as of the date of this report. Forward-looking statements generally can be identified by the use of words such as “believe,” “expect,” “anticipate,” “estimate,” “plan,” “may,” “will,” “intend,” “should,” “could,” or similar expressions. We caution readers not to place undue reliance on our forward-looking statements, which are not historical facts and may be based on projections, assumptions, expectations, and anticipated events that do not materialize. Except as required by law, we are not obligated to, and do not intend to, update or revise any forward-looking statement, whether as a result of new information, future events, or otherwise. Forward-looking statements in this Quarterly Report on Form 10-Q may include, but are not limited to, statements about interest rates, inflation, liquidity, pledging of our structured RMBS, funding levels and spreads, prepayment speeds, portfolio composition, positioning and repositioning, hedging levels, leverage ratio, dividends, investment and return opportunities, the supply and demand for Agency RMBS and the performance of the Agency RMBS sector generally, the effect of actual or expected actions of the U.S. government, including the Fed, market expectations, capital raising, future opportunities and prospects of the Company, the stock repurchase program, geopolitical uncertainty and general economic conditions (including the effects of artificial intelligence, wars, tariffs, trade wars, inflation, the U.S. deficit, and the strength of the U.S. dollar). As a result of many factors, such as those set forth under “Risk Factors” in our most recent Annual Report on Form 10-K, our actual results may differ materially from those anticipated in such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are a specialty finance company that invests in residential mortgage-backed securities (“RMBS”) which are issued and guaranteed by a federally chartered corporation or agency (“Agency RMBS”). Our investment strategy focuses on, and our portfolio consists of, two categories of Agency RMBS: (i) traditional pass-through ("PT") Agency RMBS, such as mortgage PT certificates issued by the Federal National Mortgage Association ("Fannie Mae"), the Federal Home Loan Mortgage Corporation ("Freddie Mac" and together with Fannie Mae, the "Enterprises") or the Government National Mortgage Association ("Ginnie Mae" and, together with the Enterprises the “GSEs”) and collateralized mortgage obligations (“CMOs”) issued by the GSEs (“PT RMBS”) and (ii) structured Agency RMBS, such as interest-only securities (“IOs”), inverse interest-only securities (“IIOs”) and principal only securities (“POs”), among other types of structured Agency RMBS. We were formed by Bimini Capital Management, Inc. ("Bimini") in August 2010, commenced operations on November 24, 2010 and completed our initial public offering (“IPO”) on February 20, 2013. We are externally managed by Bimini Advisors, LLC ("Bimini Advisors," or our "Manager"), an investment adviser registered with the Securities and Exchange Commission (the “SEC”).</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business objective is to provide attractive risk-adjusted total returns over the long term through a combination of capital appreciation and the payment of regular monthly distributions. We intend to achieve this objective by investing in the two categories of Agency RMBS described above. We seek to generate income from the net interest margin on our leveraged PT RMBS and structured Agency RMBS portfolio. We intend to fund our PT RMBS and structured Agency RMBS through short-term borrowings structured as repurchase agreements.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operate so as to qualify to be taxed as a real estate investment trust ("REIT") under the Internal Revenue Code of 1986, as amended (the "Code"). We generally will not be subject to U.S. federal income tax to the extent that we currently distribute all of our REIT taxable income (as defined in the Code) to our stockholders and maintain our REIT qualification.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Company’s common stock trades on the New York Stock Exchange under the symbol “ORC”.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Capital Raising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On June 11, 2024, we entered into an equity distribution agreement (the “June 2024 Equity Distribution Agreement”) with three sales agents pursuant to which we could offer and sell, from time to time, up to an aggregate amount of $250,000,000 of gross proceeds from the sales of shares of our common stock in transactions that were deemed to be “at the market” offerings and privately negotiated transactions. We issued a total of 30,513,253 shares under the June 2024 Equity Distribution Agreement for aggregate gross proceeds of approximately $250.0 million and net proceeds of approximately $245.8 million, after commissions and fees, prior to its termination in February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On February 24, 2025, we entered into an equity distribution agreement (the “February 2025 Equity Distribution Agreement”) with four sales agents pursuant to which we could offer and sell, from time to time, up to an aggregate amount of $350,000,000 of gross proceeds from the sales of shares of our common stock in transactions that were deemed to be “at the market” offerings and privately negotiated transactions. On July 28, 2025, the February 2025 Equity Distribution Agreement was amended to increase the aggregate amount of gross proceeds from the sales of shares that may be offered by $150,000,000 to a total of $500,000,000. We issued a total of 59,492,504 shares under the February 2025 Equity Distribution Agreement for aggregate gross proceeds of approximately $445.1 million and net proceeds of approximately $438.0 million, after commissions and fees, prior to its termination in October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shd w:fill="FFFFFF" w:val="clear"/>
        </w:rPr>
        <w:t xml:space="preserve">On October 27, 2025, we entered into an equity distribution agreement (the “October 2025 Equity Distribution Agreement”) with four sales agents pursuant to which we may offer and sell, from time to time, up to an aggregate amount of $500,000,000 of gross proceeds from the sales of shares of our common stock in transactions that are deemed to be “at the market” offerings and privately negotiated transactions. From inception through </w:t>
      </w:r>
      <w:r>
        <w:rPr>
          <w:rFonts w:ascii="Times New Roman" w:hAnsi="Times New Roman"/>
          <w:caps w:val="false"/>
          <w:smallCaps w:val="false"/>
          <w:sz w:val="20"/>
        </w:rPr>
        <w:t>June 30, 2026, we</w:t>
      </w:r>
      <w:r>
        <w:rPr>
          <w:rFonts w:ascii="Times New Roman" w:hAnsi="Times New Roman"/>
          <w:caps w:val="false"/>
          <w:smallCaps w:val="false"/>
          <w:sz w:val="20"/>
          <w:shd w:fill="FFFFFF" w:val="clear"/>
        </w:rPr>
        <w:t xml:space="preserve"> issued a total of 48,824,644 shares under the October 2025 Equity Distribution Agreement for aggregate gross proceeds of approximately $360.9 million, and net proceeds of approximately $355.2 million, after commissions and fees. For the six months ended </w:t>
      </w:r>
      <w:r>
        <w:rPr>
          <w:rFonts w:ascii="Times New Roman" w:hAnsi="Times New Roman"/>
          <w:caps w:val="false"/>
          <w:smallCaps w:val="false"/>
          <w:sz w:val="20"/>
        </w:rPr>
        <w:t>June 30, 2026, we</w:t>
      </w:r>
      <w:r>
        <w:rPr>
          <w:rFonts w:ascii="Times New Roman" w:hAnsi="Times New Roman"/>
          <w:caps w:val="false"/>
          <w:smallCaps w:val="false"/>
          <w:sz w:val="20"/>
          <w:shd w:fill="FFFFFF" w:val="clear"/>
        </w:rPr>
        <w:t> issued a total of 18,558,681 shares under the October 2025 Equity Distribution Agreement for aggregate gross proceeds of approximately $137.7 million, and net proceeds of approximately $135.5 million, after commissions and fees.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Stock Repurchase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On July 29, 2015, the Company’s Board of Directors authorized the repurchase of up to 400,000 shares of our common stock. The timing, manner, price and amount of any repurchases is determined by the Company in its discretion and is subject to economic and market conditions, stock price, applicable legal requirements and other factors. The authorization does not obligate the Company to acquire any particular amount of common stock, and the program may be suspended or discontinued at the Company’s discretion without prior notice. On February 8, 2018, the Board of Directors approved an increase in the stock repurchase program for up to an additional 904,564 shares of the Company’s common stock. Coupled with the 156,751 shares remaining from the original 400,000 share authorization, the increased authorization brought the total authorization to 1,061,315 shares, representing 10% of the Company’s then outstanding share 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On December 9, 2021, the Board of Directors approved an increase in the number of shares of the Company’s common stock available in the stock repurchase program for up to an additional 3,372,399 shares, bringing the remaining authorization under the stock repurchase program to 3,539,861 shares, representing approximately 10% of the Company’s then outstanding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On October 12, 2022, the Board of Directors approved an increase in the number of shares of the Company’s common stock available in the stock repurchase program for up to an additional 4,300,000 shares, bringing the remaining authorization under the stock repurchase program to 6,183,601 shares, representing approximately 18% of the Company’s then outstanding shares of common stock. This stock repurchase program has no termination date.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On June 22, 2026, the Board of Directors approved an increase in the number of shares of the Company’s common stock available in the stock repurchase program for up to an additional 25,000,000 shares, bringing the remaining authorization under the stock repurchase program to 26,612,580 shares, representing approximately 13.3% of the Company’s currently outstanding shares of common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shd w:fill="FFFFFF" w:val="clear"/>
        </w:rPr>
        <w:t xml:space="preserve">From the inception of the stock repurchase program through </w:t>
      </w:r>
      <w:r>
        <w:rPr>
          <w:rFonts w:ascii="Times New Roman" w:hAnsi="Times New Roman"/>
          <w:caps w:val="false"/>
          <w:smallCaps w:val="false"/>
          <w:sz w:val="20"/>
        </w:rPr>
        <w:t>June 30, 2026</w:t>
      </w:r>
      <w:r>
        <w:rPr>
          <w:rFonts w:ascii="Times New Roman" w:hAnsi="Times New Roman"/>
          <w:caps w:val="false"/>
          <w:smallCaps w:val="false"/>
          <w:sz w:val="20"/>
          <w:shd w:fill="FFFFFF" w:val="clear"/>
        </w:rPr>
        <w:t xml:space="preserve">, the Company repurchased a total of </w:t>
      </w:r>
      <w:r>
        <w:rPr>
          <w:rFonts w:ascii="Times New Roman" w:hAnsi="Times New Roman"/>
          <w:caps w:val="false"/>
          <w:smallCaps w:val="false"/>
          <w:sz w:val="20"/>
        </w:rPr>
        <w:t>7,364,383</w:t>
      </w:r>
      <w:r>
        <w:rPr>
          <w:rFonts w:ascii="Times New Roman" w:hAnsi="Times New Roman"/>
          <w:caps w:val="false"/>
          <w:smallCaps w:val="false"/>
          <w:sz w:val="20"/>
          <w:shd w:fill="FFFFFF" w:val="clear"/>
        </w:rPr>
        <w:t> shares at an aggregate cost of approximately $</w:t>
      </w:r>
      <w:r>
        <w:rPr>
          <w:rFonts w:ascii="Times New Roman" w:hAnsi="Times New Roman"/>
          <w:caps w:val="false"/>
          <w:smallCaps w:val="false"/>
          <w:sz w:val="20"/>
        </w:rPr>
        <w:t>92.1 million</w:t>
      </w:r>
      <w:r>
        <w:rPr>
          <w:rFonts w:ascii="Times New Roman" w:hAnsi="Times New Roman"/>
          <w:caps w:val="false"/>
          <w:smallCaps w:val="false"/>
          <w:sz w:val="20"/>
          <w:shd w:fill="FFFFFF" w:val="clear"/>
        </w:rPr>
        <w:t>, including commissions and fees, for a weighted average price of $</w:t>
      </w:r>
      <w:r>
        <w:rPr>
          <w:rFonts w:ascii="Times New Roman" w:hAnsi="Times New Roman"/>
          <w:caps w:val="false"/>
          <w:smallCaps w:val="false"/>
          <w:sz w:val="20"/>
        </w:rPr>
        <w:t>12.51</w:t>
      </w:r>
      <w:r>
        <w:rPr>
          <w:rFonts w:ascii="Times New Roman" w:hAnsi="Times New Roman"/>
          <w:caps w:val="false"/>
          <w:smallCaps w:val="false"/>
          <w:sz w:val="20"/>
          <w:shd w:fill="FFFFFF" w:val="clear"/>
        </w:rPr>
        <w:t xml:space="preserve"> per share. During the </w:t>
      </w:r>
      <w:r>
        <w:rPr>
          <w:rFonts w:ascii="Times New Roman" w:hAnsi="Times New Roman"/>
          <w:caps w:val="false"/>
          <w:smallCaps w:val="false"/>
          <w:sz w:val="20"/>
        </w:rPr>
        <w:t>six and three months ended June 30, 2026</w:t>
      </w:r>
      <w:r>
        <w:rPr>
          <w:rFonts w:ascii="Times New Roman" w:hAnsi="Times New Roman"/>
          <w:caps w:val="false"/>
          <w:smallCaps w:val="false"/>
          <w:sz w:val="20"/>
          <w:shd w:fill="FFFFFF" w:val="clear"/>
        </w:rPr>
        <w:t xml:space="preserve">, the </w:t>
      </w:r>
      <w:r>
        <w:rPr>
          <w:rFonts w:ascii="Times New Roman" w:hAnsi="Times New Roman"/>
          <w:caps w:val="false"/>
          <w:smallCaps w:val="false"/>
          <w:sz w:val="20"/>
        </w:rPr>
        <w:t xml:space="preserve">Company repurchased a total of 1,106,557 shares at an aggregate cost of approximately $7.3 million, including commissions and fees, for a weighted average price of $6.64 per share. During the year ended December 31, 2025, the Company repurchased a total of 1,113,224 shares at an aggregate cost of approximately $7.3 million, including commissions and fees, for a weighted average price of $6.52 per share. </w:t>
      </w:r>
      <w:r>
        <w:rPr>
          <w:rFonts w:ascii="Times New Roman" w:hAnsi="Times New Roman"/>
          <w:caps w:val="false"/>
          <w:smallCaps w:val="false"/>
          <w:sz w:val="20"/>
          <w:shd w:fill="FFFFFF" w:val="clear"/>
        </w:rPr>
        <w:t>The remaining authorization under the stock repurchase program as of July 23, 2026 was </w:t>
      </w:r>
      <w:r>
        <w:rPr>
          <w:rFonts w:ascii="Times New Roman" w:hAnsi="Times New Roman"/>
          <w:caps w:val="false"/>
          <w:smallCaps w:val="false"/>
          <w:sz w:val="20"/>
        </w:rPr>
        <w:t>26,612,580</w:t>
      </w:r>
      <w:r>
        <w:rPr>
          <w:rFonts w:ascii="Times New Roman" w:hAnsi="Times New Roman"/>
          <w:caps w:val="false"/>
          <w:smallCaps w:val="false"/>
          <w:sz w:val="20"/>
          <w:shd w:fill="FFFFFF" w:val="clear"/>
        </w:rPr>
        <w: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Factors that Affect our Results of Operations and Financial Condition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 variety of industry and economic factors may impact our results of operations and financial condition. These factors include:</w:t>
      </w:r>
    </w:p>
    <w:p>
      <w:pPr>
        <w:pStyle w:val="TextBody"/>
        <w:bidi w:val="0"/>
        <w:spacing w:before="0" w:after="0"/>
        <w:ind w:left="0" w:right="0" w:hanging="0"/>
        <w:jc w:val="left"/>
        <w:rPr>
          <w:caps w:val="false"/>
          <w:smallCaps w:val="false"/>
        </w:rPr>
      </w:pPr>
      <w:r>
        <w:rPr>
          <w:caps w:val="false"/>
          <w:smallCaps w:val="false"/>
        </w:rPr>
        <w:t> </w:t>
      </w:r>
    </w:p>
    <w:tbl>
      <w:tblPr>
        <w:tblW w:w="1795" w:type="dxa"/>
        <w:jc w:val="left"/>
        <w:tblInd w:w="0" w:type="dxa"/>
        <w:tblLayout w:type="fixed"/>
        <w:tblCellMar>
          <w:top w:w="0" w:type="dxa"/>
          <w:left w:w="0" w:type="dxa"/>
          <w:bottom w:w="0" w:type="dxa"/>
          <w:right w:w="0" w:type="dxa"/>
        </w:tblCellMar>
      </w:tblPr>
      <w:tblGrid>
        <w:gridCol w:w="60"/>
        <w:gridCol w:w="170"/>
        <w:gridCol w:w="15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5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rate trends;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changes in our cost of funds, including decreases in the Fed Funds rate that are controlled by the Federal Reserve (the "Fed") that occurred in 2025, or potential additional changes in the Fed Funds rate;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difference between Agency RMBS yields and our funding and hedging costs;</w:t>
            </w:r>
          </w:p>
        </w:tc>
      </w:tr>
    </w:tbl>
    <w:tbl>
      <w:tblPr>
        <w:tblW w:w="5320" w:type="dxa"/>
        <w:jc w:val="left"/>
        <w:tblInd w:w="0" w:type="dxa"/>
        <w:tblLayout w:type="fixed"/>
        <w:tblCellMar>
          <w:top w:w="0" w:type="dxa"/>
          <w:left w:w="0" w:type="dxa"/>
          <w:bottom w:w="0" w:type="dxa"/>
          <w:right w:w="0" w:type="dxa"/>
        </w:tblCellMar>
      </w:tblPr>
      <w:tblGrid>
        <w:gridCol w:w="60"/>
        <w:gridCol w:w="170"/>
        <w:gridCol w:w="50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0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competition for, and supply of, investments in Agency RMBS;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actions taken by the U.S. government, including the presidential administration, the Fed, the Federal Housing Financing Agency (the “FHFA”), the FDIC, Federal Housing Administration (the “FHA”), the Federal Open Market Committee (the “FOMC”) and the U.S. Treasury;</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prepayment rates on mortgages underlying our Agency RMBS and credit trends insofar as they affect prepayment rates; and</w:t>
            </w:r>
          </w:p>
        </w:tc>
      </w:tr>
    </w:tbl>
    <w:tbl>
      <w:tblPr>
        <w:tblW w:w="4480" w:type="dxa"/>
        <w:jc w:val="left"/>
        <w:tblInd w:w="0" w:type="dxa"/>
        <w:tblLayout w:type="fixed"/>
        <w:tblCellMar>
          <w:top w:w="0" w:type="dxa"/>
          <w:left w:w="0" w:type="dxa"/>
          <w:bottom w:w="0" w:type="dxa"/>
          <w:right w:w="0" w:type="dxa"/>
        </w:tblCellMar>
      </w:tblPr>
      <w:tblGrid>
        <w:gridCol w:w="60"/>
        <w:gridCol w:w="170"/>
        <w:gridCol w:w="42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2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market developments, including bank failures.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 addition, a variety of factors relating to our business may also impact our results of operations and financial condition. These factors include:</w:t>
      </w:r>
    </w:p>
    <w:p>
      <w:pPr>
        <w:pStyle w:val="TextBody"/>
        <w:bidi w:val="0"/>
        <w:spacing w:before="0" w:after="0"/>
        <w:ind w:left="0" w:right="0" w:hanging="0"/>
        <w:jc w:val="left"/>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60"/>
        <w:gridCol w:w="170"/>
        <w:gridCol w:w="18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degree of leverage;</w:t>
            </w:r>
          </w:p>
        </w:tc>
      </w:tr>
    </w:tbl>
    <w:tbl>
      <w:tblPr>
        <w:tblW w:w="4000" w:type="dxa"/>
        <w:jc w:val="left"/>
        <w:tblInd w:w="0" w:type="dxa"/>
        <w:tblLayout w:type="fixed"/>
        <w:tblCellMar>
          <w:top w:w="0" w:type="dxa"/>
          <w:left w:w="0" w:type="dxa"/>
          <w:bottom w:w="0" w:type="dxa"/>
          <w:right w:w="0" w:type="dxa"/>
        </w:tblCellMar>
      </w:tblPr>
      <w:tblGrid>
        <w:gridCol w:w="60"/>
        <w:gridCol w:w="170"/>
        <w:gridCol w:w="37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access to funding and borrowing capacity;</w:t>
            </w:r>
          </w:p>
        </w:tc>
      </w:tr>
    </w:tbl>
    <w:tbl>
      <w:tblPr>
        <w:tblW w:w="1915" w:type="dxa"/>
        <w:jc w:val="left"/>
        <w:tblInd w:w="0" w:type="dxa"/>
        <w:tblLayout w:type="fixed"/>
        <w:tblCellMar>
          <w:top w:w="0" w:type="dxa"/>
          <w:left w:w="0" w:type="dxa"/>
          <w:bottom w:w="0" w:type="dxa"/>
          <w:right w:w="0" w:type="dxa"/>
        </w:tblCellMar>
      </w:tblPr>
      <w:tblGrid>
        <w:gridCol w:w="60"/>
        <w:gridCol w:w="170"/>
        <w:gridCol w:w="16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6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borrowing costs;</w:t>
            </w:r>
          </w:p>
        </w:tc>
      </w:tr>
    </w:tbl>
    <w:tbl>
      <w:tblPr>
        <w:tblW w:w="2095" w:type="dxa"/>
        <w:jc w:val="left"/>
        <w:tblInd w:w="0" w:type="dxa"/>
        <w:tblLayout w:type="fixed"/>
        <w:tblCellMar>
          <w:top w:w="0" w:type="dxa"/>
          <w:left w:w="0" w:type="dxa"/>
          <w:bottom w:w="0" w:type="dxa"/>
          <w:right w:w="0" w:type="dxa"/>
        </w:tblCellMar>
      </w:tblPr>
      <w:tblGrid>
        <w:gridCol w:w="60"/>
        <w:gridCol w:w="170"/>
        <w:gridCol w:w="18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8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hedging activities;</w:t>
            </w:r>
          </w:p>
        </w:tc>
      </w:tr>
    </w:tbl>
    <w:tbl>
      <w:tblPr>
        <w:tblW w:w="3550" w:type="dxa"/>
        <w:jc w:val="left"/>
        <w:tblInd w:w="0" w:type="dxa"/>
        <w:tblLayout w:type="fixed"/>
        <w:tblCellMar>
          <w:top w:w="0" w:type="dxa"/>
          <w:left w:w="0" w:type="dxa"/>
          <w:bottom w:w="0" w:type="dxa"/>
          <w:right w:w="0" w:type="dxa"/>
        </w:tblCellMar>
      </w:tblPr>
      <w:tblGrid>
        <w:gridCol w:w="60"/>
        <w:gridCol w:w="170"/>
        <w:gridCol w:w="33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market value of our investments;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requirements to maintain our qualification as a REIT and the requirements to qualify for a registration exemption under the Investment Company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Described below are the Company’s results of operations for the six and three months ended June 30, 2026, as compared to the Company’s results of operations for the six and three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Net Income (Loss)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shd w:fill="FFFFFF" w:val="clear"/>
        </w:rPr>
        <w:t xml:space="preserve">Net income for the </w:t>
      </w:r>
      <w:r>
        <w:rPr>
          <w:rFonts w:ascii="Times New Roman" w:hAnsi="Times New Roman"/>
          <w:caps w:val="false"/>
          <w:smallCaps w:val="false"/>
          <w:sz w:val="20"/>
        </w:rPr>
        <w:t>six months ended June 30, 2026</w:t>
      </w:r>
      <w:r>
        <w:rPr>
          <w:rFonts w:ascii="Times New Roman" w:hAnsi="Times New Roman"/>
          <w:caps w:val="false"/>
          <w:smallCaps w:val="false"/>
          <w:sz w:val="20"/>
          <w:shd w:fill="FFFFFF" w:val="clear"/>
        </w:rPr>
        <w:t xml:space="preserve"> was $69.2 million, or $0.35 per share. Net loss for the </w:t>
      </w:r>
      <w:r>
        <w:rPr>
          <w:rFonts w:ascii="Times New Roman" w:hAnsi="Times New Roman"/>
          <w:caps w:val="false"/>
          <w:smallCaps w:val="false"/>
          <w:sz w:val="20"/>
        </w:rPr>
        <w:t>six months ended June 30, 2025</w:t>
      </w:r>
      <w:r>
        <w:rPr>
          <w:rFonts w:ascii="Times New Roman" w:hAnsi="Times New Roman"/>
          <w:caps w:val="false"/>
          <w:smallCaps w:val="false"/>
          <w:sz w:val="20"/>
          <w:shd w:fill="FFFFFF" w:val="clear"/>
        </w:rPr>
        <w:t xml:space="preserve"> was $16.5 million, or $0.16 per share. Net income for the </w:t>
      </w:r>
      <w:r>
        <w:rPr>
          <w:rFonts w:ascii="Times New Roman" w:hAnsi="Times New Roman"/>
          <w:caps w:val="false"/>
          <w:smallCaps w:val="false"/>
          <w:sz w:val="20"/>
        </w:rPr>
        <w:t xml:space="preserve">three months ended </w:t>
      </w:r>
      <w:r>
        <w:rPr>
          <w:rFonts w:ascii="Times New Roman" w:hAnsi="Times New Roman"/>
          <w:caps w:val="false"/>
          <w:smallCaps w:val="false"/>
          <w:sz w:val="20"/>
          <w:shd w:fill="FFFFFF" w:val="clear"/>
        </w:rPr>
        <w:t xml:space="preserve"> June 30, 2026 was $89.2 million, or $0.44 per share. Net loss for the </w:t>
      </w:r>
      <w:r>
        <w:rPr>
          <w:rFonts w:ascii="Times New Roman" w:hAnsi="Times New Roman"/>
          <w:caps w:val="false"/>
          <w:smallCaps w:val="false"/>
          <w:sz w:val="20"/>
        </w:rPr>
        <w:t>three months ended June 30, 2025</w:t>
      </w:r>
      <w:r>
        <w:rPr>
          <w:rFonts w:ascii="Times New Roman" w:hAnsi="Times New Roman"/>
          <w:caps w:val="false"/>
          <w:smallCaps w:val="false"/>
          <w:sz w:val="20"/>
          <w:shd w:fill="FFFFFF" w:val="clear"/>
        </w:rPr>
        <w:t xml:space="preserve"> was $33.6 million, or $0.29 per share. The components of net income (loss) for the </w:t>
      </w:r>
      <w:r>
        <w:rPr>
          <w:rFonts w:ascii="Times New Roman" w:hAnsi="Times New Roman"/>
          <w:caps w:val="false"/>
          <w:smallCaps w:val="false"/>
          <w:sz w:val="20"/>
        </w:rPr>
        <w:t>six and three months ended June 30, 2026 and 2025</w:t>
      </w:r>
      <w:r>
        <w:rPr>
          <w:rFonts w:ascii="Times New Roman" w:hAnsi="Times New Roman"/>
          <w:caps w:val="false"/>
          <w:smallCaps w:val="false"/>
          <w:sz w:val="20"/>
          <w:shd w:fill="FFFFFF" w:val="clear"/>
        </w:rPr>
        <w:t>, along with the changes in those components are presented in the table below:</w:t>
      </w:r>
    </w:p>
    <w:p>
      <w:pPr>
        <w:pStyle w:val="TextBody"/>
        <w:bidi w:val="0"/>
        <w:spacing w:before="0" w:after="0"/>
        <w:ind w:left="0" w:right="0" w:firstLine="360"/>
        <w:jc w:val="left"/>
        <w:rPr>
          <w:caps w:val="false"/>
          <w:smallCaps w:val="false"/>
        </w:rPr>
      </w:pPr>
      <w:r>
        <w:rPr>
          <w:caps w:val="false"/>
          <w:smallCaps w:val="false"/>
        </w:rPr>
        <w:t> </w:t>
      </w:r>
    </w:p>
    <w:tbl>
      <w:tblPr>
        <w:tblW w:w="8825" w:type="dxa"/>
        <w:jc w:val="left"/>
        <w:tblInd w:w="0" w:type="dxa"/>
        <w:tblLayout w:type="fixed"/>
        <w:tblCellMar>
          <w:top w:w="0" w:type="dxa"/>
          <w:left w:w="0" w:type="dxa"/>
          <w:bottom w:w="28" w:type="dxa"/>
          <w:right w:w="0" w:type="dxa"/>
        </w:tblCellMar>
      </w:tblPr>
      <w:tblGrid>
        <w:gridCol w:w="3545"/>
        <w:gridCol w:w="60"/>
        <w:gridCol w:w="110"/>
        <w:gridCol w:w="665"/>
        <w:gridCol w:w="80"/>
        <w:gridCol w:w="60"/>
        <w:gridCol w:w="110"/>
        <w:gridCol w:w="665"/>
        <w:gridCol w:w="80"/>
        <w:gridCol w:w="60"/>
        <w:gridCol w:w="110"/>
        <w:gridCol w:w="605"/>
        <w:gridCol w:w="80"/>
        <w:gridCol w:w="60"/>
        <w:gridCol w:w="110"/>
        <w:gridCol w:w="665"/>
        <w:gridCol w:w="80"/>
        <w:gridCol w:w="60"/>
        <w:gridCol w:w="110"/>
        <w:gridCol w:w="575"/>
        <w:gridCol w:w="80"/>
        <w:gridCol w:w="60"/>
        <w:gridCol w:w="110"/>
        <w:gridCol w:w="605"/>
        <w:gridCol w:w="80"/>
      </w:tblGrid>
      <w:tr>
        <w:trPr/>
        <w:tc>
          <w:tcPr>
            <w:tcW w:w="354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665"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665"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605"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665"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575"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605"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5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545" w:type="dxa"/>
            <w:gridSpan w:val="10"/>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Six Months Ended June 30,</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455" w:type="dxa"/>
            <w:gridSpan w:val="10"/>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Three Months Ended June 30,</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54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2026</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2025</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Change</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2026</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8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2025</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Change</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54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Interest income</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322,025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173,379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148,646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164,187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92,289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71,898</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54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Interest expense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(204,990</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(130,512</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(74,478</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(104,215</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(69,135</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(35,080</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354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interest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6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117,035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6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42,867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74,168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6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59,972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23,154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36,818</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54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(Losses) gains on RMBS and derivative contracts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(33,638</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(50,101</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16,463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35,983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(51,736</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87,719</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54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portfolio income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6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83,397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6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(7,234</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90,631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6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95,955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(28,582</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124,537</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54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Expenses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(14,160</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(9,222</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(4,938</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(6,763</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(4,996</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(1,767</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3545" w:type="dxa"/>
            <w:tcBorders>
              <w:bottom w:val="double" w:sz="6"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income (loss)</w:t>
            </w:r>
          </w:p>
        </w:tc>
        <w:tc>
          <w:tcPr>
            <w:tcW w:w="60" w:type="dxa"/>
            <w:tcBorders>
              <w:bottom w:val="double" w:sz="6" w:space="0" w:color="000000"/>
            </w:tcBorders>
            <w:shd w:fill="CCEEFF" w:val="clear"/>
            <w:tcMar>
              <w:bottom w:w="45"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69,237</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45"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(16,456</w:t>
            </w:r>
          </w:p>
        </w:tc>
        <w:tc>
          <w:tcPr>
            <w:tcW w:w="8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CCEEFF" w:val="clear"/>
            <w:tcMar>
              <w:bottom w:w="45"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85,693</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45"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89,192</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45"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(33,578</w:t>
            </w:r>
          </w:p>
        </w:tc>
        <w:tc>
          <w:tcPr>
            <w:tcW w:w="8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CCEEFF" w:val="clear"/>
            <w:tcMar>
              <w:bottom w:w="45"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122,770</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4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GAAP and Non-GAAP Reconciliations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 addition to the results presented in accordance with GAAP, our results of operations discussed below include certain non-GAAP financial information, including “Net Earnings Excluding Realized and Unrealized Gains and Losses”, “Economic Interest Expense,” “Economic Net Interest Income,” “Interest Income – Inclusive of Premium Amortization/Discount Accretion” and “Yield on Average RMBS – Inclusive of Premium Amortization/Discount Accretion.”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i/>
          <w:caps w:val="false"/>
          <w:smallCaps w:val="false"/>
          <w:sz w:val="20"/>
        </w:rPr>
      </w:pPr>
      <w:r>
        <w:rPr>
          <w:rFonts w:ascii="Times New Roman" w:hAnsi="Times New Roman"/>
          <w:i/>
          <w:caps w:val="false"/>
          <w:smallCaps w:val="false"/>
          <w:sz w:val="20"/>
        </w:rPr>
        <w:t>Net Earnings Excluding Realized and Unrealized Gains and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have elected to account for our Agency RMBS under the fair value option. Securities held under the fair value option are recorded at estimated fair value, with changes in the fair value recorded as unrealized gains or losses through the statements of comprehensive income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 addition, we have not designated our derivative financial instruments used for hedging purposes as hedges for accounting purposes, but rather hold them for economic hedging purposes. Changes in fair value of these instruments are presented in a separate line item in the Company’s statements of comprehensive income (loss) and are not included in interest expense. As such, for financial reporting purposes, interest expense and cost of funds are not impacted by the fluctuation in value of the derivative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Presenting net earnings excluding realized and unrealized gains and losses allows management to: (i) isolate the net interest income and other expenses of the Company over time, free of all fair value adjustments and (ii) assess the effectiveness of our funding and hedging strategies on our capital allocation decisions and our asset allocation performance. Our funding and hedging strategies, capital allocation and asset selection are integral to our risk management strategy, and therefore critical to the management of our portfolio. We believe that the presentation of our net earnings excluding realized and unrealized gains is useful to investors because it provides a means of comparing our results of operations to those of our peers who have not elected the same accounting treatment. Our presentation of net earnings excluding realized and unrealized gains and losses may not be comparable to similarly-titled measures of other companies, who may use different calculations. As a result, net earnings excluding realized and unrealized gains and losses should not be considered as a substitute for our GAAP net income (loss) as a measure of our financial performance or any measure of our liquidity under GAAP. The table below presents a reconciliation of our net income (loss) determined in accordance with GAAP and net earnings excluding realized and unrealized gains and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Described below are the Company’s results of operations for the six months ended June 30, 2026 and 2025, and for each quarter in 2026 to date and 2025.</w:t>
      </w:r>
    </w:p>
    <w:p>
      <w:pPr>
        <w:pStyle w:val="TextBody"/>
        <w:bidi w:val="0"/>
        <w:spacing w:before="0" w:after="0"/>
        <w:ind w:left="0" w:right="0" w:firstLine="360"/>
        <w:jc w:val="left"/>
        <w:rPr>
          <w:caps w:val="false"/>
          <w:smallCaps w:val="false"/>
        </w:rPr>
      </w:pPr>
      <w:r>
        <w:rPr>
          <w:caps w:val="false"/>
          <w:smallCaps w:val="false"/>
        </w:rPr>
        <w:t> </w:t>
      </w:r>
    </w:p>
    <w:tbl>
      <w:tblPr>
        <w:tblW w:w="9085" w:type="dxa"/>
        <w:jc w:val="left"/>
        <w:tblInd w:w="0" w:type="dxa"/>
        <w:tblLayout w:type="fixed"/>
        <w:tblCellMar>
          <w:top w:w="0" w:type="dxa"/>
          <w:left w:w="0" w:type="dxa"/>
          <w:bottom w:w="0" w:type="dxa"/>
          <w:right w:w="0" w:type="dxa"/>
        </w:tblCellMar>
      </w:tblPr>
      <w:tblGrid>
        <w:gridCol w:w="2675"/>
        <w:gridCol w:w="60"/>
        <w:gridCol w:w="110"/>
        <w:gridCol w:w="605"/>
        <w:gridCol w:w="80"/>
        <w:gridCol w:w="60"/>
        <w:gridCol w:w="162"/>
        <w:gridCol w:w="847"/>
        <w:gridCol w:w="80"/>
        <w:gridCol w:w="60"/>
        <w:gridCol w:w="171"/>
        <w:gridCol w:w="943"/>
        <w:gridCol w:w="60"/>
        <w:gridCol w:w="60"/>
        <w:gridCol w:w="141"/>
        <w:gridCol w:w="508"/>
        <w:gridCol w:w="80"/>
        <w:gridCol w:w="60"/>
        <w:gridCol w:w="218"/>
        <w:gridCol w:w="791"/>
        <w:gridCol w:w="80"/>
        <w:gridCol w:w="60"/>
        <w:gridCol w:w="274"/>
        <w:gridCol w:w="840"/>
        <w:gridCol w:w="60"/>
      </w:tblGrid>
      <w:tr>
        <w:trPr/>
        <w:tc>
          <w:tcPr>
            <w:tcW w:w="9025" w:type="dxa"/>
            <w:gridSpan w:val="24"/>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Net Earnings Excluding Realized and Unrealized Gains and Losses</w:t>
            </w:r>
          </w:p>
        </w:tc>
        <w:tc>
          <w:tcPr>
            <w:tcW w:w="60" w:type="dxa"/>
            <w:tcBorders/>
            <w:shd w:fill="FFFFFF" w:val="clear"/>
            <w:vAlign w:val="center"/>
          </w:tcPr>
          <w:p>
            <w:pPr>
              <w:pStyle w:val="TableContents"/>
              <w:bidi w:val="0"/>
              <w:spacing w:before="0" w:after="283"/>
              <w:jc w:val="left"/>
              <w:rPr/>
            </w:pPr>
            <w:r>
              <w:rPr/>
              <w:t> </w:t>
            </w:r>
          </w:p>
        </w:tc>
      </w:tr>
      <w:tr>
        <w:trPr/>
        <w:tc>
          <w:tcPr>
            <w:tcW w:w="267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(in thousands, except per share data)</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4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4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50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9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7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4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52"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Per Share</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26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center"/>
              <w:rPr>
                <w:rFonts w:ascii="Times New Roman" w:hAnsi="Times New Roman"/>
                <w:b/>
                <w:sz w:val="18"/>
              </w:rPr>
            </w:pPr>
            <w:r>
              <w:rPr>
                <w:rFonts w:ascii="Times New Roman" w:hAnsi="Times New Roman"/>
                <w:b/>
                <w:sz w:val="18"/>
              </w:rPr>
              <w:t>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center"/>
              <w:rPr>
                <w:rFonts w:ascii="Times New Roman" w:hAnsi="Times New Roman"/>
                <w:b/>
                <w:sz w:val="18"/>
              </w:rPr>
            </w:pPr>
            <w:r>
              <w:rPr>
                <w:rFonts w:ascii="Times New Roman" w:hAnsi="Times New Roman"/>
                <w:b/>
                <w:sz w:val="18"/>
              </w:rPr>
              <w:t>Net</w:t>
            </w:r>
          </w:p>
        </w:tc>
        <w:tc>
          <w:tcPr>
            <w:tcW w:w="60" w:type="dxa"/>
            <w:tcBorders/>
            <w:shd w:fill="FFFFFF" w:val="clear"/>
            <w:vAlign w:val="center"/>
          </w:tcPr>
          <w:p>
            <w:pPr>
              <w:pStyle w:val="TableContents"/>
              <w:bidi w:val="0"/>
              <w:spacing w:before="0" w:after="283"/>
              <w:jc w:val="left"/>
              <w:rPr/>
            </w:pPr>
            <w:r>
              <w:rPr/>
              <w:t> </w:t>
            </w:r>
          </w:p>
        </w:tc>
      </w:tr>
      <w:tr>
        <w:trPr/>
        <w:tc>
          <w:tcPr>
            <w:tcW w:w="26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Income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Income (Loss)</w:t>
            </w:r>
          </w:p>
        </w:tc>
        <w:tc>
          <w:tcPr>
            <w:tcW w:w="60" w:type="dxa"/>
            <w:tcBorders/>
            <w:shd w:fill="FFFFFF" w:val="clear"/>
            <w:vAlign w:val="center"/>
          </w:tcPr>
          <w:p>
            <w:pPr>
              <w:pStyle w:val="TableContents"/>
              <w:bidi w:val="0"/>
              <w:spacing w:before="0" w:after="283"/>
              <w:jc w:val="left"/>
              <w:rPr/>
            </w:pPr>
            <w:r>
              <w:rPr/>
              <w:t> </w:t>
            </w:r>
          </w:p>
        </w:tc>
      </w:tr>
      <w:tr>
        <w:trPr/>
        <w:tc>
          <w:tcPr>
            <w:tcW w:w="26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Excluding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Excluding</w:t>
            </w:r>
          </w:p>
        </w:tc>
        <w:tc>
          <w:tcPr>
            <w:tcW w:w="60" w:type="dxa"/>
            <w:tcBorders/>
            <w:shd w:fill="FFFFFF" w:val="clear"/>
            <w:vAlign w:val="center"/>
          </w:tcPr>
          <w:p>
            <w:pPr>
              <w:pStyle w:val="TableContents"/>
              <w:bidi w:val="0"/>
              <w:spacing w:before="0" w:after="283"/>
              <w:jc w:val="left"/>
              <w:rPr/>
            </w:pPr>
            <w:r>
              <w:rPr/>
              <w:t> </w:t>
            </w:r>
          </w:p>
        </w:tc>
      </w:tr>
      <w:tr>
        <w:trPr/>
        <w:tc>
          <w:tcPr>
            <w:tcW w:w="26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Net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Realized and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Realized 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4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Net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Realized and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Realized and</w:t>
            </w:r>
          </w:p>
        </w:tc>
        <w:tc>
          <w:tcPr>
            <w:tcW w:w="60" w:type="dxa"/>
            <w:tcBorders/>
            <w:shd w:fill="FFFFFF" w:val="clear"/>
            <w:vAlign w:val="center"/>
          </w:tcPr>
          <w:p>
            <w:pPr>
              <w:pStyle w:val="TableContents"/>
              <w:bidi w:val="0"/>
              <w:spacing w:before="0" w:after="283"/>
              <w:jc w:val="left"/>
              <w:rPr/>
            </w:pPr>
            <w:r>
              <w:rPr/>
              <w:t> </w:t>
            </w:r>
          </w:p>
        </w:tc>
      </w:tr>
      <w:tr>
        <w:trPr/>
        <w:tc>
          <w:tcPr>
            <w:tcW w:w="26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Income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Unrealized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Unrealized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4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Income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Unrealized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Unrealized</w:t>
            </w:r>
          </w:p>
        </w:tc>
        <w:tc>
          <w:tcPr>
            <w:tcW w:w="60" w:type="dxa"/>
            <w:tcBorders/>
            <w:shd w:fill="FFFFFF" w:val="clear"/>
            <w:vAlign w:val="center"/>
          </w:tcPr>
          <w:p>
            <w:pPr>
              <w:pStyle w:val="TableContents"/>
              <w:bidi w:val="0"/>
              <w:spacing w:before="0" w:after="283"/>
              <w:jc w:val="left"/>
              <w:rPr/>
            </w:pPr>
            <w:r>
              <w:rPr/>
              <w:t> </w:t>
            </w:r>
          </w:p>
        </w:tc>
      </w:tr>
      <w:tr>
        <w:trPr/>
        <w:tc>
          <w:tcPr>
            <w:tcW w:w="26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5" w:type="dxa"/>
            <w:gridSpan w:val="2"/>
            <w:tcBorders/>
            <w:shd w:fill="FFFFFF" w:val="clear"/>
            <w:vAlign w:val="center"/>
          </w:tcPr>
          <w:p>
            <w:pPr>
              <w:pStyle w:val="TableContents"/>
              <w:bidi w:val="0"/>
              <w:spacing w:before="0" w:after="283"/>
              <w:jc w:val="center"/>
              <w:rPr>
                <w:rFonts w:ascii="Times New Roman" w:hAnsi="Times New Roman"/>
                <w:b/>
                <w:sz w:val="18"/>
              </w:rPr>
            </w:pPr>
            <w:r>
              <w:rPr>
                <w:rFonts w:ascii="Times New Roman" w:hAnsi="Times New Roman"/>
                <w:b/>
                <w:sz w:val="18"/>
              </w:rPr>
              <w:t>(Loss)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9" w:type="dxa"/>
            <w:gridSpan w:val="2"/>
            <w:tcBorders/>
            <w:shd w:fill="FFFFFF" w:val="clear"/>
            <w:vAlign w:val="center"/>
          </w:tcPr>
          <w:p>
            <w:pPr>
              <w:pStyle w:val="TableContents"/>
              <w:bidi w:val="0"/>
              <w:spacing w:before="0" w:after="283"/>
              <w:jc w:val="center"/>
              <w:rPr>
                <w:rFonts w:ascii="Times New Roman" w:hAnsi="Times New Roman"/>
                <w:b/>
                <w:sz w:val="18"/>
              </w:rPr>
            </w:pPr>
            <w:r>
              <w:rPr>
                <w:rFonts w:ascii="Times New Roman" w:hAnsi="Times New Roman"/>
                <w:b/>
                <w:sz w:val="18"/>
              </w:rPr>
              <w:t>Gains and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center"/>
              <w:rPr>
                <w:rFonts w:ascii="Times New Roman" w:hAnsi="Times New Roman"/>
                <w:b/>
                <w:sz w:val="18"/>
              </w:rPr>
            </w:pPr>
            <w:r>
              <w:rPr>
                <w:rFonts w:ascii="Times New Roman" w:hAnsi="Times New Roman"/>
                <w:b/>
                <w:sz w:val="18"/>
              </w:rPr>
              <w:t>Gains 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9" w:type="dxa"/>
            <w:gridSpan w:val="2"/>
            <w:tcBorders/>
            <w:shd w:fill="FFFFFF" w:val="clear"/>
            <w:vAlign w:val="center"/>
          </w:tcPr>
          <w:p>
            <w:pPr>
              <w:pStyle w:val="TableContents"/>
              <w:bidi w:val="0"/>
              <w:spacing w:before="0" w:after="283"/>
              <w:jc w:val="center"/>
              <w:rPr>
                <w:rFonts w:ascii="Times New Roman" w:hAnsi="Times New Roman"/>
                <w:b/>
                <w:sz w:val="18"/>
              </w:rPr>
            </w:pPr>
            <w:r>
              <w:rPr>
                <w:rFonts w:ascii="Times New Roman" w:hAnsi="Times New Roman"/>
                <w:b/>
                <w:sz w:val="18"/>
              </w:rPr>
              <w:t>(Loss)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9" w:type="dxa"/>
            <w:gridSpan w:val="2"/>
            <w:tcBorders/>
            <w:shd w:fill="FFFFFF" w:val="clear"/>
            <w:vAlign w:val="center"/>
          </w:tcPr>
          <w:p>
            <w:pPr>
              <w:pStyle w:val="TableContents"/>
              <w:bidi w:val="0"/>
              <w:spacing w:before="0" w:after="283"/>
              <w:jc w:val="center"/>
              <w:rPr>
                <w:rFonts w:ascii="Times New Roman" w:hAnsi="Times New Roman"/>
                <w:b/>
                <w:sz w:val="18"/>
              </w:rPr>
            </w:pPr>
            <w:r>
              <w:rPr>
                <w:rFonts w:ascii="Times New Roman" w:hAnsi="Times New Roman"/>
                <w:b/>
                <w:sz w:val="18"/>
              </w:rPr>
              <w:t>Gains and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center"/>
              <w:rPr>
                <w:rFonts w:ascii="Times New Roman" w:hAnsi="Times New Roman"/>
                <w:b/>
                <w:sz w:val="18"/>
              </w:rPr>
            </w:pPr>
            <w:r>
              <w:rPr>
                <w:rFonts w:ascii="Times New Roman" w:hAnsi="Times New Roman"/>
                <w:b/>
                <w:sz w:val="18"/>
              </w:rPr>
              <w:t>Gains and</w:t>
            </w:r>
          </w:p>
        </w:tc>
        <w:tc>
          <w:tcPr>
            <w:tcW w:w="60" w:type="dxa"/>
            <w:tcBorders/>
            <w:shd w:fill="FFFFFF" w:val="clear"/>
            <w:vAlign w:val="center"/>
          </w:tcPr>
          <w:p>
            <w:pPr>
              <w:pStyle w:val="TableContents"/>
              <w:bidi w:val="0"/>
              <w:spacing w:before="0" w:after="283"/>
              <w:jc w:val="left"/>
              <w:rPr/>
            </w:pPr>
            <w:r>
              <w:rPr/>
              <w:t> </w:t>
            </w:r>
          </w:p>
        </w:tc>
      </w:tr>
      <w:tr>
        <w:trPr/>
        <w:tc>
          <w:tcPr>
            <w:tcW w:w="26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(GAAP)</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Losses(1)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Losses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(GAAP)</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Losses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Losses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7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Three Months Ended</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4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4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50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9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7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4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June 30, 2026</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89,193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847"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35,983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943"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53,210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508"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0.44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791"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0.18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84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0.26</w:t>
            </w:r>
          </w:p>
        </w:tc>
        <w:tc>
          <w:tcPr>
            <w:tcW w:w="60" w:type="dxa"/>
            <w:tcBorders/>
            <w:shd w:fill="CCEEFF" w:val="clear"/>
            <w:vAlign w:val="center"/>
          </w:tcPr>
          <w:p>
            <w:pPr>
              <w:pStyle w:val="TableContents"/>
              <w:bidi w:val="0"/>
              <w:spacing w:before="0" w:after="283"/>
              <w:jc w:val="left"/>
              <w:rPr/>
            </w:pPr>
            <w:r>
              <w:rPr/>
              <w:t> </w:t>
            </w:r>
          </w:p>
        </w:tc>
      </w:tr>
      <w:tr>
        <w:trPr/>
        <w:tc>
          <w:tcPr>
            <w:tcW w:w="2675"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March 31, 2026</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(19,955</w:t>
            </w:r>
          </w:p>
        </w:tc>
        <w:tc>
          <w:tcPr>
            <w:tcW w:w="8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(69,621</w:t>
            </w:r>
          </w:p>
        </w:tc>
        <w:tc>
          <w:tcPr>
            <w:tcW w:w="8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49,666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(0.11</w:t>
            </w:r>
          </w:p>
        </w:tc>
        <w:tc>
          <w:tcPr>
            <w:tcW w:w="8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(0.37</w:t>
            </w:r>
          </w:p>
        </w:tc>
        <w:tc>
          <w:tcPr>
            <w:tcW w:w="8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0.26</w:t>
            </w:r>
          </w:p>
        </w:tc>
        <w:tc>
          <w:tcPr>
            <w:tcW w:w="60" w:type="dxa"/>
            <w:tcBorders/>
            <w:shd w:fill="FFFFFF" w:val="clear"/>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December 31, 2025</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103,408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70,742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32,666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0.62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0.43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0.19</w:t>
            </w:r>
          </w:p>
        </w:tc>
        <w:tc>
          <w:tcPr>
            <w:tcW w:w="60" w:type="dxa"/>
            <w:tcBorders/>
            <w:shd w:fill="CCEEFF" w:val="clear"/>
            <w:vAlign w:val="center"/>
          </w:tcPr>
          <w:p>
            <w:pPr>
              <w:pStyle w:val="TableContents"/>
              <w:bidi w:val="0"/>
              <w:spacing w:before="0" w:after="283"/>
              <w:jc w:val="left"/>
              <w:rPr/>
            </w:pPr>
            <w:r>
              <w:rPr/>
              <w:t> </w:t>
            </w:r>
          </w:p>
        </w:tc>
      </w:tr>
      <w:tr>
        <w:trPr/>
        <w:tc>
          <w:tcPr>
            <w:tcW w:w="2675"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September 30, 2025</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72,078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50,600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21,478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0.53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0.37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0.16</w:t>
            </w:r>
          </w:p>
        </w:tc>
        <w:tc>
          <w:tcPr>
            <w:tcW w:w="60" w:type="dxa"/>
            <w:tcBorders/>
            <w:shd w:fill="FFFFFF" w:val="clear"/>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June 30, 2025</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(33,578</w:t>
            </w:r>
          </w:p>
        </w:tc>
        <w:tc>
          <w:tcPr>
            <w:tcW w:w="8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(51,736</w:t>
            </w:r>
          </w:p>
        </w:tc>
        <w:tc>
          <w:tcPr>
            <w:tcW w:w="8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18,158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(0.29</w:t>
            </w:r>
          </w:p>
        </w:tc>
        <w:tc>
          <w:tcPr>
            <w:tcW w:w="8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(0.45</w:t>
            </w:r>
          </w:p>
        </w:tc>
        <w:tc>
          <w:tcPr>
            <w:tcW w:w="8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0.16</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67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March 31, 2025</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17,122</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1,635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4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15,487</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0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0.18</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9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0.02</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27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0.16</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6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18"/>
              </w:rPr>
            </w:pPr>
            <w:r>
              <w:rPr>
                <w:rFonts w:ascii="Times New Roman" w:hAnsi="Times New Roman"/>
                <w:b/>
                <w:sz w:val="18"/>
              </w:rPr>
              <w:t>Six Months Ended</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r>
      <w:tr>
        <w:trPr/>
        <w:tc>
          <w:tcPr>
            <w:tcW w:w="2675"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June 30, 2026</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5"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69,238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847"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(33,638</w:t>
            </w:r>
          </w:p>
        </w:tc>
        <w:tc>
          <w:tcPr>
            <w:tcW w:w="8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943"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102,876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508"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0.35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791"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(0.17</w:t>
            </w:r>
          </w:p>
        </w:tc>
        <w:tc>
          <w:tcPr>
            <w:tcW w:w="8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840"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0.52</w:t>
            </w:r>
          </w:p>
        </w:tc>
        <w:tc>
          <w:tcPr>
            <w:tcW w:w="60" w:type="dxa"/>
            <w:tcBorders/>
            <w:shd w:fill="FFFFFF" w:val="clear"/>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June 30, 2025</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(16,456</w:t>
            </w:r>
          </w:p>
        </w:tc>
        <w:tc>
          <w:tcPr>
            <w:tcW w:w="8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(50,101</w:t>
            </w:r>
          </w:p>
        </w:tc>
        <w:tc>
          <w:tcPr>
            <w:tcW w:w="8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33,645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(0.16</w:t>
            </w:r>
          </w:p>
        </w:tc>
        <w:tc>
          <w:tcPr>
            <w:tcW w:w="8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(0.48</w:t>
            </w:r>
          </w:p>
        </w:tc>
        <w:tc>
          <w:tcPr>
            <w:tcW w:w="8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0.32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(1)</w:t>
            </w:r>
          </w:p>
        </w:tc>
        <w:tc>
          <w:tcPr>
            <w:tcW w:w="998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Includes realized and unrealized gains (losses) on RMBS and derivative financial instruments, including net interest income or expense on interest rate swaps.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Economic Interest Expense and Economic Net Interest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use derivative and other hedging instruments, specifically Fed Funds, SOFR, ERIS SOFR Swap, and T-Note futures contracts, short positions in U.S. Treasury securities, dual digital options, interest rate floors and caps, and interest rate swaps and swaptions, to hedge a portion of the interest rate risk on repurchase agreements in a rising rate environment.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have not elected to designate our derivative holdings for hedge accounting treatment. Changes in fair value of these instruments are presented in a separate line item in our statements of comprehensive income (loss) and not included in interest expense. As such, for financial reporting purposes, interest expense and cost of funds are not impacted by the fluctuation in value of the derivative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For the purpose of computing economic net interest income and ratios relating to cost of funds measures, GAAP interest expense has been adjusted to reflect the realized and unrealized gains or losses on certain derivative instruments the Company uses, specifically Fed Funds, SOFR, ERIS SOFR Swap, and U.S. Treasury futures, dual digital options, interest rate floors and caps, and interest rate swaps and swaptions, that pertain to each period presented. We believe that adjusting our interest expense for the periods presented by the gains or losses on these derivative instruments would not accurately reflect our economic interest expense for these periods. The reason is that these derivative instruments may cover periods that extend into the future, not just the current period. Any realized or unrealized gains or losses on the instruments reflect the change in market value of the instrument caused by changes in underlying interest rates applicable to the term covered by the instrument, not just the current period. For each period presented, we have combined the effects of the derivative financial instruments in place for the respective period with the actual interest expense incurred on borrowings to reflect total economic interest expense for the applicable period. Interest expense, including the effect of derivative instruments for the period, is referred to as economic interest expense. Net interest income, when calculated to include the effect of derivative instruments for the period, is referred to as economic net interest income. This presentation includes gains or losses on all contracts in effect during the reporting period, covering the current period as well as periods in the future.</w:t>
      </w:r>
    </w:p>
    <w:p>
      <w:pPr>
        <w:pStyle w:val="TextBody"/>
        <w:bidi w:val="0"/>
        <w:spacing w:before="0" w:after="0"/>
        <w:ind w:left="0" w:right="0" w:firstLine="4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From time to time, we invest in TBAs, which are forward contracts for the purchase or sale of Agency RMBS at a predetermined price, face amount, issuer, coupon and stated maturity on an agreed-upon future date. The specific Agency RMBS to be delivered into the contract are not known until shortly before the settlement date. We may choose, prior to settlement, to move the settlement of these securities out to a later date by entering into a dollar roll transaction. The Agency RMBS purchased or sold for a forward settlement date are typically priced at a discount to equivalent securities settling in the current month. Consequently, forward purchases of Agency RMBS and dollar roll transactions represent a form of off-balance sheet financing. These TBAs are accounted for as derivatives and marked to market through the income statement. Gains or losses on TBAs are included with gains or losses on other derivative contracts and are not included in interest income for purposes of the discussions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believe that economic interest expense and economic net interest income provide meaningful information to consider, in addition to the respective amounts prepared in accordance with GAAP. The non-GAAP measures help management to evaluate its financial position and performance without the effects of certain transactions and GAAP adjustments that are not necessarily indicative of our current investment portfolio or operations. The unrealized gains or losses on derivative instruments presented in our statements of comprehensive income (loss) are not necessarily representative of the total interest rate expense that we will ultimately realize. This is because as interest rates move up or down in the future, the gains or losses we ultimately realize, and which will affect our total interest rate expense in future periods, may differ from the unrealized gains or losses recognized as of the reporting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presentation of the economic value of our hedging strategy has important limitations. First, other market participants may calculate economic interest expense and economic net interest income differently than the way we calculate them. Second, while we believe that the calculation of the economic value of our hedging strategy described above helps to present our financial position and performance, it may be of limited usefulness as an analytical tool. Therefore, the economic value of our investment strategy should not be viewed in isolation and is not a substitute for interest expense and net interest income computed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tables below present a reconciliation of the adjustments to interest expense shown for each period relative to our derivative instruments, and the income statement line item, gains (losses) on derivative instruments, calculated in accordance with GAAP for each quarter in 2026 to date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7100" w:type="dxa"/>
        <w:jc w:val="left"/>
        <w:tblInd w:w="0" w:type="dxa"/>
        <w:tblLayout w:type="fixed"/>
        <w:tblCellMar>
          <w:top w:w="0" w:type="dxa"/>
          <w:left w:w="0" w:type="dxa"/>
          <w:bottom w:w="0" w:type="dxa"/>
          <w:right w:w="0" w:type="dxa"/>
        </w:tblCellMar>
      </w:tblPr>
      <w:tblGrid>
        <w:gridCol w:w="1670"/>
        <w:gridCol w:w="60"/>
        <w:gridCol w:w="126"/>
        <w:gridCol w:w="764"/>
        <w:gridCol w:w="80"/>
        <w:gridCol w:w="60"/>
        <w:gridCol w:w="166"/>
        <w:gridCol w:w="735"/>
        <w:gridCol w:w="121"/>
        <w:gridCol w:w="90"/>
        <w:gridCol w:w="166"/>
        <w:gridCol w:w="644"/>
        <w:gridCol w:w="80"/>
        <w:gridCol w:w="60"/>
        <w:gridCol w:w="182"/>
        <w:gridCol w:w="857"/>
        <w:gridCol w:w="60"/>
        <w:gridCol w:w="60"/>
        <w:gridCol w:w="146"/>
        <w:gridCol w:w="893"/>
        <w:gridCol w:w="80"/>
      </w:tblGrid>
      <w:tr>
        <w:trPr/>
        <w:tc>
          <w:tcPr>
            <w:tcW w:w="7020" w:type="dxa"/>
            <w:gridSpan w:val="2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Gains (Losses) on Derivative Instruments</w:t>
            </w:r>
          </w:p>
        </w:tc>
        <w:tc>
          <w:tcPr>
            <w:tcW w:w="80" w:type="dxa"/>
            <w:tcBorders/>
            <w:shd w:fill="FFFFFF" w:val="clear"/>
            <w:vAlign w:val="center"/>
          </w:tcPr>
          <w:p>
            <w:pPr>
              <w:pStyle w:val="TableContents"/>
              <w:bidi w:val="0"/>
              <w:spacing w:before="0" w:after="283"/>
              <w:jc w:val="left"/>
              <w:rPr/>
            </w:pPr>
            <w:r>
              <w:rPr/>
              <w:t> </w:t>
            </w:r>
          </w:p>
        </w:tc>
      </w:tr>
      <w:tr>
        <w:trPr/>
        <w:tc>
          <w:tcPr>
            <w:tcW w:w="16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(in thousands)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3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4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5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9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22" w:type="dxa"/>
            <w:gridSpan w:val="6"/>
            <w:tcBorders/>
            <w:shd w:fill="FFFFFF" w:val="clear"/>
            <w:vAlign w:val="center"/>
          </w:tcPr>
          <w:p>
            <w:pPr>
              <w:pStyle w:val="TableContents"/>
              <w:bidi w:val="0"/>
              <w:spacing w:before="0" w:after="0"/>
              <w:jc w:val="center"/>
              <w:rPr>
                <w:rFonts w:ascii="Times New Roman" w:hAnsi="Times New Roman"/>
                <w:b/>
                <w:sz w:val="18"/>
              </w:rPr>
            </w:pPr>
            <w:r>
              <w:rPr>
                <w:rFonts w:ascii="Times New Roman" w:hAnsi="Times New Roman"/>
                <w:b/>
                <w:sz w:val="18"/>
              </w:rPr>
              <w:t>U.S. Treasury Short and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98" w:type="dxa"/>
            <w:gridSpan w:val="6"/>
            <w:tcBorders>
              <w:bottom w:val="single" w:sz="2" w:space="0" w:color="000000"/>
            </w:tcBorders>
            <w:shd w:fill="FFFFFF" w:val="clear"/>
            <w:tcMar>
              <w:bottom w:w="28" w:type="dxa"/>
            </w:tcMar>
            <w:vAlign w:val="center"/>
          </w:tcPr>
          <w:p>
            <w:pPr>
              <w:pStyle w:val="TableContents"/>
              <w:bidi w:val="0"/>
              <w:spacing w:before="0" w:after="0"/>
              <w:jc w:val="center"/>
              <w:rPr>
                <w:rFonts w:ascii="Times New Roman" w:hAnsi="Times New Roman"/>
                <w:b/>
                <w:sz w:val="18"/>
              </w:rPr>
            </w:pPr>
            <w:r>
              <w:rPr>
                <w:rFonts w:ascii="Times New Roman" w:hAnsi="Times New Roman"/>
                <w:b/>
                <w:sz w:val="18"/>
              </w:rPr>
              <w:t>Funding Hedges</w:t>
            </w:r>
          </w:p>
        </w:tc>
        <w:tc>
          <w:tcPr>
            <w:tcW w:w="80" w:type="dxa"/>
            <w:tcBorders/>
            <w:shd w:fill="FFFF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Recognized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22"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TBA Securities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Attributed to</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Attributed to</w:t>
            </w:r>
          </w:p>
        </w:tc>
        <w:tc>
          <w:tcPr>
            <w:tcW w:w="80" w:type="dxa"/>
            <w:tcBorders/>
            <w:shd w:fill="FFFF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in Income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2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Gain (Loss)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Current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Future</w:t>
            </w:r>
          </w:p>
        </w:tc>
        <w:tc>
          <w:tcPr>
            <w:tcW w:w="80" w:type="dxa"/>
            <w:tcBorders/>
            <w:shd w:fill="FFFF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gridSpan w:val="2"/>
            <w:tcBorders/>
            <w:shd w:fill="FFFFFF" w:val="clear"/>
            <w:vAlign w:val="center"/>
          </w:tcPr>
          <w:p>
            <w:pPr>
              <w:pStyle w:val="TableContents"/>
              <w:bidi w:val="0"/>
              <w:spacing w:before="0" w:after="283"/>
              <w:jc w:val="center"/>
              <w:rPr>
                <w:rFonts w:ascii="Times New Roman" w:hAnsi="Times New Roman"/>
                <w:b/>
                <w:sz w:val="18"/>
              </w:rPr>
            </w:pPr>
            <w:r>
              <w:rPr>
                <w:rFonts w:ascii="Times New Roman" w:hAnsi="Times New Roman"/>
                <w:b/>
                <w:sz w:val="18"/>
              </w:rPr>
              <w:t>Statement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center"/>
              <w:rPr>
                <w:rFonts w:ascii="Times New Roman" w:hAnsi="Times New Roman"/>
                <w:b/>
                <w:sz w:val="18"/>
              </w:rPr>
            </w:pPr>
            <w:r>
              <w:rPr>
                <w:rFonts w:ascii="Times New Roman" w:hAnsi="Times New Roman"/>
                <w:b/>
                <w:sz w:val="18"/>
              </w:rPr>
              <w:t>Short</w:t>
            </w:r>
          </w:p>
        </w:tc>
        <w:tc>
          <w:tcPr>
            <w:tcW w:w="12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10" w:type="dxa"/>
            <w:gridSpan w:val="2"/>
            <w:tcBorders/>
            <w:shd w:fill="FFFFFF" w:val="clear"/>
            <w:vAlign w:val="center"/>
          </w:tcPr>
          <w:p>
            <w:pPr>
              <w:pStyle w:val="TableContents"/>
              <w:bidi w:val="0"/>
              <w:spacing w:before="0" w:after="283"/>
              <w:jc w:val="center"/>
              <w:rPr>
                <w:rFonts w:ascii="Times New Roman" w:hAnsi="Times New Roman"/>
                <w:b/>
                <w:sz w:val="18"/>
              </w:rPr>
            </w:pPr>
            <w:r>
              <w:rPr>
                <w:rFonts w:ascii="Times New Roman" w:hAnsi="Times New Roman"/>
                <w:b/>
                <w:sz w:val="18"/>
              </w:rPr>
              <w:t>Long</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9" w:type="dxa"/>
            <w:gridSpan w:val="2"/>
            <w:tcBorders/>
            <w:shd w:fill="FFFFFF" w:val="clear"/>
            <w:vAlign w:val="center"/>
          </w:tcPr>
          <w:p>
            <w:pPr>
              <w:pStyle w:val="TableContents"/>
              <w:bidi w:val="0"/>
              <w:spacing w:before="0" w:after="283"/>
              <w:jc w:val="center"/>
              <w:rPr>
                <w:rFonts w:ascii="Times New Roman" w:hAnsi="Times New Roman"/>
                <w:b/>
                <w:sz w:val="18"/>
              </w:rPr>
            </w:pPr>
            <w:r>
              <w:rPr>
                <w:rFonts w:ascii="Times New Roman" w:hAnsi="Times New Roman"/>
                <w:b/>
                <w:sz w:val="18"/>
              </w:rPr>
              <w:t>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9" w:type="dxa"/>
            <w:gridSpan w:val="2"/>
            <w:tcBorders/>
            <w:shd w:fill="FFFFFF" w:val="clear"/>
            <w:vAlign w:val="center"/>
          </w:tcPr>
          <w:p>
            <w:pPr>
              <w:pStyle w:val="TableContents"/>
              <w:bidi w:val="0"/>
              <w:spacing w:before="0" w:after="283"/>
              <w:jc w:val="center"/>
              <w:rPr>
                <w:rFonts w:ascii="Times New Roman" w:hAnsi="Times New Roman"/>
                <w:b/>
                <w:sz w:val="18"/>
              </w:rPr>
            </w:pPr>
            <w:r>
              <w:rPr>
                <w:rFonts w:ascii="Times New Roman" w:hAnsi="Times New Roman"/>
                <w:b/>
                <w:sz w:val="18"/>
              </w:rPr>
              <w:t>Periods</w:t>
            </w:r>
          </w:p>
        </w:tc>
        <w:tc>
          <w:tcPr>
            <w:tcW w:w="80" w:type="dxa"/>
            <w:tcBorders/>
            <w:shd w:fill="FFFFFF" w:val="clear"/>
            <w:vAlign w:val="center"/>
          </w:tcPr>
          <w:p>
            <w:pPr>
              <w:pStyle w:val="TableContents"/>
              <w:bidi w:val="0"/>
              <w:spacing w:before="0" w:after="283"/>
              <w:jc w:val="left"/>
              <w:rPr/>
            </w:pPr>
            <w:r>
              <w:rPr/>
              <w:t> </w:t>
            </w:r>
          </w:p>
        </w:tc>
      </w:tr>
      <w:tr>
        <w:trPr/>
        <w:tc>
          <w:tcPr>
            <w:tcW w:w="16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(GAAP)</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Positions</w:t>
            </w:r>
          </w:p>
        </w:tc>
        <w:tc>
          <w:tcPr>
            <w:tcW w:w="12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Positions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(Non-GAAP)</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(Non-GAAP)</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6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Three Months Ended</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3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4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5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9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June 30, 2026</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764"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62,400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73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(4,270</w:t>
            </w:r>
          </w:p>
        </w:tc>
        <w:tc>
          <w:tcPr>
            <w:tcW w:w="121"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9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44"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(347</w:t>
            </w:r>
          </w:p>
        </w:tc>
        <w:tc>
          <w:tcPr>
            <w:tcW w:w="8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857"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12,953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893"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54,064</w:t>
            </w:r>
          </w:p>
        </w:tc>
        <w:tc>
          <w:tcPr>
            <w:tcW w:w="80" w:type="dxa"/>
            <w:tcBorders/>
            <w:shd w:fill="CCEE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March 31, 2026</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46,307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(408</w:t>
            </w:r>
          </w:p>
        </w:tc>
        <w:tc>
          <w:tcPr>
            <w:tcW w:w="121"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9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1,277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14,643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30,795</w:t>
            </w:r>
          </w:p>
        </w:tc>
        <w:tc>
          <w:tcPr>
            <w:tcW w:w="80" w:type="dxa"/>
            <w:tcBorders/>
            <w:shd w:fill="FFFFFF" w:val="clear"/>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December 31, 2025</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764"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14,048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35"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(3,478</w:t>
            </w:r>
          </w:p>
        </w:tc>
        <w:tc>
          <w:tcPr>
            <w:tcW w:w="121"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90" w:type="dxa"/>
            <w:tcBorders/>
            <w:shd w:fill="CCEEFF" w:val="clear"/>
            <w:vAlign w:val="center"/>
          </w:tcPr>
          <w:p>
            <w:pPr>
              <w:pStyle w:val="TableContents"/>
              <w:bidi w:val="0"/>
              <w:spacing w:before="0" w:after="283"/>
              <w:ind w:left="0" w:right="0" w:hanging="0"/>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644"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857"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19,578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93"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(2,210</w:t>
            </w:r>
          </w:p>
        </w:tc>
        <w:tc>
          <w:tcPr>
            <w:tcW w:w="8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67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September 30, 2025</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(8,772</w:t>
            </w:r>
          </w:p>
        </w:tc>
        <w:tc>
          <w:tcPr>
            <w:tcW w:w="8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(4,272</w:t>
            </w:r>
          </w:p>
        </w:tc>
        <w:tc>
          <w:tcPr>
            <w:tcW w:w="121"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9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957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21,872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(27,329</w:t>
            </w:r>
          </w:p>
        </w:tc>
        <w:tc>
          <w:tcPr>
            <w:tcW w:w="8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67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June 30, 2025</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(53,286</w:t>
            </w:r>
          </w:p>
        </w:tc>
        <w:tc>
          <w:tcPr>
            <w:tcW w:w="8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(7,662</w:t>
            </w:r>
          </w:p>
        </w:tc>
        <w:tc>
          <w:tcPr>
            <w:tcW w:w="121"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9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644"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472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20,937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(67,033</w:t>
            </w:r>
          </w:p>
        </w:tc>
        <w:tc>
          <w:tcPr>
            <w:tcW w:w="80" w:type="dxa"/>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r>
      <w:tr>
        <w:trPr/>
        <w:tc>
          <w:tcPr>
            <w:tcW w:w="16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March 31, 2025</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6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(74,659</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6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3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3,026</w:t>
            </w:r>
          </w:p>
        </w:tc>
        <w:tc>
          <w:tcPr>
            <w:tcW w:w="12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6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4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100</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5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20,912</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9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(98,697</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r>
      <w:tr>
        <w:trPr/>
        <w:tc>
          <w:tcPr>
            <w:tcW w:w="16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18"/>
              </w:rPr>
            </w:pPr>
            <w:r>
              <w:rPr>
                <w:rFonts w:ascii="Times New Roman" w:hAnsi="Times New Roman"/>
                <w:b/>
                <w:sz w:val="18"/>
              </w:rPr>
              <w:t>Six Months Ended</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r>
      <w:tr>
        <w:trPr/>
        <w:tc>
          <w:tcPr>
            <w:tcW w:w="167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June 30, 2026</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764"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108,707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735"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(4,678</w:t>
            </w:r>
          </w:p>
        </w:tc>
        <w:tc>
          <w:tcPr>
            <w:tcW w:w="121"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9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44"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930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857"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27,596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893"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84,859</w:t>
            </w:r>
          </w:p>
        </w:tc>
        <w:tc>
          <w:tcPr>
            <w:tcW w:w="80" w:type="dxa"/>
            <w:tcBorders/>
            <w:shd w:fill="FFFFFF" w:val="clear"/>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June 30, 2025</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(127,945</w:t>
            </w:r>
          </w:p>
        </w:tc>
        <w:tc>
          <w:tcPr>
            <w:tcW w:w="8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(4,636</w:t>
            </w:r>
          </w:p>
        </w:tc>
        <w:tc>
          <w:tcPr>
            <w:tcW w:w="121"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9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644"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572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41,849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(165,730</w:t>
            </w:r>
          </w:p>
        </w:tc>
        <w:tc>
          <w:tcPr>
            <w:tcW w:w="8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bl>
    <w:p>
      <w:pPr>
        <w:pStyle w:val="TextBody"/>
        <w:bidi w:val="0"/>
        <w:spacing w:before="0" w:after="0"/>
        <w:ind w:left="0" w:right="0" w:hanging="0"/>
        <w:jc w:val="left"/>
        <w:rPr>
          <w:caps w:val="false"/>
          <w:smallCaps w:val="false"/>
        </w:rPr>
      </w:pPr>
      <w:r>
        <w:rPr>
          <w:caps w:val="false"/>
          <w:smallCaps w:val="false"/>
        </w:rPr>
        <w:t> </w:t>
      </w:r>
    </w:p>
    <w:tbl>
      <w:tblPr>
        <w:tblW w:w="7623" w:type="dxa"/>
        <w:jc w:val="left"/>
        <w:tblInd w:w="0" w:type="dxa"/>
        <w:tblLayout w:type="fixed"/>
        <w:tblCellMar>
          <w:top w:w="0" w:type="dxa"/>
          <w:left w:w="0" w:type="dxa"/>
          <w:bottom w:w="0" w:type="dxa"/>
          <w:right w:w="0" w:type="dxa"/>
        </w:tblCellMar>
      </w:tblPr>
      <w:tblGrid>
        <w:gridCol w:w="1670"/>
        <w:gridCol w:w="60"/>
        <w:gridCol w:w="110"/>
        <w:gridCol w:w="605"/>
        <w:gridCol w:w="60"/>
        <w:gridCol w:w="60"/>
        <w:gridCol w:w="119"/>
        <w:gridCol w:w="657"/>
        <w:gridCol w:w="65"/>
        <w:gridCol w:w="65"/>
        <w:gridCol w:w="191"/>
        <w:gridCol w:w="789"/>
        <w:gridCol w:w="65"/>
        <w:gridCol w:w="65"/>
        <w:gridCol w:w="134"/>
        <w:gridCol w:w="740"/>
        <w:gridCol w:w="60"/>
        <w:gridCol w:w="60"/>
        <w:gridCol w:w="143"/>
        <w:gridCol w:w="791"/>
        <w:gridCol w:w="60"/>
        <w:gridCol w:w="60"/>
        <w:gridCol w:w="143"/>
        <w:gridCol w:w="791"/>
        <w:gridCol w:w="60"/>
      </w:tblGrid>
      <w:tr>
        <w:trPr/>
        <w:tc>
          <w:tcPr>
            <w:tcW w:w="7563" w:type="dxa"/>
            <w:gridSpan w:val="24"/>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Economic Interest Expense and Economic Net Interest Income</w:t>
            </w:r>
          </w:p>
        </w:tc>
        <w:tc>
          <w:tcPr>
            <w:tcW w:w="60" w:type="dxa"/>
            <w:tcBorders/>
            <w:shd w:fill="FFFFFF" w:val="clear"/>
            <w:vAlign w:val="center"/>
          </w:tcPr>
          <w:p>
            <w:pPr>
              <w:pStyle w:val="TableContents"/>
              <w:bidi w:val="0"/>
              <w:spacing w:before="0" w:after="283"/>
              <w:jc w:val="left"/>
              <w:rPr/>
            </w:pPr>
            <w:r>
              <w:rPr/>
              <w:t> </w:t>
            </w:r>
          </w:p>
        </w:tc>
      </w:tr>
      <w:tr>
        <w:trPr/>
        <w:tc>
          <w:tcPr>
            <w:tcW w:w="16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(in thousands)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8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9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9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9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Interest Expense on Borrowings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center"/>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Gains</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center"/>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(Losses) on</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center"/>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Derivative</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8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Net Interest Income</w:t>
            </w:r>
          </w:p>
        </w:tc>
        <w:tc>
          <w:tcPr>
            <w:tcW w:w="60" w:type="dxa"/>
            <w:tcBorders>
              <w:right w:val="single" w:sz="2" w:space="0" w:color="000000"/>
            </w:tcBorders>
            <w:shd w:fill="FFFFFF" w:val="clear"/>
            <w:tcMar>
              <w:right w:w="28" w:type="dxa"/>
            </w:tcM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center"/>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Instruments</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GAAP</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GAAP</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6"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GAAP</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Attributed</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Economic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Net Interest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Economic</w:t>
            </w:r>
          </w:p>
        </w:tc>
        <w:tc>
          <w:tcPr>
            <w:tcW w:w="60" w:type="dxa"/>
            <w:tcBorders/>
            <w:shd w:fill="FFFF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Interest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6"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Interest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to Current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Interest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Net Interest</w:t>
            </w:r>
          </w:p>
        </w:tc>
        <w:tc>
          <w:tcPr>
            <w:tcW w:w="60" w:type="dxa"/>
            <w:tcBorders/>
            <w:shd w:fill="FFFFFF" w:val="clear"/>
            <w:vAlign w:val="center"/>
          </w:tcPr>
          <w:p>
            <w:pPr>
              <w:pStyle w:val="TableContents"/>
              <w:bidi w:val="0"/>
              <w:spacing w:before="0" w:after="283"/>
              <w:jc w:val="left"/>
              <w:rPr/>
            </w:pPr>
            <w:r>
              <w:rPr/>
              <w:t> </w:t>
            </w:r>
          </w:p>
        </w:tc>
      </w:tr>
      <w:tr>
        <w:trPr/>
        <w:tc>
          <w:tcPr>
            <w:tcW w:w="16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Income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Expense</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Period(1)</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Expense(2)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(Expense)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Income(3)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6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Three Months Ended</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8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9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9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June 30, 2026</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164,187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57"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104,215</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78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12,953</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91,262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79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59,972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79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72,925</w:t>
            </w:r>
          </w:p>
        </w:tc>
        <w:tc>
          <w:tcPr>
            <w:tcW w:w="60" w:type="dxa"/>
            <w:tcBorders/>
            <w:shd w:fill="CCEE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March 31, 2026</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157,838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65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100,775</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78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14,643</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86,132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9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57,063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9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71,706</w:t>
            </w:r>
          </w:p>
        </w:tc>
        <w:tc>
          <w:tcPr>
            <w:tcW w:w="60" w:type="dxa"/>
            <w:tcBorders/>
            <w:shd w:fill="FFFFFF" w:val="clear"/>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December 31, 2025</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132,188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65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93,705</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78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19,578</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74,127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9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38,483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9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58,061</w:t>
            </w:r>
          </w:p>
        </w:tc>
        <w:tc>
          <w:tcPr>
            <w:tcW w:w="60" w:type="dxa"/>
            <w:tcBorders/>
            <w:shd w:fill="CCEE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September 30, 2025</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108,434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65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81,515</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78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21,872</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59,643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9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26,919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9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48,791</w:t>
            </w:r>
          </w:p>
        </w:tc>
        <w:tc>
          <w:tcPr>
            <w:tcW w:w="60" w:type="dxa"/>
            <w:tcBorders/>
            <w:shd w:fill="FFFFFF" w:val="clear"/>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June 30, 2025</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92,289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65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69,135</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78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20,937</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48,198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9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23,154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9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44,091</w:t>
            </w:r>
          </w:p>
        </w:tc>
        <w:tc>
          <w:tcPr>
            <w:tcW w:w="60" w:type="dxa"/>
            <w:tcBorders/>
            <w:shd w:fill="CCEEFF" w:val="clear"/>
            <w:vAlign w:val="center"/>
          </w:tcPr>
          <w:p>
            <w:pPr>
              <w:pStyle w:val="TableContents"/>
              <w:bidi w:val="0"/>
              <w:spacing w:before="0" w:after="283"/>
              <w:jc w:val="left"/>
              <w:rPr/>
            </w:pPr>
            <w:r>
              <w:rPr/>
              <w:t> </w:t>
            </w:r>
          </w:p>
        </w:tc>
      </w:tr>
      <w:tr>
        <w:trPr/>
        <w:tc>
          <w:tcPr>
            <w:tcW w:w="16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March 31, 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81,090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61,377</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20,912</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40,465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19,713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40,625</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16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Six Months Ended</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r>
      <w:tr>
        <w:trPr/>
        <w:tc>
          <w:tcPr>
            <w:tcW w:w="1670"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June 30, 2026</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322,025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57"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204,990</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78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27,596</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177,394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79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117,035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79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144,631</w:t>
            </w:r>
          </w:p>
        </w:tc>
        <w:tc>
          <w:tcPr>
            <w:tcW w:w="60" w:type="dxa"/>
            <w:tcBorders/>
            <w:shd w:fill="FFFFFF" w:val="clear"/>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June 30, 2025</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173,379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657"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130,512</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41,849</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88,663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42,867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84,716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5905" w:type="dxa"/>
        <w:jc w:val="left"/>
        <w:tblInd w:w="0" w:type="dxa"/>
        <w:tblLayout w:type="fixed"/>
        <w:tblCellMar>
          <w:top w:w="0" w:type="dxa"/>
          <w:left w:w="0" w:type="dxa"/>
          <w:bottom w:w="0" w:type="dxa"/>
          <w:right w:w="0" w:type="dxa"/>
        </w:tblCellMar>
      </w:tblPr>
      <w:tblGrid>
        <w:gridCol w:w="230"/>
        <w:gridCol w:w="5675"/>
      </w:tblGrid>
      <w:tr>
        <w:trPr/>
        <w:tc>
          <w:tcPr>
            <w:tcW w:w="230" w:type="dxa"/>
            <w:tcBorders/>
            <w:vAlign w:val="center"/>
          </w:tcPr>
          <w:p>
            <w:pPr>
              <w:pStyle w:val="TableContents"/>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(1)</w:t>
            </w:r>
          </w:p>
        </w:tc>
        <w:tc>
          <w:tcPr>
            <w:tcW w:w="5675" w:type="dxa"/>
            <w:tcBorders/>
            <w:vAlign w:val="center"/>
          </w:tcPr>
          <w:p>
            <w:pPr>
              <w:pStyle w:val="TableContents"/>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Reflects the effect of derivative instrument hedges for only the period presented.</w:t>
            </w:r>
          </w:p>
        </w:tc>
      </w:tr>
    </w:tbl>
    <w:tbl>
      <w:tblPr>
        <w:tblW w:w="8995" w:type="dxa"/>
        <w:jc w:val="left"/>
        <w:tblInd w:w="0" w:type="dxa"/>
        <w:tblLayout w:type="fixed"/>
        <w:tblCellMar>
          <w:top w:w="0" w:type="dxa"/>
          <w:left w:w="0" w:type="dxa"/>
          <w:bottom w:w="0" w:type="dxa"/>
          <w:right w:w="0" w:type="dxa"/>
        </w:tblCellMar>
      </w:tblPr>
      <w:tblGrid>
        <w:gridCol w:w="230"/>
        <w:gridCol w:w="8765"/>
      </w:tblGrid>
      <w:tr>
        <w:trPr/>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(2)</w:t>
            </w:r>
          </w:p>
        </w:tc>
        <w:tc>
          <w:tcPr>
            <w:tcW w:w="87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Calculated by adding the effect of derivative instrument hedges attributed to the period presented to GAAP interest expense.</w:t>
            </w:r>
          </w:p>
        </w:tc>
      </w:tr>
    </w:tbl>
    <w:tbl>
      <w:tblPr>
        <w:tblW w:w="9190" w:type="dxa"/>
        <w:jc w:val="left"/>
        <w:tblInd w:w="0" w:type="dxa"/>
        <w:tblLayout w:type="fixed"/>
        <w:tblCellMar>
          <w:top w:w="0" w:type="dxa"/>
          <w:left w:w="0" w:type="dxa"/>
          <w:bottom w:w="0" w:type="dxa"/>
          <w:right w:w="0" w:type="dxa"/>
        </w:tblCellMar>
      </w:tblPr>
      <w:tblGrid>
        <w:gridCol w:w="230"/>
        <w:gridCol w:w="8960"/>
      </w:tblGrid>
      <w:tr>
        <w:trPr/>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(3)</w:t>
            </w:r>
          </w:p>
        </w:tc>
        <w:tc>
          <w:tcPr>
            <w:tcW w:w="8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Calculated by adding the effect of derivative instrument hedges attributed to the period presented to GAAP net interest income.</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Net Interest Income (Expense)</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shd w:fill="FFFFFF" w:val="clear"/>
        </w:rPr>
        <w:t xml:space="preserve">During the six months ended June 30, 2026, we earned net interest </w:t>
      </w:r>
      <w:r>
        <w:rPr>
          <w:rFonts w:ascii="Times New Roman;Times;serif" w:hAnsi="Times New Roman;Times;serif"/>
          <w:sz w:val="20"/>
        </w:rPr>
        <w:t>income</w:t>
      </w:r>
      <w:r>
        <w:rPr>
          <w:rFonts w:ascii="Times New Roman;Times;serif" w:hAnsi="Times New Roman;Times;serif"/>
          <w:sz w:val="20"/>
          <w:shd w:fill="FFFFFF" w:val="clear"/>
        </w:rPr>
        <w:t xml:space="preserve"> of $117.0 million consisting of $322.0 million of interest income from RMBS assets offset by $205.0 million of interest expense on borrowings. For the comparable period ended </w:t>
      </w:r>
      <w:r>
        <w:rPr>
          <w:rFonts w:ascii="Times New Roman;Times;serif" w:hAnsi="Times New Roman;Times;serif"/>
          <w:sz w:val="20"/>
        </w:rPr>
        <w:t>June 30, 2025</w:t>
      </w:r>
      <w:r>
        <w:rPr>
          <w:rFonts w:ascii="Times New Roman;Times;serif" w:hAnsi="Times New Roman;Times;serif"/>
          <w:sz w:val="20"/>
          <w:shd w:fill="FFFFFF" w:val="clear"/>
        </w:rPr>
        <w:t xml:space="preserve">, we earned $42.9 million of net interest income, consisting of $173.4 million of interest income from RMBS assets offset by $130.5 million of interest expense on borrowings. The $148.6 million increase in interest income was due to a 35 basis point ("bp") increase in the yield on average RMBS, combined with a $4,780.8 million </w:t>
      </w:r>
      <w:r>
        <w:rPr>
          <w:rFonts w:ascii="Times New Roman;Times;serif" w:hAnsi="Times New Roman;Times;serif"/>
          <w:sz w:val="20"/>
        </w:rPr>
        <w:t>increase</w:t>
      </w:r>
      <w:r>
        <w:rPr>
          <w:rFonts w:ascii="Times New Roman;Times;serif" w:hAnsi="Times New Roman;Times;serif"/>
          <w:sz w:val="20"/>
          <w:shd w:fill="FFFFFF" w:val="clear"/>
        </w:rPr>
        <w:t> in average RMBS. The $74.5 million increase in interest expense was due to a $4,603.3 million increase in average outstanding borrowings, offset by a 44 bps decrease in the average cost of funds.</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shd w:fill="FFFFFF" w:val="clear"/>
        </w:rPr>
        <w:t xml:space="preserve">During the three months ended June 30, 2026, we earned net interest </w:t>
      </w:r>
      <w:r>
        <w:rPr>
          <w:rFonts w:ascii="Times New Roman" w:hAnsi="Times New Roman"/>
          <w:caps w:val="false"/>
          <w:smallCaps w:val="false"/>
          <w:sz w:val="20"/>
        </w:rPr>
        <w:t>income</w:t>
      </w:r>
      <w:r>
        <w:rPr>
          <w:rFonts w:ascii="Times New Roman" w:hAnsi="Times New Roman"/>
          <w:caps w:val="false"/>
          <w:smallCaps w:val="false"/>
          <w:sz w:val="20"/>
          <w:shd w:fill="FFFFFF" w:val="clear"/>
        </w:rPr>
        <w:t> of </w:t>
      </w:r>
      <w:r>
        <w:rPr>
          <w:rFonts w:ascii="Times New Roman" w:hAnsi="Times New Roman"/>
          <w:caps w:val="false"/>
          <w:smallCaps w:val="false"/>
          <w:sz w:val="20"/>
        </w:rPr>
        <w:t>$60.0 million</w:t>
      </w:r>
      <w:r>
        <w:rPr>
          <w:rFonts w:ascii="Times New Roman" w:hAnsi="Times New Roman"/>
          <w:caps w:val="false"/>
          <w:smallCaps w:val="false"/>
          <w:sz w:val="20"/>
          <w:shd w:fill="FFFFFF" w:val="clear"/>
        </w:rPr>
        <w:t xml:space="preserve"> consisting of </w:t>
      </w:r>
      <w:r>
        <w:rPr>
          <w:rFonts w:ascii="Times New Roman" w:hAnsi="Times New Roman"/>
          <w:caps w:val="false"/>
          <w:smallCaps w:val="false"/>
          <w:sz w:val="20"/>
        </w:rPr>
        <w:t>$164.2 million</w:t>
      </w:r>
      <w:r>
        <w:rPr>
          <w:rFonts w:ascii="Times New Roman" w:hAnsi="Times New Roman"/>
          <w:caps w:val="false"/>
          <w:smallCaps w:val="false"/>
          <w:sz w:val="20"/>
          <w:shd w:fill="FFFFFF" w:val="clear"/>
        </w:rPr>
        <w:t xml:space="preserve"> of interest income from RMBS assets offset by </w:t>
      </w:r>
      <w:r>
        <w:rPr>
          <w:rFonts w:ascii="Times New Roman" w:hAnsi="Times New Roman"/>
          <w:caps w:val="false"/>
          <w:smallCaps w:val="false"/>
          <w:sz w:val="20"/>
        </w:rPr>
        <w:t>$104.2 million</w:t>
      </w:r>
      <w:r>
        <w:rPr>
          <w:rFonts w:ascii="Times New Roman" w:hAnsi="Times New Roman"/>
          <w:caps w:val="false"/>
          <w:smallCaps w:val="false"/>
          <w:sz w:val="20"/>
          <w:shd w:fill="FFFFFF" w:val="clear"/>
        </w:rPr>
        <w:t xml:space="preserve"> of interest expense on borrowings. For the comparable period ended </w:t>
      </w:r>
      <w:r>
        <w:rPr>
          <w:rFonts w:ascii="Times New Roman" w:hAnsi="Times New Roman"/>
          <w:caps w:val="false"/>
          <w:smallCaps w:val="false"/>
          <w:sz w:val="20"/>
        </w:rPr>
        <w:t>June 30, 2025</w:t>
      </w:r>
      <w:r>
        <w:rPr>
          <w:rFonts w:ascii="Times New Roman" w:hAnsi="Times New Roman"/>
          <w:caps w:val="false"/>
          <w:smallCaps w:val="false"/>
          <w:sz w:val="20"/>
          <w:shd w:fill="FFFFFF" w:val="clear"/>
        </w:rPr>
        <w:t>, we earned </w:t>
      </w:r>
      <w:r>
        <w:rPr>
          <w:rFonts w:ascii="Times New Roman" w:hAnsi="Times New Roman"/>
          <w:caps w:val="false"/>
          <w:smallCaps w:val="false"/>
          <w:sz w:val="20"/>
        </w:rPr>
        <w:t>$23.2 million</w:t>
      </w:r>
      <w:r>
        <w:rPr>
          <w:rFonts w:ascii="Times New Roman" w:hAnsi="Times New Roman"/>
          <w:caps w:val="false"/>
          <w:smallCaps w:val="false"/>
          <w:sz w:val="20"/>
          <w:shd w:fill="FFFFFF" w:val="clear"/>
        </w:rPr>
        <w:t xml:space="preserve"> of net interest income, consisting of </w:t>
      </w:r>
      <w:r>
        <w:rPr>
          <w:rFonts w:ascii="Times New Roman" w:hAnsi="Times New Roman"/>
          <w:caps w:val="false"/>
          <w:smallCaps w:val="false"/>
          <w:sz w:val="20"/>
        </w:rPr>
        <w:t>$92.3 million</w:t>
      </w:r>
      <w:r>
        <w:rPr>
          <w:rFonts w:ascii="Times New Roman" w:hAnsi="Times New Roman"/>
          <w:caps w:val="false"/>
          <w:smallCaps w:val="false"/>
          <w:sz w:val="20"/>
          <w:shd w:fill="FFFFFF" w:val="clear"/>
        </w:rPr>
        <w:t xml:space="preserve"> of interest income from RMBS assets offset by </w:t>
      </w:r>
      <w:r>
        <w:rPr>
          <w:rFonts w:ascii="Times New Roman" w:hAnsi="Times New Roman"/>
          <w:caps w:val="false"/>
          <w:smallCaps w:val="false"/>
          <w:sz w:val="20"/>
        </w:rPr>
        <w:t>$69.1 million</w:t>
      </w:r>
      <w:r>
        <w:rPr>
          <w:rFonts w:ascii="Times New Roman" w:hAnsi="Times New Roman"/>
          <w:caps w:val="false"/>
          <w:smallCaps w:val="false"/>
          <w:sz w:val="20"/>
          <w:shd w:fill="FFFFFF" w:val="clear"/>
        </w:rPr>
        <w:t xml:space="preserve"> of interest expense on borrowings. The </w:t>
      </w:r>
      <w:r>
        <w:rPr>
          <w:rFonts w:ascii="Times New Roman" w:hAnsi="Times New Roman"/>
          <w:caps w:val="false"/>
          <w:smallCaps w:val="false"/>
          <w:sz w:val="20"/>
        </w:rPr>
        <w:t>$71.9 million</w:t>
      </w:r>
      <w:r>
        <w:rPr>
          <w:rFonts w:ascii="Times New Roman" w:hAnsi="Times New Roman"/>
          <w:caps w:val="false"/>
          <w:smallCaps w:val="false"/>
          <w:sz w:val="20"/>
          <w:shd w:fill="FFFFFF" w:val="clear"/>
        </w:rPr>
        <w:t> </w:t>
      </w:r>
      <w:r>
        <w:rPr>
          <w:rFonts w:ascii="Times New Roman" w:hAnsi="Times New Roman"/>
          <w:caps w:val="false"/>
          <w:smallCaps w:val="false"/>
          <w:sz w:val="20"/>
        </w:rPr>
        <w:t>increase</w:t>
      </w:r>
      <w:r>
        <w:rPr>
          <w:rFonts w:ascii="Times New Roman" w:hAnsi="Times New Roman"/>
          <w:caps w:val="false"/>
          <w:smallCaps w:val="false"/>
          <w:sz w:val="20"/>
          <w:shd w:fill="FFFFFF" w:val="clear"/>
        </w:rPr>
        <w:t> in interest income was due to a </w:t>
      </w:r>
      <w:r>
        <w:rPr>
          <w:rFonts w:ascii="Times New Roman" w:hAnsi="Times New Roman"/>
          <w:caps w:val="false"/>
          <w:smallCaps w:val="false"/>
          <w:sz w:val="20"/>
        </w:rPr>
        <w:t>36</w:t>
      </w:r>
      <w:r>
        <w:rPr>
          <w:rFonts w:ascii="Times New Roman" w:hAnsi="Times New Roman"/>
          <w:caps w:val="false"/>
          <w:smallCaps w:val="false"/>
          <w:sz w:val="20"/>
          <w:shd w:fill="FFFFFF" w:val="clear"/>
        </w:rPr>
        <w:t> basis point ("bp") </w:t>
      </w:r>
      <w:r>
        <w:rPr>
          <w:rFonts w:ascii="Times New Roman" w:hAnsi="Times New Roman"/>
          <w:caps w:val="false"/>
          <w:smallCaps w:val="false"/>
          <w:sz w:val="20"/>
        </w:rPr>
        <w:t>increase</w:t>
      </w:r>
      <w:r>
        <w:rPr>
          <w:rFonts w:ascii="Times New Roman" w:hAnsi="Times New Roman"/>
          <w:caps w:val="false"/>
          <w:smallCaps w:val="false"/>
          <w:sz w:val="20"/>
          <w:shd w:fill="FFFFFF" w:val="clear"/>
        </w:rPr>
        <w:t> in the yield on average RMBS, combined with a $4,573.6 million </w:t>
      </w:r>
      <w:r>
        <w:rPr>
          <w:rFonts w:ascii="Times New Roman" w:hAnsi="Times New Roman"/>
          <w:caps w:val="false"/>
          <w:smallCaps w:val="false"/>
          <w:sz w:val="20"/>
        </w:rPr>
        <w:t>increase</w:t>
      </w:r>
      <w:r>
        <w:rPr>
          <w:rFonts w:ascii="Times New Roman" w:hAnsi="Times New Roman"/>
          <w:caps w:val="false"/>
          <w:smallCaps w:val="false"/>
          <w:sz w:val="20"/>
          <w:shd w:fill="FFFFFF" w:val="clear"/>
        </w:rPr>
        <w:t xml:space="preserve"> in average RMBS. The </w:t>
      </w:r>
      <w:r>
        <w:rPr>
          <w:rFonts w:ascii="Times New Roman" w:hAnsi="Times New Roman"/>
          <w:caps w:val="false"/>
          <w:smallCaps w:val="false"/>
          <w:sz w:val="20"/>
        </w:rPr>
        <w:t>$35.1 million</w:t>
      </w:r>
      <w:r>
        <w:rPr>
          <w:rFonts w:ascii="Times New Roman" w:hAnsi="Times New Roman"/>
          <w:caps w:val="false"/>
          <w:smallCaps w:val="false"/>
          <w:sz w:val="20"/>
          <w:shd w:fill="FFFFFF" w:val="clear"/>
        </w:rPr>
        <w:t> </w:t>
      </w:r>
      <w:r>
        <w:rPr>
          <w:rFonts w:ascii="Times New Roman" w:hAnsi="Times New Roman"/>
          <w:caps w:val="false"/>
          <w:smallCaps w:val="false"/>
          <w:sz w:val="20"/>
        </w:rPr>
        <w:t>increase</w:t>
      </w:r>
      <w:r>
        <w:rPr>
          <w:rFonts w:ascii="Times New Roman" w:hAnsi="Times New Roman"/>
          <w:caps w:val="false"/>
          <w:smallCaps w:val="false"/>
          <w:sz w:val="20"/>
          <w:shd w:fill="FFFFFF" w:val="clear"/>
        </w:rPr>
        <w:t> in interest expense was due to a </w:t>
      </w:r>
      <w:r>
        <w:rPr>
          <w:rFonts w:ascii="Times New Roman" w:hAnsi="Times New Roman"/>
          <w:caps w:val="false"/>
          <w:smallCaps w:val="false"/>
          <w:sz w:val="20"/>
        </w:rPr>
        <w:t xml:space="preserve">$4,438.5 </w:t>
      </w:r>
      <w:r>
        <w:rPr>
          <w:rFonts w:ascii="Times New Roman" w:hAnsi="Times New Roman"/>
          <w:caps w:val="false"/>
          <w:smallCaps w:val="false"/>
          <w:sz w:val="20"/>
          <w:shd w:fill="FFFFFF" w:val="clear"/>
        </w:rPr>
        <w:t>million </w:t>
      </w:r>
      <w:r>
        <w:rPr>
          <w:rFonts w:ascii="Times New Roman" w:hAnsi="Times New Roman"/>
          <w:caps w:val="false"/>
          <w:smallCaps w:val="false"/>
          <w:sz w:val="20"/>
        </w:rPr>
        <w:t>increase</w:t>
      </w:r>
      <w:r>
        <w:rPr>
          <w:rFonts w:ascii="Times New Roman" w:hAnsi="Times New Roman"/>
          <w:caps w:val="false"/>
          <w:smallCaps w:val="false"/>
          <w:sz w:val="20"/>
          <w:shd w:fill="FFFFFF" w:val="clear"/>
        </w:rPr>
        <w:t> in average outstanding borrowings, offset by a </w:t>
      </w:r>
      <w:r>
        <w:rPr>
          <w:rFonts w:ascii="Times New Roman" w:hAnsi="Times New Roman"/>
          <w:caps w:val="false"/>
          <w:smallCaps w:val="false"/>
          <w:sz w:val="20"/>
        </w:rPr>
        <w:t>43</w:t>
      </w:r>
      <w:r>
        <w:rPr>
          <w:rFonts w:ascii="Times New Roman" w:hAnsi="Times New Roman"/>
          <w:caps w:val="false"/>
          <w:smallCaps w:val="false"/>
          <w:sz w:val="20"/>
          <w:shd w:fill="FFFFFF" w:val="clear"/>
        </w:rPr>
        <w:t xml:space="preserve"> bps </w:t>
      </w:r>
      <w:r>
        <w:rPr>
          <w:rFonts w:ascii="Times New Roman" w:hAnsi="Times New Roman"/>
          <w:caps w:val="false"/>
          <w:smallCaps w:val="false"/>
          <w:sz w:val="20"/>
        </w:rPr>
        <w:t>decrease</w:t>
      </w:r>
      <w:r>
        <w:rPr>
          <w:rFonts w:ascii="Times New Roman" w:hAnsi="Times New Roman"/>
          <w:caps w:val="false"/>
          <w:smallCaps w:val="false"/>
          <w:sz w:val="20"/>
          <w:shd w:fill="FFFFFF" w:val="clear"/>
        </w:rPr>
        <w:t> in the average cost of funds.</w:t>
      </w:r>
    </w:p>
    <w:p>
      <w:pPr>
        <w:pStyle w:val="TextBody"/>
        <w:bidi w:val="0"/>
        <w:spacing w:before="0" w:after="0"/>
        <w:ind w:left="0" w:right="0" w:firstLine="36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sz w:val="20"/>
          <w:shd w:fill="FFFFFF" w:val="clear"/>
        </w:rPr>
      </w:pPr>
      <w:r>
        <w:rPr>
          <w:rFonts w:ascii="Times New Roman" w:hAnsi="Times New Roman"/>
          <w:sz w:val="20"/>
          <w:shd w:fill="FFFFFF" w:val="clear"/>
        </w:rPr>
        <w:t>On an economic basis, our interest expense on borrowings for the six months ended June 30, 2026 and 2025 was $177.4 million and $88.7 million, respectively, resulting in $144.6 million and $84.7 million of economic net interest income, respectively.</w:t>
      </w:r>
    </w:p>
    <w:p>
      <w:pPr>
        <w:pStyle w:val="TextBody"/>
        <w:bidi w:val="0"/>
        <w:spacing w:before="0" w:after="0"/>
        <w:ind w:left="0" w:right="0" w:firstLine="360"/>
        <w:jc w:val="left"/>
        <w:rPr/>
      </w:pPr>
      <w:r>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shd w:fill="FFFFFF" w:val="clear"/>
        </w:rPr>
        <w:t xml:space="preserve">On an economic basis, our interest expense on borrowings for the three months ended June 30, 2026 and 2025 was $91.3 million and </w:t>
      </w:r>
      <w:r>
        <w:rPr>
          <w:rFonts w:ascii="Times New Roman" w:hAnsi="Times New Roman"/>
          <w:sz w:val="20"/>
        </w:rPr>
        <w:t>$48.2 million</w:t>
      </w:r>
      <w:r>
        <w:rPr>
          <w:rFonts w:ascii="Times New Roman" w:hAnsi="Times New Roman"/>
          <w:sz w:val="20"/>
          <w:shd w:fill="FFFFFF" w:val="clear"/>
        </w:rPr>
        <w:t xml:space="preserve">, respectively, resulting in </w:t>
      </w:r>
      <w:r>
        <w:rPr>
          <w:rFonts w:ascii="Times New Roman" w:hAnsi="Times New Roman"/>
          <w:sz w:val="20"/>
        </w:rPr>
        <w:t>$72.9 million</w:t>
      </w:r>
      <w:r>
        <w:rPr>
          <w:rFonts w:ascii="Times New Roman" w:hAnsi="Times New Roman"/>
          <w:sz w:val="20"/>
          <w:shd w:fill="FFFFFF" w:val="clear"/>
        </w:rPr>
        <w:t xml:space="preserve"> and </w:t>
      </w:r>
      <w:r>
        <w:rPr>
          <w:rFonts w:ascii="Times New Roman" w:hAnsi="Times New Roman"/>
          <w:sz w:val="20"/>
        </w:rPr>
        <w:t>$44.1 million</w:t>
      </w:r>
      <w:r>
        <w:rPr>
          <w:rFonts w:ascii="Times New Roman" w:hAnsi="Times New Roman"/>
          <w:sz w:val="20"/>
          <w:shd w:fill="FFFFFF" w:val="clear"/>
        </w:rPr>
        <w:t> of economic net interest income, respectively.</w:t>
      </w:r>
    </w:p>
    <w:p>
      <w:pPr>
        <w:pStyle w:val="TextBody"/>
        <w:bidi w:val="0"/>
        <w:spacing w:before="0" w:after="0"/>
        <w:ind w:left="0" w:right="0" w:firstLine="36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tables below provide information on our portfolio average balances, interest income, yield on assets, average borrowings, interest expense, cost of funds, net interest income and net interest spread for the six months ended June 30, 2026 and 2025, and for each quarter in 2026 to date and 2025 on both a GAAP and economic basis.</w:t>
      </w:r>
    </w:p>
    <w:p>
      <w:pPr>
        <w:pStyle w:val="TextBody"/>
        <w:bidi w:val="0"/>
        <w:spacing w:before="0" w:after="0"/>
        <w:ind w:left="0" w:right="0" w:hanging="0"/>
        <w:jc w:val="left"/>
        <w:rPr>
          <w:caps w:val="false"/>
          <w:smallCaps w:val="false"/>
        </w:rPr>
      </w:pPr>
      <w:r>
        <w:rPr>
          <w:caps w:val="false"/>
          <w:smallCaps w:val="false"/>
        </w:rPr>
        <w:t> </w:t>
      </w:r>
    </w:p>
    <w:tbl>
      <w:tblPr>
        <w:tblW w:w="9528" w:type="dxa"/>
        <w:jc w:val="left"/>
        <w:tblInd w:w="0" w:type="dxa"/>
        <w:tblLayout w:type="fixed"/>
        <w:tblCellMar>
          <w:top w:w="0" w:type="dxa"/>
          <w:left w:w="0" w:type="dxa"/>
          <w:bottom w:w="28" w:type="dxa"/>
          <w:right w:w="0" w:type="dxa"/>
        </w:tblCellMar>
      </w:tblPr>
      <w:tblGrid>
        <w:gridCol w:w="1670"/>
        <w:gridCol w:w="60"/>
        <w:gridCol w:w="110"/>
        <w:gridCol w:w="830"/>
        <w:gridCol w:w="60"/>
        <w:gridCol w:w="60"/>
        <w:gridCol w:w="110"/>
        <w:gridCol w:w="605"/>
        <w:gridCol w:w="60"/>
        <w:gridCol w:w="60"/>
        <w:gridCol w:w="100"/>
        <w:gridCol w:w="564"/>
        <w:gridCol w:w="170"/>
        <w:gridCol w:w="60"/>
        <w:gridCol w:w="131"/>
        <w:gridCol w:w="998"/>
        <w:gridCol w:w="60"/>
        <w:gridCol w:w="60"/>
        <w:gridCol w:w="110"/>
        <w:gridCol w:w="605"/>
        <w:gridCol w:w="60"/>
        <w:gridCol w:w="60"/>
        <w:gridCol w:w="118"/>
        <w:gridCol w:w="652"/>
        <w:gridCol w:w="60"/>
        <w:gridCol w:w="60"/>
        <w:gridCol w:w="105"/>
        <w:gridCol w:w="587"/>
        <w:gridCol w:w="298"/>
        <w:gridCol w:w="105"/>
        <w:gridCol w:w="116"/>
        <w:gridCol w:w="654"/>
        <w:gridCol w:w="170"/>
      </w:tblGrid>
      <w:tr>
        <w:trPr/>
        <w:tc>
          <w:tcPr>
            <w:tcW w:w="167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 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60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0" w:type="dxa"/>
            <w:tcBorders>
              <w:bottom w:val="single" w:sz="2" w:space="0" w:color="000000"/>
            </w:tcBorders>
            <w:shd w:fill="FFFFFF" w:val="clear"/>
            <w:vAlign w:val="center"/>
          </w:tcPr>
          <w:p>
            <w:pPr>
              <w:pStyle w:val="TableContents"/>
              <w:bidi w:val="0"/>
              <w:spacing w:before="0" w:after="283"/>
              <w:jc w:val="left"/>
              <w:rPr/>
            </w:pPr>
            <w:r>
              <w:rPr/>
              <w:t> </w:t>
            </w:r>
          </w:p>
        </w:tc>
        <w:tc>
          <w:tcPr>
            <w:tcW w:w="564"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vAlign w:val="center"/>
          </w:tcPr>
          <w:p>
            <w:pPr>
              <w:pStyle w:val="TableContents"/>
              <w:bidi w:val="0"/>
              <w:spacing w:before="0" w:after="283"/>
              <w:jc w:val="left"/>
              <w:rPr/>
            </w:pPr>
            <w:r>
              <w:rPr/>
              <w:t> </w:t>
            </w:r>
          </w:p>
        </w:tc>
        <w:tc>
          <w:tcPr>
            <w:tcW w:w="998"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60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8" w:type="dxa"/>
            <w:tcBorders>
              <w:bottom w:val="single" w:sz="2" w:space="0" w:color="000000"/>
            </w:tcBorders>
            <w:shd w:fill="FFFFFF" w:val="clear"/>
            <w:vAlign w:val="center"/>
          </w:tcPr>
          <w:p>
            <w:pPr>
              <w:pStyle w:val="TableContents"/>
              <w:bidi w:val="0"/>
              <w:spacing w:before="0" w:after="283"/>
              <w:jc w:val="left"/>
              <w:rPr/>
            </w:pPr>
            <w:r>
              <w:rPr/>
              <w:t> </w:t>
            </w:r>
          </w:p>
        </w:tc>
        <w:tc>
          <w:tcPr>
            <w:tcW w:w="652"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5" w:type="dxa"/>
            <w:tcBorders>
              <w:bottom w:val="single" w:sz="2" w:space="0" w:color="000000"/>
            </w:tcBorders>
            <w:shd w:fill="FFFFFF" w:val="clear"/>
            <w:vAlign w:val="center"/>
          </w:tcPr>
          <w:p>
            <w:pPr>
              <w:pStyle w:val="TableContents"/>
              <w:bidi w:val="0"/>
              <w:spacing w:before="0" w:after="283"/>
              <w:jc w:val="left"/>
              <w:rPr/>
            </w:pPr>
            <w:r>
              <w:rPr/>
              <w:t> </w:t>
            </w:r>
          </w:p>
        </w:tc>
        <w:tc>
          <w:tcPr>
            <w:tcW w:w="587" w:type="dxa"/>
            <w:tcBorders>
              <w:bottom w:val="single" w:sz="2" w:space="0" w:color="000000"/>
            </w:tcBorders>
            <w:shd w:fill="FFFFFF" w:val="clear"/>
            <w:vAlign w:val="center"/>
          </w:tcPr>
          <w:p>
            <w:pPr>
              <w:pStyle w:val="TableContents"/>
              <w:bidi w:val="0"/>
              <w:spacing w:before="0" w:after="283"/>
              <w:jc w:val="left"/>
              <w:rPr/>
            </w:pPr>
            <w:r>
              <w:rPr/>
              <w:t> </w:t>
            </w:r>
          </w:p>
        </w:tc>
        <w:tc>
          <w:tcPr>
            <w:tcW w:w="298" w:type="dxa"/>
            <w:tcBorders>
              <w:bottom w:val="single" w:sz="2" w:space="0" w:color="000000"/>
            </w:tcBorders>
            <w:shd w:fill="FFFFFF" w:val="clear"/>
            <w:vAlign w:val="center"/>
          </w:tcPr>
          <w:p>
            <w:pPr>
              <w:pStyle w:val="TableContents"/>
              <w:bidi w:val="0"/>
              <w:spacing w:before="0" w:after="283"/>
              <w:jc w:val="left"/>
              <w:rPr/>
            </w:pPr>
            <w:r>
              <w:rPr/>
              <w:t> </w:t>
            </w:r>
          </w:p>
        </w:tc>
        <w:tc>
          <w:tcPr>
            <w:tcW w:w="105" w:type="dxa"/>
            <w:tcBorders>
              <w:bottom w:val="single" w:sz="2" w:space="0" w:color="000000"/>
            </w:tcBorders>
            <w:shd w:fill="FFFFFF" w:val="clear"/>
            <w:vAlign w:val="center"/>
          </w:tcPr>
          <w:p>
            <w:pPr>
              <w:pStyle w:val="TableContents"/>
              <w:bidi w:val="0"/>
              <w:spacing w:before="0" w:after="283"/>
              <w:jc w:val="left"/>
              <w:rPr/>
            </w:pPr>
            <w:r>
              <w:rPr/>
              <w:t> </w:t>
            </w:r>
          </w:p>
        </w:tc>
        <w:tc>
          <w:tcPr>
            <w:tcW w:w="116" w:type="dxa"/>
            <w:tcBorders>
              <w:bottom w:val="single" w:sz="2" w:space="0" w:color="000000"/>
            </w:tcBorders>
            <w:shd w:fill="FFFFFF" w:val="clear"/>
            <w:vAlign w:val="center"/>
          </w:tcPr>
          <w:p>
            <w:pPr>
              <w:pStyle w:val="TableContents"/>
              <w:bidi w:val="0"/>
              <w:spacing w:before="0" w:after="283"/>
              <w:jc w:val="left"/>
              <w:rPr/>
            </w:pPr>
            <w:r>
              <w:rPr/>
              <w:t> </w:t>
            </w:r>
          </w:p>
        </w:tc>
        <w:tc>
          <w:tcPr>
            <w:tcW w:w="654"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6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40"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Average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64"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Yield on</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 w:type="dxa"/>
            <w:tcBorders/>
            <w:shd w:fill="FFFFFF" w:val="clear"/>
            <w:tcMar>
              <w:bottom w:w="0" w:type="dxa"/>
            </w:tcMar>
            <w:vAlign w:val="center"/>
          </w:tcPr>
          <w:p>
            <w:pPr>
              <w:pStyle w:val="TableContents"/>
              <w:bidi w:val="0"/>
              <w:spacing w:before="0" w:after="283"/>
              <w:jc w:val="left"/>
              <w:rPr/>
            </w:pPr>
            <w:r>
              <w:rPr/>
              <w:t> </w:t>
            </w:r>
          </w:p>
        </w:tc>
        <w:tc>
          <w:tcPr>
            <w:tcW w:w="99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05"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Interest Expense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865"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Average Cost of Funds</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6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40"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RMBS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5"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Interest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64"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Average</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29"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Average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5"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GAAP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70"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Economic</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92"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GAAP</w:t>
            </w:r>
          </w:p>
        </w:tc>
        <w:tc>
          <w:tcPr>
            <w:tcW w:w="298"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ind w:left="0" w:right="0" w:hanging="0"/>
              <w:jc w:val="left"/>
              <w:rPr/>
            </w:pPr>
            <w:r>
              <w:rPr/>
              <w:t> </w:t>
            </w:r>
          </w:p>
        </w:tc>
        <w:tc>
          <w:tcPr>
            <w:tcW w:w="770"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Economic</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16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40"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Held(1)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Income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64"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RMBS</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Borrowings(1)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Basis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Basis(2)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2"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Basis</w:t>
            </w:r>
          </w:p>
        </w:tc>
        <w:tc>
          <w:tcPr>
            <w:tcW w:w="298" w:type="dxa"/>
            <w:tcBorders>
              <w:bottom w:val="single" w:sz="2" w:space="0" w:color="000000"/>
            </w:tcBorders>
            <w:shd w:fill="FFFFFF" w:val="clear"/>
            <w:vAlign w:val="center"/>
          </w:tcPr>
          <w:p>
            <w:pPr>
              <w:pStyle w:val="TableContents"/>
              <w:bidi w:val="0"/>
              <w:spacing w:before="0" w:after="283"/>
              <w:jc w:val="left"/>
              <w:rPr/>
            </w:pPr>
            <w:r>
              <w:rPr/>
              <w:t> </w:t>
            </w:r>
          </w:p>
        </w:tc>
        <w:tc>
          <w:tcPr>
            <w:tcW w:w="10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Basis(3)</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67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Three Months Ended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60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0" w:type="dxa"/>
            <w:tcBorders>
              <w:bottom w:val="single" w:sz="2" w:space="0" w:color="000000"/>
            </w:tcBorders>
            <w:shd w:fill="FFFFFF" w:val="clear"/>
            <w:vAlign w:val="center"/>
          </w:tcPr>
          <w:p>
            <w:pPr>
              <w:pStyle w:val="TableContents"/>
              <w:bidi w:val="0"/>
              <w:spacing w:before="0" w:after="283"/>
              <w:jc w:val="left"/>
              <w:rPr/>
            </w:pPr>
            <w:r>
              <w:rPr/>
              <w:t> </w:t>
            </w:r>
          </w:p>
        </w:tc>
        <w:tc>
          <w:tcPr>
            <w:tcW w:w="564"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vAlign w:val="center"/>
          </w:tcPr>
          <w:p>
            <w:pPr>
              <w:pStyle w:val="TableContents"/>
              <w:bidi w:val="0"/>
              <w:spacing w:before="0" w:after="283"/>
              <w:jc w:val="left"/>
              <w:rPr/>
            </w:pPr>
            <w:r>
              <w:rPr/>
              <w:t> </w:t>
            </w:r>
          </w:p>
        </w:tc>
        <w:tc>
          <w:tcPr>
            <w:tcW w:w="998"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60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8" w:type="dxa"/>
            <w:tcBorders>
              <w:bottom w:val="single" w:sz="2" w:space="0" w:color="000000"/>
            </w:tcBorders>
            <w:shd w:fill="FFFFFF" w:val="clear"/>
            <w:vAlign w:val="center"/>
          </w:tcPr>
          <w:p>
            <w:pPr>
              <w:pStyle w:val="TableContents"/>
              <w:bidi w:val="0"/>
              <w:spacing w:before="0" w:after="283"/>
              <w:jc w:val="left"/>
              <w:rPr/>
            </w:pPr>
            <w:r>
              <w:rPr/>
              <w:t> </w:t>
            </w:r>
          </w:p>
        </w:tc>
        <w:tc>
          <w:tcPr>
            <w:tcW w:w="652"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5" w:type="dxa"/>
            <w:tcBorders>
              <w:bottom w:val="single" w:sz="2" w:space="0" w:color="000000"/>
            </w:tcBorders>
            <w:shd w:fill="FFFFFF" w:val="clear"/>
            <w:vAlign w:val="center"/>
          </w:tcPr>
          <w:p>
            <w:pPr>
              <w:pStyle w:val="TableContents"/>
              <w:bidi w:val="0"/>
              <w:spacing w:before="0" w:after="283"/>
              <w:jc w:val="left"/>
              <w:rPr/>
            </w:pPr>
            <w:r>
              <w:rPr/>
              <w:t> </w:t>
            </w:r>
          </w:p>
        </w:tc>
        <w:tc>
          <w:tcPr>
            <w:tcW w:w="587" w:type="dxa"/>
            <w:tcBorders>
              <w:bottom w:val="single" w:sz="2" w:space="0" w:color="000000"/>
            </w:tcBorders>
            <w:shd w:fill="FFFFFF" w:val="clear"/>
            <w:vAlign w:val="center"/>
          </w:tcPr>
          <w:p>
            <w:pPr>
              <w:pStyle w:val="TableContents"/>
              <w:bidi w:val="0"/>
              <w:spacing w:before="0" w:after="283"/>
              <w:jc w:val="left"/>
              <w:rPr/>
            </w:pPr>
            <w:r>
              <w:rPr/>
              <w:t> </w:t>
            </w:r>
          </w:p>
        </w:tc>
        <w:tc>
          <w:tcPr>
            <w:tcW w:w="298" w:type="dxa"/>
            <w:tcBorders>
              <w:bottom w:val="single" w:sz="2" w:space="0" w:color="000000"/>
            </w:tcBorders>
            <w:shd w:fill="FFFFFF" w:val="clear"/>
            <w:vAlign w:val="center"/>
          </w:tcPr>
          <w:p>
            <w:pPr>
              <w:pStyle w:val="TableContents"/>
              <w:bidi w:val="0"/>
              <w:spacing w:before="0" w:after="283"/>
              <w:jc w:val="left"/>
              <w:rPr/>
            </w:pPr>
            <w:r>
              <w:rPr/>
              <w:t> </w:t>
            </w:r>
          </w:p>
        </w:tc>
        <w:tc>
          <w:tcPr>
            <w:tcW w:w="105" w:type="dxa"/>
            <w:tcBorders>
              <w:bottom w:val="single" w:sz="2" w:space="0" w:color="000000"/>
            </w:tcBorders>
            <w:shd w:fill="FFFFFF" w:val="clear"/>
            <w:vAlign w:val="center"/>
          </w:tcPr>
          <w:p>
            <w:pPr>
              <w:pStyle w:val="TableContents"/>
              <w:bidi w:val="0"/>
              <w:spacing w:before="0" w:after="283"/>
              <w:jc w:val="left"/>
              <w:rPr/>
            </w:pPr>
            <w:r>
              <w:rPr/>
              <w:t> </w:t>
            </w:r>
          </w:p>
        </w:tc>
        <w:tc>
          <w:tcPr>
            <w:tcW w:w="116" w:type="dxa"/>
            <w:tcBorders>
              <w:bottom w:val="single" w:sz="2" w:space="0" w:color="000000"/>
            </w:tcBorders>
            <w:shd w:fill="FFFFFF" w:val="clear"/>
            <w:vAlign w:val="center"/>
          </w:tcPr>
          <w:p>
            <w:pPr>
              <w:pStyle w:val="TableContents"/>
              <w:bidi w:val="0"/>
              <w:spacing w:before="0" w:after="283"/>
              <w:jc w:val="left"/>
              <w:rPr/>
            </w:pPr>
            <w:r>
              <w:rPr/>
              <w:t> </w:t>
            </w:r>
          </w:p>
        </w:tc>
        <w:tc>
          <w:tcPr>
            <w:tcW w:w="654"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67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June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830"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11,439,353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5"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164,187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564"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5.74</w:t>
            </w:r>
          </w:p>
        </w:tc>
        <w:tc>
          <w:tcPr>
            <w:tcW w:w="17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998"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10,975,819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5"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104,215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52"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91,262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587"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3.80</w:t>
            </w:r>
          </w:p>
        </w:tc>
        <w:tc>
          <w:tcPr>
            <w:tcW w:w="298"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105"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654"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3.33</w:t>
            </w:r>
          </w:p>
        </w:tc>
        <w:tc>
          <w:tcPr>
            <w:tcW w:w="17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67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March 31,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10,983,600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157,838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564"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5.75</w:t>
            </w:r>
          </w:p>
        </w:tc>
        <w:tc>
          <w:tcPr>
            <w:tcW w:w="17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 w:type="dxa"/>
            <w:tcBorders/>
            <w:shd w:fill="FFFFFF" w:val="clear"/>
            <w:tcMar>
              <w:bottom w:w="0" w:type="dxa"/>
            </w:tcMar>
            <w:vAlign w:val="center"/>
          </w:tcPr>
          <w:p>
            <w:pPr>
              <w:pStyle w:val="TableContents"/>
              <w:bidi w:val="0"/>
              <w:spacing w:before="0" w:after="283"/>
              <w:jc w:val="left"/>
              <w:rPr/>
            </w:pPr>
            <w:r>
              <w:rPr/>
              <w:t> </w:t>
            </w:r>
          </w:p>
        </w:tc>
        <w:tc>
          <w:tcPr>
            <w:tcW w:w="998"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10,490,095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100,775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jc w:val="left"/>
              <w:rPr/>
            </w:pPr>
            <w:r>
              <w:rPr/>
              <w:t> </w:t>
            </w:r>
          </w:p>
        </w:tc>
        <w:tc>
          <w:tcPr>
            <w:tcW w:w="652"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86,132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587"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3.84</w:t>
            </w:r>
          </w:p>
        </w:tc>
        <w:tc>
          <w:tcPr>
            <w:tcW w:w="298"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105"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654"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3.28</w:t>
            </w:r>
          </w:p>
        </w:tc>
        <w:tc>
          <w:tcPr>
            <w:tcW w:w="17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67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December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9,492,369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132,188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564"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5.57</w:t>
            </w:r>
          </w:p>
        </w:tc>
        <w:tc>
          <w:tcPr>
            <w:tcW w:w="17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pPr>
            <w:r>
              <w:rPr/>
              <w:t> </w:t>
            </w:r>
          </w:p>
        </w:tc>
        <w:tc>
          <w:tcPr>
            <w:tcW w:w="998"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9,061,222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93,705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652"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74,127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587"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4.14</w:t>
            </w:r>
          </w:p>
        </w:tc>
        <w:tc>
          <w:tcPr>
            <w:tcW w:w="298"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105"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654"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3.27</w:t>
            </w:r>
          </w:p>
        </w:tc>
        <w:tc>
          <w:tcPr>
            <w:tcW w:w="17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67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September 30,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7,674,720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108,434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564"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5.65</w:t>
            </w:r>
          </w:p>
        </w:tc>
        <w:tc>
          <w:tcPr>
            <w:tcW w:w="17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 w:type="dxa"/>
            <w:tcBorders/>
            <w:shd w:fill="FFFFFF" w:val="clear"/>
            <w:tcMar>
              <w:bottom w:w="0" w:type="dxa"/>
            </w:tcMar>
            <w:vAlign w:val="center"/>
          </w:tcPr>
          <w:p>
            <w:pPr>
              <w:pStyle w:val="TableContents"/>
              <w:bidi w:val="0"/>
              <w:spacing w:before="0" w:after="283"/>
              <w:jc w:val="left"/>
              <w:rPr/>
            </w:pPr>
            <w:r>
              <w:rPr/>
              <w:t> </w:t>
            </w:r>
          </w:p>
        </w:tc>
        <w:tc>
          <w:tcPr>
            <w:tcW w:w="998"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7,331,428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81,515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jc w:val="left"/>
              <w:rPr/>
            </w:pPr>
            <w:r>
              <w:rPr/>
              <w:t> </w:t>
            </w:r>
          </w:p>
        </w:tc>
        <w:tc>
          <w:tcPr>
            <w:tcW w:w="652"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59,643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587"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4.45</w:t>
            </w:r>
          </w:p>
        </w:tc>
        <w:tc>
          <w:tcPr>
            <w:tcW w:w="298"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105"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654"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3.25</w:t>
            </w:r>
          </w:p>
        </w:tc>
        <w:tc>
          <w:tcPr>
            <w:tcW w:w="17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67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June 30,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6,865,727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92,289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564"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5.38</w:t>
            </w:r>
          </w:p>
        </w:tc>
        <w:tc>
          <w:tcPr>
            <w:tcW w:w="17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pPr>
            <w:r>
              <w:rPr/>
              <w:t> </w:t>
            </w:r>
          </w:p>
        </w:tc>
        <w:tc>
          <w:tcPr>
            <w:tcW w:w="998"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6,537,260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69,135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652"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48,198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587"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4.23</w:t>
            </w:r>
          </w:p>
        </w:tc>
        <w:tc>
          <w:tcPr>
            <w:tcW w:w="298"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105"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654"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2.95</w:t>
            </w:r>
          </w:p>
        </w:tc>
        <w:tc>
          <w:tcPr>
            <w:tcW w:w="170"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r>
      <w:tr>
        <w:trPr/>
        <w:tc>
          <w:tcPr>
            <w:tcW w:w="167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March 31, 2025</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5,995,702</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81,090</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0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564"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5.41</w:t>
            </w:r>
          </w:p>
        </w:tc>
        <w:tc>
          <w:tcPr>
            <w:tcW w:w="17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31"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998"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5,722,092</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61,377</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18"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52"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40,465</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05"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587"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4.29</w:t>
            </w:r>
          </w:p>
        </w:tc>
        <w:tc>
          <w:tcPr>
            <w:tcW w:w="298"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105"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16"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54"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2.83</w:t>
            </w:r>
          </w:p>
        </w:tc>
        <w:tc>
          <w:tcPr>
            <w:tcW w:w="17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r>
      <w:tr>
        <w:trPr/>
        <w:tc>
          <w:tcPr>
            <w:tcW w:w="167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b/>
                <w:sz w:val="18"/>
              </w:rPr>
            </w:pPr>
            <w:r>
              <w:rPr>
                <w:rFonts w:ascii="Times New Roman" w:hAnsi="Times New Roman"/>
                <w:b/>
                <w:sz w:val="18"/>
              </w:rPr>
              <w:t>Six Months Ended</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0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564"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31"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998"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18"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52"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05"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587"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298"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05"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16"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54"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vAlign w:val="center"/>
          </w:tcPr>
          <w:p>
            <w:pPr>
              <w:pStyle w:val="TableContents"/>
              <w:bidi w:val="0"/>
              <w:spacing w:before="0" w:after="0"/>
              <w:jc w:val="left"/>
              <w:rPr/>
            </w:pPr>
            <w:r>
              <w:rPr/>
              <w:t> </w:t>
            </w:r>
          </w:p>
        </w:tc>
      </w:tr>
      <w:tr>
        <w:trPr/>
        <w:tc>
          <w:tcPr>
            <w:tcW w:w="167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June 30,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830"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11,211,476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5"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322,025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564"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5.74</w:t>
            </w:r>
          </w:p>
        </w:tc>
        <w:tc>
          <w:tcPr>
            <w:tcW w:w="17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998"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10,732,957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5"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204,990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52"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177,394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587"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3.82</w:t>
            </w:r>
          </w:p>
        </w:tc>
        <w:tc>
          <w:tcPr>
            <w:tcW w:w="298"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105"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654"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3.31</w:t>
            </w:r>
          </w:p>
        </w:tc>
        <w:tc>
          <w:tcPr>
            <w:tcW w:w="17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67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June 30,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6,430,715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173,379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564"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5.39</w:t>
            </w:r>
          </w:p>
        </w:tc>
        <w:tc>
          <w:tcPr>
            <w:tcW w:w="17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pPr>
            <w:r>
              <w:rPr/>
              <w:t> </w:t>
            </w:r>
          </w:p>
        </w:tc>
        <w:tc>
          <w:tcPr>
            <w:tcW w:w="998"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6,129,676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130,512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652"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88,663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587"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4.26</w:t>
            </w:r>
          </w:p>
        </w:tc>
        <w:tc>
          <w:tcPr>
            <w:tcW w:w="298"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105"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654"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2.89</w:t>
            </w:r>
          </w:p>
        </w:tc>
        <w:tc>
          <w:tcPr>
            <w:tcW w:w="17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bl>
    <w:p>
      <w:pPr>
        <w:pStyle w:val="TextBody"/>
        <w:bidi w:val="0"/>
        <w:spacing w:before="0" w:after="0"/>
        <w:ind w:left="0" w:right="0" w:hanging="0"/>
        <w:jc w:val="left"/>
        <w:rPr>
          <w:caps w:val="false"/>
          <w:smallCaps w:val="false"/>
        </w:rPr>
      </w:pPr>
      <w:r>
        <w:rPr>
          <w:caps w:val="false"/>
          <w:smallCaps w:val="false"/>
        </w:rPr>
        <w:t> </w:t>
      </w:r>
    </w:p>
    <w:tbl>
      <w:tblPr>
        <w:tblW w:w="5334" w:type="dxa"/>
        <w:jc w:val="left"/>
        <w:tblInd w:w="0" w:type="dxa"/>
        <w:tblLayout w:type="fixed"/>
        <w:tblCellMar>
          <w:top w:w="0" w:type="dxa"/>
          <w:left w:w="0" w:type="dxa"/>
          <w:bottom w:w="28" w:type="dxa"/>
          <w:right w:w="0" w:type="dxa"/>
        </w:tblCellMar>
      </w:tblPr>
      <w:tblGrid>
        <w:gridCol w:w="1670"/>
        <w:gridCol w:w="60"/>
        <w:gridCol w:w="110"/>
        <w:gridCol w:w="605"/>
        <w:gridCol w:w="60"/>
        <w:gridCol w:w="60"/>
        <w:gridCol w:w="118"/>
        <w:gridCol w:w="652"/>
        <w:gridCol w:w="60"/>
        <w:gridCol w:w="60"/>
        <w:gridCol w:w="90"/>
        <w:gridCol w:w="504"/>
        <w:gridCol w:w="255"/>
        <w:gridCol w:w="90"/>
        <w:gridCol w:w="116"/>
        <w:gridCol w:w="654"/>
        <w:gridCol w:w="170"/>
      </w:tblGrid>
      <w:tr>
        <w:trPr/>
        <w:tc>
          <w:tcPr>
            <w:tcW w:w="167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 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60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8" w:type="dxa"/>
            <w:tcBorders>
              <w:bottom w:val="single" w:sz="2" w:space="0" w:color="000000"/>
            </w:tcBorders>
            <w:shd w:fill="FFFFFF" w:val="clear"/>
            <w:vAlign w:val="center"/>
          </w:tcPr>
          <w:p>
            <w:pPr>
              <w:pStyle w:val="TableContents"/>
              <w:bidi w:val="0"/>
              <w:spacing w:before="0" w:after="283"/>
              <w:jc w:val="left"/>
              <w:rPr/>
            </w:pPr>
            <w:r>
              <w:rPr/>
              <w:t> </w:t>
            </w:r>
          </w:p>
        </w:tc>
        <w:tc>
          <w:tcPr>
            <w:tcW w:w="652"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90" w:type="dxa"/>
            <w:tcBorders>
              <w:bottom w:val="single" w:sz="2" w:space="0" w:color="000000"/>
            </w:tcBorders>
            <w:shd w:fill="FFFFFF" w:val="clear"/>
            <w:vAlign w:val="center"/>
          </w:tcPr>
          <w:p>
            <w:pPr>
              <w:pStyle w:val="TableContents"/>
              <w:bidi w:val="0"/>
              <w:spacing w:before="0" w:after="283"/>
              <w:jc w:val="left"/>
              <w:rPr/>
            </w:pPr>
            <w:r>
              <w:rPr/>
              <w:t> </w:t>
            </w:r>
          </w:p>
        </w:tc>
        <w:tc>
          <w:tcPr>
            <w:tcW w:w="504" w:type="dxa"/>
            <w:tcBorders>
              <w:bottom w:val="single" w:sz="2" w:space="0" w:color="000000"/>
            </w:tcBorders>
            <w:shd w:fill="FFFFFF" w:val="clear"/>
            <w:vAlign w:val="center"/>
          </w:tcPr>
          <w:p>
            <w:pPr>
              <w:pStyle w:val="TableContents"/>
              <w:bidi w:val="0"/>
              <w:spacing w:before="0" w:after="283"/>
              <w:jc w:val="left"/>
              <w:rPr/>
            </w:pPr>
            <w:r>
              <w:rPr/>
              <w:t> </w:t>
            </w:r>
          </w:p>
        </w:tc>
        <w:tc>
          <w:tcPr>
            <w:tcW w:w="255" w:type="dxa"/>
            <w:tcBorders>
              <w:bottom w:val="single" w:sz="2" w:space="0" w:color="000000"/>
            </w:tcBorders>
            <w:shd w:fill="FFFFFF" w:val="clear"/>
            <w:vAlign w:val="center"/>
          </w:tcPr>
          <w:p>
            <w:pPr>
              <w:pStyle w:val="TableContents"/>
              <w:bidi w:val="0"/>
              <w:spacing w:before="0" w:after="283"/>
              <w:jc w:val="left"/>
              <w:rPr/>
            </w:pPr>
            <w:r>
              <w:rPr/>
              <w:t> </w:t>
            </w:r>
          </w:p>
        </w:tc>
        <w:tc>
          <w:tcPr>
            <w:tcW w:w="90" w:type="dxa"/>
            <w:tcBorders>
              <w:bottom w:val="single" w:sz="2" w:space="0" w:color="000000"/>
            </w:tcBorders>
            <w:shd w:fill="FFFFFF" w:val="clear"/>
            <w:vAlign w:val="center"/>
          </w:tcPr>
          <w:p>
            <w:pPr>
              <w:pStyle w:val="TableContents"/>
              <w:bidi w:val="0"/>
              <w:spacing w:before="0" w:after="283"/>
              <w:jc w:val="left"/>
              <w:rPr/>
            </w:pPr>
            <w:r>
              <w:rPr/>
              <w:t> </w:t>
            </w:r>
          </w:p>
        </w:tc>
        <w:tc>
          <w:tcPr>
            <w:tcW w:w="116" w:type="dxa"/>
            <w:tcBorders>
              <w:bottom w:val="single" w:sz="2" w:space="0" w:color="000000"/>
            </w:tcBorders>
            <w:shd w:fill="FFFFFF" w:val="clear"/>
            <w:vAlign w:val="center"/>
          </w:tcPr>
          <w:p>
            <w:pPr>
              <w:pStyle w:val="TableContents"/>
              <w:bidi w:val="0"/>
              <w:spacing w:before="0" w:after="283"/>
              <w:jc w:val="left"/>
              <w:rPr/>
            </w:pPr>
            <w:r>
              <w:rPr/>
              <w:t> </w:t>
            </w:r>
          </w:p>
        </w:tc>
        <w:tc>
          <w:tcPr>
            <w:tcW w:w="654"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6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05"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Net Interest Income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09"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Net Interest Spread</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6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5"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GAAP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70"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Economic</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4"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GAAP</w:t>
            </w:r>
          </w:p>
        </w:tc>
        <w:tc>
          <w:tcPr>
            <w:tcW w:w="25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ind w:left="0" w:right="0" w:hanging="0"/>
              <w:jc w:val="left"/>
              <w:rPr/>
            </w:pPr>
            <w:r>
              <w:rPr/>
              <w:t> </w:t>
            </w:r>
          </w:p>
        </w:tc>
        <w:tc>
          <w:tcPr>
            <w:tcW w:w="770"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Economic</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16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Basis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Basis(2)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4"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Basis</w:t>
            </w:r>
          </w:p>
        </w:tc>
        <w:tc>
          <w:tcPr>
            <w:tcW w:w="255" w:type="dxa"/>
            <w:tcBorders>
              <w:bottom w:val="single" w:sz="2" w:space="0" w:color="000000"/>
            </w:tcBorders>
            <w:shd w:fill="FFFFFF" w:val="clear"/>
            <w:vAlign w:val="center"/>
          </w:tcPr>
          <w:p>
            <w:pPr>
              <w:pStyle w:val="TableContents"/>
              <w:bidi w:val="0"/>
              <w:spacing w:before="0" w:after="283"/>
              <w:jc w:val="left"/>
              <w:rPr/>
            </w:pPr>
            <w:r>
              <w:rPr/>
              <w:t> </w:t>
            </w:r>
          </w:p>
        </w:tc>
        <w:tc>
          <w:tcPr>
            <w:tcW w:w="9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Basis(4)</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67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Three Months Ended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60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8" w:type="dxa"/>
            <w:tcBorders>
              <w:bottom w:val="single" w:sz="2" w:space="0" w:color="000000"/>
            </w:tcBorders>
            <w:shd w:fill="FFFFFF" w:val="clear"/>
            <w:vAlign w:val="center"/>
          </w:tcPr>
          <w:p>
            <w:pPr>
              <w:pStyle w:val="TableContents"/>
              <w:bidi w:val="0"/>
              <w:spacing w:before="0" w:after="283"/>
              <w:jc w:val="left"/>
              <w:rPr/>
            </w:pPr>
            <w:r>
              <w:rPr/>
              <w:t> </w:t>
            </w:r>
          </w:p>
        </w:tc>
        <w:tc>
          <w:tcPr>
            <w:tcW w:w="652"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90" w:type="dxa"/>
            <w:tcBorders>
              <w:bottom w:val="single" w:sz="2" w:space="0" w:color="000000"/>
            </w:tcBorders>
            <w:shd w:fill="FFFFFF" w:val="clear"/>
            <w:vAlign w:val="center"/>
          </w:tcPr>
          <w:p>
            <w:pPr>
              <w:pStyle w:val="TableContents"/>
              <w:bidi w:val="0"/>
              <w:spacing w:before="0" w:after="283"/>
              <w:jc w:val="left"/>
              <w:rPr/>
            </w:pPr>
            <w:r>
              <w:rPr/>
              <w:t> </w:t>
            </w:r>
          </w:p>
        </w:tc>
        <w:tc>
          <w:tcPr>
            <w:tcW w:w="504" w:type="dxa"/>
            <w:tcBorders>
              <w:bottom w:val="single" w:sz="2" w:space="0" w:color="000000"/>
            </w:tcBorders>
            <w:shd w:fill="FFFFFF" w:val="clear"/>
            <w:vAlign w:val="center"/>
          </w:tcPr>
          <w:p>
            <w:pPr>
              <w:pStyle w:val="TableContents"/>
              <w:bidi w:val="0"/>
              <w:spacing w:before="0" w:after="283"/>
              <w:jc w:val="left"/>
              <w:rPr/>
            </w:pPr>
            <w:r>
              <w:rPr/>
              <w:t> </w:t>
            </w:r>
          </w:p>
        </w:tc>
        <w:tc>
          <w:tcPr>
            <w:tcW w:w="255" w:type="dxa"/>
            <w:tcBorders>
              <w:bottom w:val="single" w:sz="2" w:space="0" w:color="000000"/>
            </w:tcBorders>
            <w:shd w:fill="FFFFFF" w:val="clear"/>
            <w:vAlign w:val="center"/>
          </w:tcPr>
          <w:p>
            <w:pPr>
              <w:pStyle w:val="TableContents"/>
              <w:bidi w:val="0"/>
              <w:spacing w:before="0" w:after="283"/>
              <w:jc w:val="left"/>
              <w:rPr/>
            </w:pPr>
            <w:r>
              <w:rPr/>
              <w:t> </w:t>
            </w:r>
          </w:p>
        </w:tc>
        <w:tc>
          <w:tcPr>
            <w:tcW w:w="90" w:type="dxa"/>
            <w:tcBorders>
              <w:bottom w:val="single" w:sz="2" w:space="0" w:color="000000"/>
            </w:tcBorders>
            <w:shd w:fill="FFFFFF" w:val="clear"/>
            <w:vAlign w:val="center"/>
          </w:tcPr>
          <w:p>
            <w:pPr>
              <w:pStyle w:val="TableContents"/>
              <w:bidi w:val="0"/>
              <w:spacing w:before="0" w:after="283"/>
              <w:jc w:val="left"/>
              <w:rPr/>
            </w:pPr>
            <w:r>
              <w:rPr/>
              <w:t> </w:t>
            </w:r>
          </w:p>
        </w:tc>
        <w:tc>
          <w:tcPr>
            <w:tcW w:w="116" w:type="dxa"/>
            <w:tcBorders>
              <w:bottom w:val="single" w:sz="2" w:space="0" w:color="000000"/>
            </w:tcBorders>
            <w:shd w:fill="FFFFFF" w:val="clear"/>
            <w:vAlign w:val="center"/>
          </w:tcPr>
          <w:p>
            <w:pPr>
              <w:pStyle w:val="TableContents"/>
              <w:bidi w:val="0"/>
              <w:spacing w:before="0" w:after="283"/>
              <w:jc w:val="left"/>
              <w:rPr/>
            </w:pPr>
            <w:r>
              <w:rPr/>
              <w:t> </w:t>
            </w:r>
          </w:p>
        </w:tc>
        <w:tc>
          <w:tcPr>
            <w:tcW w:w="654"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67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June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5"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59,972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52"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72,925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04"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1.94</w:t>
            </w:r>
          </w:p>
        </w:tc>
        <w:tc>
          <w:tcPr>
            <w:tcW w:w="255"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654"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2.41</w:t>
            </w:r>
          </w:p>
        </w:tc>
        <w:tc>
          <w:tcPr>
            <w:tcW w:w="17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67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March 31,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57,063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jc w:val="left"/>
              <w:rPr/>
            </w:pPr>
            <w:r>
              <w:rPr/>
              <w:t> </w:t>
            </w:r>
          </w:p>
        </w:tc>
        <w:tc>
          <w:tcPr>
            <w:tcW w:w="652"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71,706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504"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1.91</w:t>
            </w:r>
          </w:p>
        </w:tc>
        <w:tc>
          <w:tcPr>
            <w:tcW w:w="255"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654"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2.47</w:t>
            </w:r>
          </w:p>
        </w:tc>
        <w:tc>
          <w:tcPr>
            <w:tcW w:w="17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67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December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38,483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652"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58,061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04"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1.43</w:t>
            </w:r>
          </w:p>
        </w:tc>
        <w:tc>
          <w:tcPr>
            <w:tcW w:w="255"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654"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2.30</w:t>
            </w:r>
          </w:p>
        </w:tc>
        <w:tc>
          <w:tcPr>
            <w:tcW w:w="17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67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September 30,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26,919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jc w:val="left"/>
              <w:rPr/>
            </w:pPr>
            <w:r>
              <w:rPr/>
              <w:t> </w:t>
            </w:r>
          </w:p>
        </w:tc>
        <w:tc>
          <w:tcPr>
            <w:tcW w:w="652"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48,791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504"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1.20</w:t>
            </w:r>
          </w:p>
        </w:tc>
        <w:tc>
          <w:tcPr>
            <w:tcW w:w="255"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654"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2.40</w:t>
            </w:r>
          </w:p>
        </w:tc>
        <w:tc>
          <w:tcPr>
            <w:tcW w:w="17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67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June 30,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23,154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652"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44,091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04"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1.15</w:t>
            </w:r>
          </w:p>
        </w:tc>
        <w:tc>
          <w:tcPr>
            <w:tcW w:w="255"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654"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2.43</w:t>
            </w:r>
          </w:p>
        </w:tc>
        <w:tc>
          <w:tcPr>
            <w:tcW w:w="170"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r>
      <w:tr>
        <w:trPr/>
        <w:tc>
          <w:tcPr>
            <w:tcW w:w="167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March 31, 2025</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19,713</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18"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52"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40,625</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9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504"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1.12</w:t>
            </w:r>
          </w:p>
        </w:tc>
        <w:tc>
          <w:tcPr>
            <w:tcW w:w="25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9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16"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54"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2.58</w:t>
            </w:r>
          </w:p>
        </w:tc>
        <w:tc>
          <w:tcPr>
            <w:tcW w:w="17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r>
      <w:tr>
        <w:trPr/>
        <w:tc>
          <w:tcPr>
            <w:tcW w:w="167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b/>
                <w:sz w:val="18"/>
              </w:rPr>
            </w:pPr>
            <w:r>
              <w:rPr>
                <w:rFonts w:ascii="Times New Roman" w:hAnsi="Times New Roman"/>
                <w:b/>
                <w:sz w:val="18"/>
              </w:rPr>
              <w:t>Six Months Ended</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18"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52"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9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504"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255"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9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16"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54"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vAlign w:val="center"/>
          </w:tcPr>
          <w:p>
            <w:pPr>
              <w:pStyle w:val="TableContents"/>
              <w:bidi w:val="0"/>
              <w:spacing w:before="0" w:after="0"/>
              <w:jc w:val="left"/>
              <w:rPr/>
            </w:pPr>
            <w:r>
              <w:rPr/>
              <w:t> </w:t>
            </w:r>
          </w:p>
        </w:tc>
      </w:tr>
      <w:tr>
        <w:trPr/>
        <w:tc>
          <w:tcPr>
            <w:tcW w:w="167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June 30,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5"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117,035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52"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144,631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504"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1.92</w:t>
            </w:r>
          </w:p>
        </w:tc>
        <w:tc>
          <w:tcPr>
            <w:tcW w:w="255"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654"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2.43</w:t>
            </w:r>
          </w:p>
        </w:tc>
        <w:tc>
          <w:tcPr>
            <w:tcW w:w="17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67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June 30,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42,867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652"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84,716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04"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1.13</w:t>
            </w:r>
          </w:p>
        </w:tc>
        <w:tc>
          <w:tcPr>
            <w:tcW w:w="255"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654"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2.50</w:t>
            </w:r>
          </w:p>
        </w:tc>
        <w:tc>
          <w:tcPr>
            <w:tcW w:w="17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(1)</w:t>
            </w:r>
          </w:p>
        </w:tc>
        <w:tc>
          <w:tcPr>
            <w:tcW w:w="1001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Portfolio yields and costs of borrowings presented in the tables above </w:t>
            </w:r>
            <w:r>
              <w:rPr>
                <w:rFonts w:ascii="Times New Roman;Times;serif" w:hAnsi="Times New Roman;Times;serif"/>
                <w:caps w:val="false"/>
                <w:smallCaps w:val="false"/>
                <w:sz w:val="18"/>
                <w:shd w:fill="FFFFFF" w:val="clear"/>
              </w:rPr>
              <w:t>are calculated based on the average balances of the underlying investment portfolio/borrowings balances and are annualized for the periods presented. Average balances for quarterly periods are calculated using two data points, the beginning and ending balances.</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shd w:fill="FFFFFF" w:val="clear"/>
              </w:rPr>
            </w:pPr>
            <w:r>
              <w:rPr>
                <w:rFonts w:ascii="Times New Roman;Times;serif" w:hAnsi="Times New Roman;Times;serif"/>
                <w:caps w:val="false"/>
                <w:smallCaps w:val="false"/>
                <w:sz w:val="18"/>
                <w:shd w:fill="FFFFFF" w:val="clear"/>
              </w:rPr>
              <w:t>(2)</w:t>
            </w:r>
          </w:p>
        </w:tc>
        <w:tc>
          <w:tcPr>
            <w:tcW w:w="998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shd w:fill="FFFFFF" w:val="clear"/>
              </w:rPr>
              <w:t>Economic interest expense and economic net interest expense presented in the table above includes</w:t>
            </w:r>
            <w:r>
              <w:rPr>
                <w:rFonts w:ascii="Times New Roman;Times;serif" w:hAnsi="Times New Roman;Times;serif"/>
                <w:caps w:val="false"/>
                <w:smallCaps w:val="false"/>
                <w:sz w:val="18"/>
              </w:rPr>
              <w:t xml:space="preserve"> the effect of our derivative instrument hedges for only the periods presented.</w:t>
            </w:r>
          </w:p>
        </w:tc>
      </w:tr>
    </w:tbl>
    <w:tbl>
      <w:tblPr>
        <w:tblW w:w="10135" w:type="dxa"/>
        <w:jc w:val="left"/>
        <w:tblInd w:w="0" w:type="dxa"/>
        <w:tblLayout w:type="fixed"/>
        <w:tblCellMar>
          <w:top w:w="0" w:type="dxa"/>
          <w:left w:w="0" w:type="dxa"/>
          <w:bottom w:w="0" w:type="dxa"/>
          <w:right w:w="0" w:type="dxa"/>
        </w:tblCellMar>
      </w:tblPr>
      <w:tblGrid>
        <w:gridCol w:w="230"/>
        <w:gridCol w:w="9905"/>
      </w:tblGrid>
      <w:tr>
        <w:trPr/>
        <w:tc>
          <w:tcPr>
            <w:tcW w:w="23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(3)</w:t>
            </w:r>
          </w:p>
        </w:tc>
        <w:tc>
          <w:tcPr>
            <w:tcW w:w="990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Represents interest cost of our borrowings and the effect of derivative instrument hedges attributed to the period divided by average RMBS.</w:t>
            </w:r>
          </w:p>
        </w:tc>
      </w:tr>
    </w:tbl>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(4)</w:t>
            </w:r>
          </w:p>
        </w:tc>
        <w:tc>
          <w:tcPr>
            <w:tcW w:w="905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Economic net interest spread is calculated by subtracting average economic cost of funds from realized yield on average RMBS.</w:t>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br/>
      </w:r>
      <w:r>
        <w:rPr>
          <w:rFonts w:ascii="Times New Roman" w:hAnsi="Times New Roman"/>
          <w:b/>
          <w:i/>
          <w:caps w:val="false"/>
          <w:smallCaps w:val="false"/>
          <w:sz w:val="20"/>
        </w:rPr>
        <w:t>Interest Expense and the Cost of Funds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had average outstanding borrowings of $10,733.0 million and $6,129.7 million and total interest expense of </w:t>
      </w:r>
      <w:r>
        <w:rPr>
          <w:rFonts w:ascii="Times New Roman" w:hAnsi="Times New Roman"/>
          <w:caps w:val="false"/>
          <w:smallCaps w:val="false"/>
          <w:sz w:val="20"/>
          <w:shd w:fill="FFFFFF" w:val="clear"/>
        </w:rPr>
        <w:t xml:space="preserve">$205.0 million </w:t>
      </w:r>
      <w:r>
        <w:rPr>
          <w:rFonts w:ascii="Times New Roman" w:hAnsi="Times New Roman"/>
          <w:caps w:val="false"/>
          <w:smallCaps w:val="false"/>
          <w:sz w:val="20"/>
        </w:rPr>
        <w:t xml:space="preserve">and </w:t>
      </w:r>
      <w:r>
        <w:rPr>
          <w:rFonts w:ascii="Times New Roman" w:hAnsi="Times New Roman"/>
          <w:caps w:val="false"/>
          <w:smallCaps w:val="false"/>
          <w:sz w:val="20"/>
          <w:shd w:fill="FFFFFF" w:val="clear"/>
        </w:rPr>
        <w:t>$130.5 million </w:t>
      </w:r>
      <w:r>
        <w:rPr>
          <w:rFonts w:ascii="Times New Roman" w:hAnsi="Times New Roman"/>
          <w:caps w:val="false"/>
          <w:smallCaps w:val="false"/>
          <w:sz w:val="20"/>
        </w:rPr>
        <w:t>for the </w:t>
      </w:r>
      <w:r>
        <w:rPr>
          <w:rFonts w:ascii="Times New Roman" w:hAnsi="Times New Roman"/>
          <w:caps w:val="false"/>
          <w:smallCaps w:val="false"/>
          <w:sz w:val="20"/>
          <w:shd w:fill="FFFFFF" w:val="clear"/>
        </w:rPr>
        <w:t>six</w:t>
      </w:r>
      <w:r>
        <w:rPr>
          <w:rFonts w:ascii="Times New Roman" w:hAnsi="Times New Roman"/>
          <w:caps w:val="false"/>
          <w:smallCaps w:val="false"/>
          <w:sz w:val="20"/>
        </w:rPr>
        <w:t xml:space="preserve"> months ended June 30, 2026 and 2025, respectively. Our average cost of funds was 3.82% for the </w:t>
      </w:r>
      <w:r>
        <w:rPr>
          <w:rFonts w:ascii="Times New Roman" w:hAnsi="Times New Roman"/>
          <w:caps w:val="false"/>
          <w:smallCaps w:val="false"/>
          <w:sz w:val="20"/>
          <w:shd w:fill="FFFFFF" w:val="clear"/>
        </w:rPr>
        <w:t>six</w:t>
      </w:r>
      <w:r>
        <w:rPr>
          <w:rFonts w:ascii="Times New Roman" w:hAnsi="Times New Roman"/>
          <w:caps w:val="false"/>
          <w:smallCaps w:val="false"/>
          <w:sz w:val="20"/>
        </w:rPr>
        <w:t xml:space="preserve"> months ended June 30, 2026, compared to 4.26% for the comparable period in 2025.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had average outstanding borrowings of $10,975.8 million and $6,537.3 million and total interest expense of $104.2 million and $69.1 million for the three months ended June 30, 2026 and 2025, respectively. Our average cost of funds was 3.80% for the three months ended June 30, 2026, compared to 4.23% for the comparable period in 2025.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economic interest expense was </w:t>
      </w:r>
      <w:r>
        <w:rPr>
          <w:rFonts w:ascii="Times New Roman" w:hAnsi="Times New Roman"/>
          <w:caps w:val="false"/>
          <w:smallCaps w:val="false"/>
          <w:sz w:val="20"/>
          <w:shd w:fill="FFFFFF" w:val="clear"/>
        </w:rPr>
        <w:t>$177.4 million and $88.7 million</w:t>
      </w:r>
      <w:r>
        <w:rPr>
          <w:rFonts w:ascii="Times New Roman" w:hAnsi="Times New Roman"/>
          <w:caps w:val="false"/>
          <w:smallCaps w:val="false"/>
          <w:sz w:val="20"/>
        </w:rPr>
        <w:t> for the </w:t>
      </w:r>
      <w:r>
        <w:rPr>
          <w:rFonts w:ascii="Times New Roman" w:hAnsi="Times New Roman"/>
          <w:caps w:val="false"/>
          <w:smallCaps w:val="false"/>
          <w:sz w:val="20"/>
          <w:shd w:fill="FFFFFF" w:val="clear"/>
        </w:rPr>
        <w:t>six</w:t>
      </w:r>
      <w:r>
        <w:rPr>
          <w:rFonts w:ascii="Times New Roman" w:hAnsi="Times New Roman"/>
          <w:caps w:val="false"/>
          <w:smallCaps w:val="false"/>
          <w:sz w:val="20"/>
        </w:rPr>
        <w:t xml:space="preserve"> months ended June 30, 2026 and 2025, respectively. There was a 42 bps increase in the average economic cost of funds to 3.31% for the </w:t>
      </w:r>
      <w:r>
        <w:rPr>
          <w:rFonts w:ascii="Times New Roman" w:hAnsi="Times New Roman"/>
          <w:caps w:val="false"/>
          <w:smallCaps w:val="false"/>
          <w:sz w:val="20"/>
          <w:shd w:fill="FFFFFF" w:val="clear"/>
        </w:rPr>
        <w:t>six</w:t>
      </w:r>
      <w:r>
        <w:rPr>
          <w:rFonts w:ascii="Times New Roman" w:hAnsi="Times New Roman"/>
          <w:caps w:val="false"/>
          <w:smallCaps w:val="false"/>
          <w:sz w:val="20"/>
        </w:rPr>
        <w:t xml:space="preserve"> months ended June 30, 2026, from 2.89% for the </w:t>
      </w:r>
      <w:r>
        <w:rPr>
          <w:rFonts w:ascii="Times New Roman" w:hAnsi="Times New Roman"/>
          <w:caps w:val="false"/>
          <w:smallCaps w:val="false"/>
          <w:sz w:val="20"/>
          <w:shd w:fill="FFFFFF" w:val="clear"/>
        </w:rPr>
        <w:t>six</w:t>
      </w:r>
      <w:r>
        <w:rPr>
          <w:rFonts w:ascii="Times New Roman" w:hAnsi="Times New Roman"/>
          <w:caps w:val="false"/>
          <w:smallCaps w:val="false"/>
          <w:sz w:val="20"/>
        </w:rPr>
        <w:t> months ended June 30,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economic interest expense was $91.3 million and $48.2 million for the three months ended June 30, 2026 and 2025, respectively. There was a 38 bps increase in the average economic cost of funds to 3.33% for the three months ended June 30, 2026, from 2.95% for the three months ended June 30,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Since all of our repurchase agreements are short-term, changes in market rates directly affect our interest expense. Our average cost of funds calculated on a GAAP basis was 17 bps above the one-month average SOFR and 13 bps above the six-month average SOFR for the quarter ended June 30, 2026. Our average economic cost of funds was 30 bps below the average one-month SOFR and 34 bps below the average six-month SOFR for the quarter ended June 30, 2026. The average term to maturity of the outstanding repurchase agreements was 33 days at June 30, 2026 and 39 days at December 31,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table below presents the one-month average and six-month average SOFR rates for the six months ended June 30, 2026 and 2025, and for each quarter in 2026 to date and 2025.</w:t>
      </w:r>
    </w:p>
    <w:p>
      <w:pPr>
        <w:pStyle w:val="TextBody"/>
        <w:bidi w:val="0"/>
        <w:spacing w:before="0" w:after="0"/>
        <w:ind w:left="0" w:right="0" w:hanging="0"/>
        <w:jc w:val="left"/>
        <w:rPr>
          <w:caps w:val="false"/>
          <w:smallCaps w:val="false"/>
        </w:rPr>
      </w:pPr>
      <w:r>
        <w:rPr>
          <w:caps w:val="false"/>
          <w:smallCaps w:val="false"/>
        </w:rPr>
        <w:t> </w:t>
      </w:r>
    </w:p>
    <w:tbl>
      <w:tblPr>
        <w:tblW w:w="9465" w:type="dxa"/>
        <w:jc w:val="left"/>
        <w:tblInd w:w="0" w:type="dxa"/>
        <w:tblLayout w:type="fixed"/>
        <w:tblCellMar>
          <w:top w:w="28" w:type="dxa"/>
          <w:left w:w="0" w:type="dxa"/>
          <w:bottom w:w="0" w:type="dxa"/>
          <w:right w:w="0" w:type="dxa"/>
        </w:tblCellMar>
      </w:tblPr>
      <w:tblGrid>
        <w:gridCol w:w="1670"/>
        <w:gridCol w:w="60"/>
        <w:gridCol w:w="139"/>
        <w:gridCol w:w="781"/>
        <w:gridCol w:w="195"/>
        <w:gridCol w:w="69"/>
        <w:gridCol w:w="128"/>
        <w:gridCol w:w="717"/>
        <w:gridCol w:w="170"/>
        <w:gridCol w:w="60"/>
        <w:gridCol w:w="121"/>
        <w:gridCol w:w="799"/>
        <w:gridCol w:w="449"/>
        <w:gridCol w:w="117"/>
        <w:gridCol w:w="117"/>
        <w:gridCol w:w="771"/>
        <w:gridCol w:w="230"/>
        <w:gridCol w:w="60"/>
        <w:gridCol w:w="129"/>
        <w:gridCol w:w="850"/>
        <w:gridCol w:w="495"/>
        <w:gridCol w:w="129"/>
        <w:gridCol w:w="129"/>
        <w:gridCol w:w="850"/>
        <w:gridCol w:w="230"/>
      </w:tblGrid>
      <w:tr>
        <w:trPr/>
        <w:tc>
          <w:tcPr>
            <w:tcW w:w="1670" w:type="dxa"/>
            <w:tcBorders>
              <w:top w:val="single" w:sz="2" w:space="0" w:color="000000"/>
            </w:tcBorders>
            <w:shd w:fill="FFFFFF" w:val="clear"/>
            <w:vAlign w:val="center"/>
          </w:tcPr>
          <w:p>
            <w:pPr>
              <w:pStyle w:val="TableContents"/>
              <w:bidi w:val="0"/>
              <w:spacing w:before="0" w:after="283"/>
              <w:jc w:val="left"/>
              <w:rPr/>
            </w:pPr>
            <w:r>
              <w:rPr/>
              <w:t> </w:t>
            </w:r>
          </w:p>
        </w:tc>
        <w:tc>
          <w:tcPr>
            <w:tcW w:w="60" w:type="dxa"/>
            <w:tcBorders>
              <w:top w:val="single" w:sz="2" w:space="0" w:color="000000"/>
            </w:tcBorders>
            <w:shd w:fill="FFFFFF" w:val="clear"/>
            <w:vAlign w:val="center"/>
          </w:tcPr>
          <w:p>
            <w:pPr>
              <w:pStyle w:val="TableContents"/>
              <w:bidi w:val="0"/>
              <w:spacing w:before="0" w:after="283"/>
              <w:jc w:val="left"/>
              <w:rPr/>
            </w:pPr>
            <w:r>
              <w:rPr/>
              <w:t> </w:t>
            </w:r>
          </w:p>
        </w:tc>
        <w:tc>
          <w:tcPr>
            <w:tcW w:w="139" w:type="dxa"/>
            <w:tcBorders>
              <w:top w:val="single" w:sz="2" w:space="0" w:color="000000"/>
            </w:tcBorders>
            <w:shd w:fill="FFFFFF" w:val="clear"/>
            <w:vAlign w:val="center"/>
          </w:tcPr>
          <w:p>
            <w:pPr>
              <w:pStyle w:val="TableContents"/>
              <w:bidi w:val="0"/>
              <w:spacing w:before="0" w:after="283"/>
              <w:jc w:val="left"/>
              <w:rPr/>
            </w:pPr>
            <w:r>
              <w:rPr/>
              <w:t> </w:t>
            </w:r>
          </w:p>
        </w:tc>
        <w:tc>
          <w:tcPr>
            <w:tcW w:w="781" w:type="dxa"/>
            <w:tcBorders>
              <w:top w:val="single" w:sz="2" w:space="0" w:color="000000"/>
            </w:tcBorders>
            <w:shd w:fill="FFFFFF" w:val="clear"/>
            <w:vAlign w:val="center"/>
          </w:tcPr>
          <w:p>
            <w:pPr>
              <w:pStyle w:val="TableContents"/>
              <w:bidi w:val="0"/>
              <w:spacing w:before="0" w:after="283"/>
              <w:jc w:val="center"/>
              <w:rPr/>
            </w:pPr>
            <w:r>
              <w:rPr/>
              <w:t> </w:t>
            </w:r>
          </w:p>
        </w:tc>
        <w:tc>
          <w:tcPr>
            <w:tcW w:w="195" w:type="dxa"/>
            <w:tcBorders>
              <w:top w:val="single" w:sz="2" w:space="0" w:color="000000"/>
            </w:tcBorders>
            <w:shd w:fill="FFFFFF" w:val="clear"/>
            <w:vAlign w:val="center"/>
          </w:tcPr>
          <w:p>
            <w:pPr>
              <w:pStyle w:val="TableContents"/>
              <w:bidi w:val="0"/>
              <w:spacing w:before="0" w:after="283"/>
              <w:jc w:val="left"/>
              <w:rPr/>
            </w:pPr>
            <w:r>
              <w:rPr/>
              <w:t> </w:t>
            </w:r>
          </w:p>
        </w:tc>
        <w:tc>
          <w:tcPr>
            <w:tcW w:w="69" w:type="dxa"/>
            <w:tcBorders>
              <w:top w:val="single" w:sz="2" w:space="0" w:color="000000"/>
            </w:tcBorders>
            <w:shd w:fill="FFFFFF" w:val="clear"/>
            <w:vAlign w:val="center"/>
          </w:tcPr>
          <w:p>
            <w:pPr>
              <w:pStyle w:val="TableContents"/>
              <w:bidi w:val="0"/>
              <w:spacing w:before="0" w:after="283"/>
              <w:jc w:val="left"/>
              <w:rPr/>
            </w:pPr>
            <w:r>
              <w:rPr/>
              <w:t> </w:t>
            </w:r>
          </w:p>
        </w:tc>
        <w:tc>
          <w:tcPr>
            <w:tcW w:w="128" w:type="dxa"/>
            <w:tcBorders>
              <w:top w:val="single" w:sz="2" w:space="0" w:color="000000"/>
            </w:tcBorders>
            <w:shd w:fill="FFFFFF" w:val="clear"/>
            <w:vAlign w:val="center"/>
          </w:tcPr>
          <w:p>
            <w:pPr>
              <w:pStyle w:val="TableContents"/>
              <w:bidi w:val="0"/>
              <w:spacing w:before="0" w:after="283"/>
              <w:jc w:val="left"/>
              <w:rPr/>
            </w:pPr>
            <w:r>
              <w:rPr/>
              <w:t> </w:t>
            </w:r>
          </w:p>
        </w:tc>
        <w:tc>
          <w:tcPr>
            <w:tcW w:w="717" w:type="dxa"/>
            <w:tcBorders>
              <w:top w:val="single" w:sz="2" w:space="0" w:color="000000"/>
            </w:tcBorders>
            <w:shd w:fill="FFFFFF" w:val="clear"/>
            <w:vAlign w:val="center"/>
          </w:tcPr>
          <w:p>
            <w:pPr>
              <w:pStyle w:val="TableContents"/>
              <w:bidi w:val="0"/>
              <w:spacing w:before="0" w:after="283"/>
              <w:jc w:val="center"/>
              <w:rPr/>
            </w:pPr>
            <w:r>
              <w:rPr/>
              <w:t> </w:t>
            </w:r>
          </w:p>
        </w:tc>
        <w:tc>
          <w:tcPr>
            <w:tcW w:w="170" w:type="dxa"/>
            <w:tcBorders>
              <w:top w:val="single" w:sz="2" w:space="0" w:color="000000"/>
            </w:tcBorders>
            <w:shd w:fill="FFFFFF" w:val="clear"/>
            <w:vAlign w:val="center"/>
          </w:tcPr>
          <w:p>
            <w:pPr>
              <w:pStyle w:val="TableContents"/>
              <w:bidi w:val="0"/>
              <w:spacing w:before="0" w:after="283"/>
              <w:jc w:val="left"/>
              <w:rPr/>
            </w:pPr>
            <w:r>
              <w:rPr/>
              <w:t> </w:t>
            </w:r>
          </w:p>
        </w:tc>
        <w:tc>
          <w:tcPr>
            <w:tcW w:w="60" w:type="dxa"/>
            <w:tcBorders>
              <w:top w:val="single" w:sz="2" w:space="0" w:color="000000"/>
            </w:tcBorders>
            <w:shd w:fill="FFFFFF" w:val="clear"/>
            <w:vAlign w:val="center"/>
          </w:tcPr>
          <w:p>
            <w:pPr>
              <w:pStyle w:val="TableContents"/>
              <w:bidi w:val="0"/>
              <w:spacing w:before="0" w:after="283"/>
              <w:ind w:left="0" w:right="0" w:hanging="0"/>
              <w:jc w:val="left"/>
              <w:rPr/>
            </w:pPr>
            <w:r>
              <w:rPr/>
              <w:t> </w:t>
            </w:r>
          </w:p>
        </w:tc>
        <w:tc>
          <w:tcPr>
            <w:tcW w:w="2374" w:type="dxa"/>
            <w:gridSpan w:val="6"/>
            <w:tcBorders>
              <w:top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Average GAAP Cost of Funds</w:t>
            </w:r>
          </w:p>
        </w:tc>
        <w:tc>
          <w:tcPr>
            <w:tcW w:w="230" w:type="dxa"/>
            <w:tcBorders>
              <w:top w:val="single" w:sz="2" w:space="0" w:color="000000"/>
            </w:tcBorders>
            <w:shd w:fill="FFFFFF" w:val="clear"/>
            <w:vAlign w:val="center"/>
          </w:tcPr>
          <w:p>
            <w:pPr>
              <w:pStyle w:val="TableContents"/>
              <w:bidi w:val="0"/>
              <w:spacing w:before="0" w:after="283"/>
              <w:jc w:val="left"/>
              <w:rPr/>
            </w:pPr>
            <w:r>
              <w:rPr/>
              <w:t> </w:t>
            </w:r>
          </w:p>
        </w:tc>
        <w:tc>
          <w:tcPr>
            <w:tcW w:w="60" w:type="dxa"/>
            <w:tcBorders>
              <w:top w:val="single" w:sz="2" w:space="0" w:color="000000"/>
            </w:tcBorders>
            <w:shd w:fill="FFFFFF" w:val="clear"/>
            <w:vAlign w:val="center"/>
          </w:tcPr>
          <w:p>
            <w:pPr>
              <w:pStyle w:val="TableContents"/>
              <w:bidi w:val="0"/>
              <w:spacing w:before="0" w:after="283"/>
              <w:ind w:left="0" w:right="0" w:hanging="0"/>
              <w:jc w:val="left"/>
              <w:rPr/>
            </w:pPr>
            <w:r>
              <w:rPr/>
              <w:t> </w:t>
            </w:r>
          </w:p>
        </w:tc>
        <w:tc>
          <w:tcPr>
            <w:tcW w:w="2582" w:type="dxa"/>
            <w:gridSpan w:val="6"/>
            <w:tcBorders>
              <w:top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Average Economic Cost of Funds</w:t>
            </w:r>
          </w:p>
        </w:tc>
        <w:tc>
          <w:tcPr>
            <w:tcW w:w="230" w:type="dxa"/>
            <w:tcBorders>
              <w:top w:val="single" w:sz="2" w:space="0" w:color="000000"/>
            </w:tcBorders>
            <w:shd w:fill="FFFFFF" w:val="clear"/>
            <w:vAlign w:val="center"/>
          </w:tcPr>
          <w:p>
            <w:pPr>
              <w:pStyle w:val="TableContents"/>
              <w:bidi w:val="0"/>
              <w:spacing w:before="0" w:after="283"/>
              <w:jc w:val="left"/>
              <w:rPr/>
            </w:pPr>
            <w:r>
              <w:rPr/>
              <w:t> </w:t>
            </w:r>
          </w:p>
        </w:tc>
      </w:tr>
      <w:tr>
        <w:trPr/>
        <w:tc>
          <w:tcPr>
            <w:tcW w:w="167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39" w:type="dxa"/>
            <w:tcBorders/>
            <w:shd w:fill="FFFFFF" w:val="clear"/>
            <w:tcMar>
              <w:top w:w="0" w:type="dxa"/>
            </w:tcMar>
            <w:vAlign w:val="center"/>
          </w:tcPr>
          <w:p>
            <w:pPr>
              <w:pStyle w:val="TableContents"/>
              <w:bidi w:val="0"/>
              <w:spacing w:before="0" w:after="283"/>
              <w:jc w:val="left"/>
              <w:rPr/>
            </w:pPr>
            <w:r>
              <w:rPr/>
              <w:t> </w:t>
            </w:r>
          </w:p>
        </w:tc>
        <w:tc>
          <w:tcPr>
            <w:tcW w:w="781" w:type="dxa"/>
            <w:tcBorders/>
            <w:shd w:fill="FFFFFF" w:val="clear"/>
            <w:tcMar>
              <w:top w:w="0" w:type="dxa"/>
            </w:tcMar>
            <w:vAlign w:val="center"/>
          </w:tcPr>
          <w:p>
            <w:pPr>
              <w:pStyle w:val="TableContents"/>
              <w:bidi w:val="0"/>
              <w:spacing w:before="0" w:after="283"/>
              <w:jc w:val="center"/>
              <w:rPr/>
            </w:pPr>
            <w:r>
              <w:rPr/>
              <w:t> </w:t>
            </w:r>
          </w:p>
        </w:tc>
        <w:tc>
          <w:tcPr>
            <w:tcW w:w="195" w:type="dxa"/>
            <w:tcBorders/>
            <w:shd w:fill="FFFFFF" w:val="clear"/>
            <w:tcMar>
              <w:top w:w="0" w:type="dxa"/>
            </w:tcMar>
            <w:vAlign w:val="center"/>
          </w:tcPr>
          <w:p>
            <w:pPr>
              <w:pStyle w:val="TableContents"/>
              <w:bidi w:val="0"/>
              <w:spacing w:before="0" w:after="283"/>
              <w:jc w:val="left"/>
              <w:rPr/>
            </w:pPr>
            <w:r>
              <w:rPr/>
              <w:t> </w:t>
            </w:r>
          </w:p>
        </w:tc>
        <w:tc>
          <w:tcPr>
            <w:tcW w:w="69" w:type="dxa"/>
            <w:tcBorders/>
            <w:shd w:fill="FFFFFF" w:val="clear"/>
            <w:tcMar>
              <w:top w:w="0" w:type="dxa"/>
            </w:tcMar>
            <w:vAlign w:val="center"/>
          </w:tcPr>
          <w:p>
            <w:pPr>
              <w:pStyle w:val="TableContents"/>
              <w:bidi w:val="0"/>
              <w:spacing w:before="0" w:after="283"/>
              <w:jc w:val="left"/>
              <w:rPr/>
            </w:pPr>
            <w:r>
              <w:rPr/>
              <w:t> </w:t>
            </w:r>
          </w:p>
        </w:tc>
        <w:tc>
          <w:tcPr>
            <w:tcW w:w="128" w:type="dxa"/>
            <w:tcBorders/>
            <w:shd w:fill="FFFFFF" w:val="clear"/>
            <w:tcMar>
              <w:top w:w="0" w:type="dxa"/>
            </w:tcMar>
            <w:vAlign w:val="center"/>
          </w:tcPr>
          <w:p>
            <w:pPr>
              <w:pStyle w:val="TableContents"/>
              <w:bidi w:val="0"/>
              <w:spacing w:before="0" w:after="283"/>
              <w:jc w:val="left"/>
              <w:rPr/>
            </w:pPr>
            <w:r>
              <w:rPr/>
              <w:t> </w:t>
            </w:r>
          </w:p>
        </w:tc>
        <w:tc>
          <w:tcPr>
            <w:tcW w:w="717" w:type="dxa"/>
            <w:tcBorders/>
            <w:shd w:fill="FFFFFF" w:val="clear"/>
            <w:tcMar>
              <w:top w:w="0" w:type="dxa"/>
            </w:tcMar>
            <w:vAlign w:val="center"/>
          </w:tcPr>
          <w:p>
            <w:pPr>
              <w:pStyle w:val="TableContents"/>
              <w:bidi w:val="0"/>
              <w:spacing w:before="0" w:after="283"/>
              <w:jc w:val="center"/>
              <w:rPr/>
            </w:pPr>
            <w:r>
              <w:rPr/>
              <w:t> </w:t>
            </w:r>
          </w:p>
        </w:tc>
        <w:tc>
          <w:tcPr>
            <w:tcW w:w="17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2374" w:type="dxa"/>
            <w:gridSpan w:val="6"/>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Relative to Average</w:t>
            </w:r>
          </w:p>
        </w:tc>
        <w:tc>
          <w:tcPr>
            <w:tcW w:w="23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2582" w:type="dxa"/>
            <w:gridSpan w:val="6"/>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Relative to Average</w:t>
            </w:r>
          </w:p>
        </w:tc>
        <w:tc>
          <w:tcPr>
            <w:tcW w:w="23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r>
      <w:tr>
        <w:trPr/>
        <w:tc>
          <w:tcPr>
            <w:tcW w:w="167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2029" w:type="dxa"/>
            <w:gridSpan w:val="6"/>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Average SOFR</w:t>
            </w:r>
          </w:p>
        </w:tc>
        <w:tc>
          <w:tcPr>
            <w:tcW w:w="17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920" w:type="dxa"/>
            <w:gridSpan w:val="2"/>
            <w:tcBorders/>
            <w:shd w:fill="FFFFFF" w:val="clear"/>
            <w:tcMar>
              <w:top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One-Month</w:t>
            </w:r>
          </w:p>
        </w:tc>
        <w:tc>
          <w:tcPr>
            <w:tcW w:w="449" w:type="dxa"/>
            <w:tcBorders/>
            <w:shd w:fill="FFFFFF" w:val="clear"/>
            <w:tcMar>
              <w:top w:w="0" w:type="dxa"/>
            </w:tcMar>
            <w:vAlign w:val="center"/>
          </w:tcPr>
          <w:p>
            <w:pPr>
              <w:pStyle w:val="TableContents"/>
              <w:bidi w:val="0"/>
              <w:spacing w:before="0" w:after="283"/>
              <w:jc w:val="left"/>
              <w:rPr/>
            </w:pPr>
            <w:r>
              <w:rPr/>
              <w:t> </w:t>
            </w:r>
          </w:p>
        </w:tc>
        <w:tc>
          <w:tcPr>
            <w:tcW w:w="117" w:type="dxa"/>
            <w:tcBorders/>
            <w:shd w:fill="FFFFFF" w:val="clear"/>
            <w:tcMar>
              <w:top w:w="0" w:type="dxa"/>
            </w:tcMar>
            <w:vAlign w:val="center"/>
          </w:tcPr>
          <w:p>
            <w:pPr>
              <w:pStyle w:val="TableContents"/>
              <w:bidi w:val="0"/>
              <w:spacing w:before="0" w:after="283"/>
              <w:ind w:left="0" w:right="0" w:hanging="0"/>
              <w:jc w:val="left"/>
              <w:rPr/>
            </w:pPr>
            <w:r>
              <w:rPr/>
              <w:t> </w:t>
            </w:r>
          </w:p>
        </w:tc>
        <w:tc>
          <w:tcPr>
            <w:tcW w:w="888" w:type="dxa"/>
            <w:gridSpan w:val="2"/>
            <w:tcBorders/>
            <w:shd w:fill="FFFFFF" w:val="clear"/>
            <w:tcMar>
              <w:top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Six-Month</w:t>
            </w:r>
          </w:p>
        </w:tc>
        <w:tc>
          <w:tcPr>
            <w:tcW w:w="23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979" w:type="dxa"/>
            <w:gridSpan w:val="2"/>
            <w:tcBorders/>
            <w:shd w:fill="FFFFFF" w:val="clear"/>
            <w:tcMar>
              <w:top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One-Month</w:t>
            </w:r>
          </w:p>
        </w:tc>
        <w:tc>
          <w:tcPr>
            <w:tcW w:w="495" w:type="dxa"/>
            <w:tcBorders/>
            <w:shd w:fill="FFFFFF" w:val="clear"/>
            <w:tcMar>
              <w:top w:w="0" w:type="dxa"/>
            </w:tcMar>
            <w:vAlign w:val="center"/>
          </w:tcPr>
          <w:p>
            <w:pPr>
              <w:pStyle w:val="TableContents"/>
              <w:bidi w:val="0"/>
              <w:spacing w:before="0" w:after="283"/>
              <w:jc w:val="left"/>
              <w:rPr/>
            </w:pPr>
            <w:r>
              <w:rPr/>
              <w:t> </w:t>
            </w:r>
          </w:p>
        </w:tc>
        <w:tc>
          <w:tcPr>
            <w:tcW w:w="129" w:type="dxa"/>
            <w:tcBorders/>
            <w:shd w:fill="FFFFFF" w:val="clear"/>
            <w:tcMar>
              <w:top w:w="0" w:type="dxa"/>
            </w:tcMar>
            <w:vAlign w:val="center"/>
          </w:tcPr>
          <w:p>
            <w:pPr>
              <w:pStyle w:val="TableContents"/>
              <w:bidi w:val="0"/>
              <w:spacing w:before="0" w:after="283"/>
              <w:ind w:left="0" w:right="0" w:hanging="0"/>
              <w:jc w:val="left"/>
              <w:rPr/>
            </w:pPr>
            <w:r>
              <w:rPr/>
              <w:t> </w:t>
            </w:r>
          </w:p>
        </w:tc>
        <w:tc>
          <w:tcPr>
            <w:tcW w:w="979" w:type="dxa"/>
            <w:gridSpan w:val="2"/>
            <w:tcBorders/>
            <w:shd w:fill="FFFFFF" w:val="clear"/>
            <w:tcMar>
              <w:top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Six-Month</w:t>
            </w:r>
          </w:p>
        </w:tc>
        <w:tc>
          <w:tcPr>
            <w:tcW w:w="230" w:type="dxa"/>
            <w:tcBorders/>
            <w:shd w:fill="FFFFFF" w:val="clear"/>
            <w:tcMar>
              <w:top w:w="0" w:type="dxa"/>
            </w:tcMar>
            <w:vAlign w:val="center"/>
          </w:tcPr>
          <w:p>
            <w:pPr>
              <w:pStyle w:val="TableContents"/>
              <w:bidi w:val="0"/>
              <w:spacing w:before="0" w:after="283"/>
              <w:jc w:val="left"/>
              <w:rPr/>
            </w:pPr>
            <w:r>
              <w:rPr/>
              <w:t> </w:t>
            </w:r>
          </w:p>
        </w:tc>
      </w:tr>
      <w:tr>
        <w:trPr/>
        <w:tc>
          <w:tcPr>
            <w:tcW w:w="167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One-Month</w:t>
            </w:r>
          </w:p>
        </w:tc>
        <w:tc>
          <w:tcPr>
            <w:tcW w:w="195"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9"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845" w:type="dxa"/>
            <w:gridSpan w:val="2"/>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Six-Month</w:t>
            </w:r>
          </w:p>
        </w:tc>
        <w:tc>
          <w:tcPr>
            <w:tcW w:w="17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SOFR</w:t>
            </w:r>
          </w:p>
        </w:tc>
        <w:tc>
          <w:tcPr>
            <w:tcW w:w="449"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117"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888" w:type="dxa"/>
            <w:gridSpan w:val="2"/>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SOFR</w:t>
            </w:r>
          </w:p>
        </w:tc>
        <w:tc>
          <w:tcPr>
            <w:tcW w:w="23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979" w:type="dxa"/>
            <w:gridSpan w:val="2"/>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SOFR</w:t>
            </w:r>
          </w:p>
        </w:tc>
        <w:tc>
          <w:tcPr>
            <w:tcW w:w="495"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979" w:type="dxa"/>
            <w:gridSpan w:val="2"/>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SOFR</w:t>
            </w:r>
          </w:p>
        </w:tc>
        <w:tc>
          <w:tcPr>
            <w:tcW w:w="23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r>
      <w:tr>
        <w:trPr/>
        <w:tc>
          <w:tcPr>
            <w:tcW w:w="1670"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Three Months Ended</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781"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195"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9"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717"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121"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799"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449"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117"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117"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771"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23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85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495"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85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23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r>
      <w:tr>
        <w:trPr/>
        <w:tc>
          <w:tcPr>
            <w:tcW w:w="1670" w:type="dxa"/>
            <w:tcBorders/>
            <w:shd w:fill="CCEEFF" w:val="clear"/>
            <w:tcMar>
              <w:top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June 30, 2026</w:t>
            </w:r>
          </w:p>
        </w:tc>
        <w:tc>
          <w:tcPr>
            <w:tcW w:w="60" w:type="dxa"/>
            <w:tcBorders/>
            <w:shd w:fill="CCEEFF" w:val="clear"/>
            <w:tcMar>
              <w:top w:w="0" w:type="dxa"/>
            </w:tcMar>
            <w:vAlign w:val="center"/>
          </w:tcPr>
          <w:p>
            <w:pPr>
              <w:pStyle w:val="TableContents"/>
              <w:bidi w:val="0"/>
              <w:spacing w:before="0" w:after="283"/>
              <w:jc w:val="left"/>
              <w:rPr/>
            </w:pPr>
            <w:r>
              <w:rPr/>
              <w:t> </w:t>
            </w:r>
          </w:p>
        </w:tc>
        <w:tc>
          <w:tcPr>
            <w:tcW w:w="139" w:type="dxa"/>
            <w:tcBorders/>
            <w:shd w:fill="CCEEFF" w:val="clear"/>
            <w:tcMar>
              <w:top w:w="0" w:type="dxa"/>
            </w:tcMar>
            <w:vAlign w:val="center"/>
          </w:tcPr>
          <w:p>
            <w:pPr>
              <w:pStyle w:val="TableContents"/>
              <w:bidi w:val="0"/>
              <w:spacing w:before="0" w:after="283"/>
              <w:jc w:val="left"/>
              <w:rPr/>
            </w:pPr>
            <w:r>
              <w:rPr/>
              <w:t> </w:t>
            </w:r>
          </w:p>
        </w:tc>
        <w:tc>
          <w:tcPr>
            <w:tcW w:w="781"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3.63</w:t>
            </w:r>
          </w:p>
        </w:tc>
        <w:tc>
          <w:tcPr>
            <w:tcW w:w="195"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9" w:type="dxa"/>
            <w:tcBorders/>
            <w:shd w:fill="CCEEFF" w:val="clear"/>
            <w:tcMar>
              <w:top w:w="0" w:type="dxa"/>
            </w:tcMar>
            <w:vAlign w:val="center"/>
          </w:tcPr>
          <w:p>
            <w:pPr>
              <w:pStyle w:val="TableContents"/>
              <w:bidi w:val="0"/>
              <w:spacing w:before="0" w:after="283"/>
              <w:jc w:val="left"/>
              <w:rPr/>
            </w:pPr>
            <w:r>
              <w:rPr/>
              <w:t> </w:t>
            </w:r>
          </w:p>
        </w:tc>
        <w:tc>
          <w:tcPr>
            <w:tcW w:w="128" w:type="dxa"/>
            <w:tcBorders/>
            <w:shd w:fill="CCEEFF" w:val="clear"/>
            <w:tcMar>
              <w:top w:w="0" w:type="dxa"/>
            </w:tcMar>
            <w:vAlign w:val="center"/>
          </w:tcPr>
          <w:p>
            <w:pPr>
              <w:pStyle w:val="TableContents"/>
              <w:bidi w:val="0"/>
              <w:spacing w:before="0" w:after="283"/>
              <w:jc w:val="left"/>
              <w:rPr/>
            </w:pPr>
            <w:r>
              <w:rPr/>
              <w:t> </w:t>
            </w:r>
          </w:p>
        </w:tc>
        <w:tc>
          <w:tcPr>
            <w:tcW w:w="717"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3.67</w:t>
            </w:r>
          </w:p>
        </w:tc>
        <w:tc>
          <w:tcPr>
            <w:tcW w:w="170"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top w:w="0" w:type="dxa"/>
            </w:tcMar>
            <w:vAlign w:val="center"/>
          </w:tcPr>
          <w:p>
            <w:pPr>
              <w:pStyle w:val="TableContents"/>
              <w:bidi w:val="0"/>
              <w:spacing w:before="0" w:after="283"/>
              <w:jc w:val="left"/>
              <w:rPr/>
            </w:pPr>
            <w:r>
              <w:rPr/>
              <w:t> </w:t>
            </w:r>
          </w:p>
        </w:tc>
        <w:tc>
          <w:tcPr>
            <w:tcW w:w="121" w:type="dxa"/>
            <w:tcBorders/>
            <w:shd w:fill="CCEEFF" w:val="clear"/>
            <w:tcMar>
              <w:top w:w="0" w:type="dxa"/>
            </w:tcMar>
            <w:vAlign w:val="center"/>
          </w:tcPr>
          <w:p>
            <w:pPr>
              <w:pStyle w:val="TableContents"/>
              <w:bidi w:val="0"/>
              <w:spacing w:before="0" w:after="283"/>
              <w:jc w:val="left"/>
              <w:rPr/>
            </w:pPr>
            <w:r>
              <w:rPr/>
              <w:t> </w:t>
            </w:r>
          </w:p>
        </w:tc>
        <w:tc>
          <w:tcPr>
            <w:tcW w:w="799"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0.17</w:t>
            </w:r>
          </w:p>
        </w:tc>
        <w:tc>
          <w:tcPr>
            <w:tcW w:w="449"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117" w:type="dxa"/>
            <w:tcBorders/>
            <w:shd w:fill="CCEEFF" w:val="clear"/>
            <w:tcMar>
              <w:top w:w="0" w:type="dxa"/>
            </w:tcMar>
            <w:vAlign w:val="center"/>
          </w:tcPr>
          <w:p>
            <w:pPr>
              <w:pStyle w:val="TableContents"/>
              <w:bidi w:val="0"/>
              <w:spacing w:before="0" w:after="283"/>
              <w:jc w:val="left"/>
              <w:rPr/>
            </w:pPr>
            <w:r>
              <w:rPr/>
              <w:t> </w:t>
            </w:r>
          </w:p>
        </w:tc>
        <w:tc>
          <w:tcPr>
            <w:tcW w:w="117" w:type="dxa"/>
            <w:tcBorders/>
            <w:shd w:fill="CCEEFF" w:val="clear"/>
            <w:tcMar>
              <w:top w:w="0" w:type="dxa"/>
            </w:tcMar>
            <w:vAlign w:val="center"/>
          </w:tcPr>
          <w:p>
            <w:pPr>
              <w:pStyle w:val="TableContents"/>
              <w:bidi w:val="0"/>
              <w:spacing w:before="0" w:after="283"/>
              <w:jc w:val="left"/>
              <w:rPr/>
            </w:pPr>
            <w:r>
              <w:rPr/>
              <w:t> </w:t>
            </w:r>
          </w:p>
        </w:tc>
        <w:tc>
          <w:tcPr>
            <w:tcW w:w="771"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0.13</w:t>
            </w:r>
          </w:p>
        </w:tc>
        <w:tc>
          <w:tcPr>
            <w:tcW w:w="230"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top w:w="0" w:type="dxa"/>
            </w:tcMar>
            <w:vAlign w:val="center"/>
          </w:tcPr>
          <w:p>
            <w:pPr>
              <w:pStyle w:val="TableContents"/>
              <w:bidi w:val="0"/>
              <w:spacing w:before="0" w:after="283"/>
              <w:jc w:val="left"/>
              <w:rPr/>
            </w:pPr>
            <w:r>
              <w:rPr/>
              <w:t> </w:t>
            </w:r>
          </w:p>
        </w:tc>
        <w:tc>
          <w:tcPr>
            <w:tcW w:w="129" w:type="dxa"/>
            <w:tcBorders/>
            <w:shd w:fill="CCEEFF" w:val="clear"/>
            <w:tcMar>
              <w:top w:w="0" w:type="dxa"/>
            </w:tcMar>
            <w:vAlign w:val="center"/>
          </w:tcPr>
          <w:p>
            <w:pPr>
              <w:pStyle w:val="TableContents"/>
              <w:bidi w:val="0"/>
              <w:spacing w:before="0" w:after="283"/>
              <w:jc w:val="left"/>
              <w:rPr/>
            </w:pPr>
            <w:r>
              <w:rPr/>
              <w:t> </w:t>
            </w:r>
          </w:p>
        </w:tc>
        <w:tc>
          <w:tcPr>
            <w:tcW w:w="850"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(0.30</w:t>
            </w:r>
          </w:p>
        </w:tc>
        <w:tc>
          <w:tcPr>
            <w:tcW w:w="495"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129" w:type="dxa"/>
            <w:tcBorders/>
            <w:shd w:fill="CCEEFF" w:val="clear"/>
            <w:tcMar>
              <w:top w:w="0" w:type="dxa"/>
            </w:tcMar>
            <w:vAlign w:val="center"/>
          </w:tcPr>
          <w:p>
            <w:pPr>
              <w:pStyle w:val="TableContents"/>
              <w:bidi w:val="0"/>
              <w:spacing w:before="0" w:after="283"/>
              <w:jc w:val="left"/>
              <w:rPr/>
            </w:pPr>
            <w:r>
              <w:rPr/>
              <w:t> </w:t>
            </w:r>
          </w:p>
        </w:tc>
        <w:tc>
          <w:tcPr>
            <w:tcW w:w="129" w:type="dxa"/>
            <w:tcBorders/>
            <w:shd w:fill="CCEEFF" w:val="clear"/>
            <w:tcMar>
              <w:top w:w="0" w:type="dxa"/>
            </w:tcMar>
            <w:vAlign w:val="center"/>
          </w:tcPr>
          <w:p>
            <w:pPr>
              <w:pStyle w:val="TableContents"/>
              <w:bidi w:val="0"/>
              <w:spacing w:before="0" w:after="283"/>
              <w:jc w:val="left"/>
              <w:rPr/>
            </w:pPr>
            <w:r>
              <w:rPr/>
              <w:t> </w:t>
            </w:r>
          </w:p>
        </w:tc>
        <w:tc>
          <w:tcPr>
            <w:tcW w:w="850"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(0.34</w:t>
            </w:r>
          </w:p>
        </w:tc>
        <w:tc>
          <w:tcPr>
            <w:tcW w:w="230"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670" w:type="dxa"/>
            <w:tcBorders/>
            <w:shd w:fill="FFFFFF" w:val="clear"/>
            <w:tcMar>
              <w:top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March 31, 2026</w:t>
            </w:r>
          </w:p>
        </w:tc>
        <w:tc>
          <w:tcPr>
            <w:tcW w:w="60" w:type="dxa"/>
            <w:tcBorders/>
            <w:shd w:fill="FFFFFF" w:val="clear"/>
            <w:tcMar>
              <w:top w:w="0" w:type="dxa"/>
            </w:tcMar>
            <w:vAlign w:val="center"/>
          </w:tcPr>
          <w:p>
            <w:pPr>
              <w:pStyle w:val="TableContents"/>
              <w:bidi w:val="0"/>
              <w:spacing w:before="0" w:after="283"/>
              <w:jc w:val="left"/>
              <w:rPr/>
            </w:pPr>
            <w:r>
              <w:rPr/>
              <w:t> </w:t>
            </w:r>
          </w:p>
        </w:tc>
        <w:tc>
          <w:tcPr>
            <w:tcW w:w="139" w:type="dxa"/>
            <w:tcBorders/>
            <w:shd w:fill="FFFFFF" w:val="clear"/>
            <w:tcMar>
              <w:top w:w="0" w:type="dxa"/>
            </w:tcMar>
            <w:vAlign w:val="center"/>
          </w:tcPr>
          <w:p>
            <w:pPr>
              <w:pStyle w:val="TableContents"/>
              <w:bidi w:val="0"/>
              <w:spacing w:before="0" w:after="283"/>
              <w:jc w:val="left"/>
              <w:rPr/>
            </w:pPr>
            <w:r>
              <w:rPr/>
              <w:t> </w:t>
            </w:r>
          </w:p>
        </w:tc>
        <w:tc>
          <w:tcPr>
            <w:tcW w:w="781"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3.65</w:t>
            </w:r>
          </w:p>
        </w:tc>
        <w:tc>
          <w:tcPr>
            <w:tcW w:w="195"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9" w:type="dxa"/>
            <w:tcBorders/>
            <w:shd w:fill="FFFFFF" w:val="clear"/>
            <w:tcMar>
              <w:top w:w="0" w:type="dxa"/>
            </w:tcMar>
            <w:vAlign w:val="center"/>
          </w:tcPr>
          <w:p>
            <w:pPr>
              <w:pStyle w:val="TableContents"/>
              <w:bidi w:val="0"/>
              <w:spacing w:before="0" w:after="283"/>
              <w:jc w:val="left"/>
              <w:rPr/>
            </w:pPr>
            <w:r>
              <w:rPr/>
              <w:t> </w:t>
            </w:r>
          </w:p>
        </w:tc>
        <w:tc>
          <w:tcPr>
            <w:tcW w:w="128" w:type="dxa"/>
            <w:tcBorders/>
            <w:shd w:fill="FFFFFF" w:val="clear"/>
            <w:tcMar>
              <w:top w:w="0" w:type="dxa"/>
            </w:tcMar>
            <w:vAlign w:val="center"/>
          </w:tcPr>
          <w:p>
            <w:pPr>
              <w:pStyle w:val="TableContents"/>
              <w:bidi w:val="0"/>
              <w:spacing w:before="0" w:after="283"/>
              <w:jc w:val="left"/>
              <w:rPr/>
            </w:pPr>
            <w:r>
              <w:rPr/>
              <w:t> </w:t>
            </w:r>
          </w:p>
        </w:tc>
        <w:tc>
          <w:tcPr>
            <w:tcW w:w="717"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3.86</w:t>
            </w:r>
          </w:p>
        </w:tc>
        <w:tc>
          <w:tcPr>
            <w:tcW w:w="170"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top w:w="0" w:type="dxa"/>
            </w:tcMar>
            <w:vAlign w:val="center"/>
          </w:tcPr>
          <w:p>
            <w:pPr>
              <w:pStyle w:val="TableContents"/>
              <w:bidi w:val="0"/>
              <w:spacing w:before="0" w:after="283"/>
              <w:jc w:val="left"/>
              <w:rPr/>
            </w:pPr>
            <w:r>
              <w:rPr/>
              <w:t> </w:t>
            </w:r>
          </w:p>
        </w:tc>
        <w:tc>
          <w:tcPr>
            <w:tcW w:w="121" w:type="dxa"/>
            <w:tcBorders/>
            <w:shd w:fill="FFFFFF" w:val="clear"/>
            <w:tcMar>
              <w:top w:w="0" w:type="dxa"/>
            </w:tcMar>
            <w:vAlign w:val="center"/>
          </w:tcPr>
          <w:p>
            <w:pPr>
              <w:pStyle w:val="TableContents"/>
              <w:bidi w:val="0"/>
              <w:spacing w:before="0" w:after="283"/>
              <w:jc w:val="left"/>
              <w:rPr/>
            </w:pPr>
            <w:r>
              <w:rPr/>
              <w:t> </w:t>
            </w:r>
          </w:p>
        </w:tc>
        <w:tc>
          <w:tcPr>
            <w:tcW w:w="799"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0.19</w:t>
            </w:r>
          </w:p>
        </w:tc>
        <w:tc>
          <w:tcPr>
            <w:tcW w:w="449"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117" w:type="dxa"/>
            <w:tcBorders/>
            <w:shd w:fill="FFFFFF" w:val="clear"/>
            <w:tcMar>
              <w:top w:w="0" w:type="dxa"/>
            </w:tcMar>
            <w:vAlign w:val="center"/>
          </w:tcPr>
          <w:p>
            <w:pPr>
              <w:pStyle w:val="TableContents"/>
              <w:bidi w:val="0"/>
              <w:spacing w:before="0" w:after="283"/>
              <w:jc w:val="left"/>
              <w:rPr/>
            </w:pPr>
            <w:r>
              <w:rPr/>
              <w:t> </w:t>
            </w:r>
          </w:p>
        </w:tc>
        <w:tc>
          <w:tcPr>
            <w:tcW w:w="117" w:type="dxa"/>
            <w:tcBorders/>
            <w:shd w:fill="FFFFFF" w:val="clear"/>
            <w:tcMar>
              <w:top w:w="0" w:type="dxa"/>
            </w:tcMar>
            <w:vAlign w:val="center"/>
          </w:tcPr>
          <w:p>
            <w:pPr>
              <w:pStyle w:val="TableContents"/>
              <w:bidi w:val="0"/>
              <w:spacing w:before="0" w:after="283"/>
              <w:jc w:val="left"/>
              <w:rPr/>
            </w:pPr>
            <w:r>
              <w:rPr/>
              <w:t> </w:t>
            </w:r>
          </w:p>
        </w:tc>
        <w:tc>
          <w:tcPr>
            <w:tcW w:w="771"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(0.02</w:t>
            </w:r>
          </w:p>
        </w:tc>
        <w:tc>
          <w:tcPr>
            <w:tcW w:w="230"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top w:w="0" w:type="dxa"/>
            </w:tcMar>
            <w:vAlign w:val="center"/>
          </w:tcPr>
          <w:p>
            <w:pPr>
              <w:pStyle w:val="TableContents"/>
              <w:bidi w:val="0"/>
              <w:spacing w:before="0" w:after="283"/>
              <w:jc w:val="left"/>
              <w:rPr/>
            </w:pPr>
            <w:r>
              <w:rPr/>
              <w:t> </w:t>
            </w:r>
          </w:p>
        </w:tc>
        <w:tc>
          <w:tcPr>
            <w:tcW w:w="129" w:type="dxa"/>
            <w:tcBorders/>
            <w:shd w:fill="FFFFFF" w:val="clear"/>
            <w:tcMar>
              <w:top w:w="0" w:type="dxa"/>
            </w:tcMar>
            <w:vAlign w:val="center"/>
          </w:tcPr>
          <w:p>
            <w:pPr>
              <w:pStyle w:val="TableContents"/>
              <w:bidi w:val="0"/>
              <w:spacing w:before="0" w:after="283"/>
              <w:jc w:val="left"/>
              <w:rPr/>
            </w:pPr>
            <w:r>
              <w:rPr/>
              <w:t> </w:t>
            </w:r>
          </w:p>
        </w:tc>
        <w:tc>
          <w:tcPr>
            <w:tcW w:w="850"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(0.37</w:t>
            </w:r>
          </w:p>
        </w:tc>
        <w:tc>
          <w:tcPr>
            <w:tcW w:w="495"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129" w:type="dxa"/>
            <w:tcBorders/>
            <w:shd w:fill="FFFFFF" w:val="clear"/>
            <w:tcMar>
              <w:top w:w="0" w:type="dxa"/>
            </w:tcMar>
            <w:vAlign w:val="center"/>
          </w:tcPr>
          <w:p>
            <w:pPr>
              <w:pStyle w:val="TableContents"/>
              <w:bidi w:val="0"/>
              <w:spacing w:before="0" w:after="283"/>
              <w:jc w:val="left"/>
              <w:rPr/>
            </w:pPr>
            <w:r>
              <w:rPr/>
              <w:t> </w:t>
            </w:r>
          </w:p>
        </w:tc>
        <w:tc>
          <w:tcPr>
            <w:tcW w:w="129" w:type="dxa"/>
            <w:tcBorders/>
            <w:shd w:fill="FFFFFF" w:val="clear"/>
            <w:tcMar>
              <w:top w:w="0" w:type="dxa"/>
            </w:tcMar>
            <w:vAlign w:val="center"/>
          </w:tcPr>
          <w:p>
            <w:pPr>
              <w:pStyle w:val="TableContents"/>
              <w:bidi w:val="0"/>
              <w:spacing w:before="0" w:after="283"/>
              <w:jc w:val="left"/>
              <w:rPr/>
            </w:pPr>
            <w:r>
              <w:rPr/>
              <w:t> </w:t>
            </w:r>
          </w:p>
        </w:tc>
        <w:tc>
          <w:tcPr>
            <w:tcW w:w="850"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(0.58</w:t>
            </w:r>
          </w:p>
        </w:tc>
        <w:tc>
          <w:tcPr>
            <w:tcW w:w="230"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670" w:type="dxa"/>
            <w:tcBorders/>
            <w:shd w:fill="CCEEFF" w:val="clear"/>
            <w:tcMar>
              <w:top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December 31, 2025</w:t>
            </w:r>
          </w:p>
        </w:tc>
        <w:tc>
          <w:tcPr>
            <w:tcW w:w="60" w:type="dxa"/>
            <w:tcBorders/>
            <w:shd w:fill="CCEEFF" w:val="clear"/>
            <w:tcMar>
              <w:top w:w="0" w:type="dxa"/>
            </w:tcMar>
            <w:vAlign w:val="center"/>
          </w:tcPr>
          <w:p>
            <w:pPr>
              <w:pStyle w:val="TableContents"/>
              <w:bidi w:val="0"/>
              <w:spacing w:before="0" w:after="283"/>
              <w:jc w:val="left"/>
              <w:rPr/>
            </w:pPr>
            <w:r>
              <w:rPr/>
              <w:t> </w:t>
            </w:r>
          </w:p>
        </w:tc>
        <w:tc>
          <w:tcPr>
            <w:tcW w:w="139" w:type="dxa"/>
            <w:tcBorders/>
            <w:shd w:fill="CCEEFF" w:val="clear"/>
            <w:tcMar>
              <w:top w:w="0" w:type="dxa"/>
            </w:tcMar>
            <w:vAlign w:val="center"/>
          </w:tcPr>
          <w:p>
            <w:pPr>
              <w:pStyle w:val="TableContents"/>
              <w:bidi w:val="0"/>
              <w:spacing w:before="0" w:after="283"/>
              <w:jc w:val="left"/>
              <w:rPr/>
            </w:pPr>
            <w:r>
              <w:rPr/>
              <w:t> </w:t>
            </w:r>
          </w:p>
        </w:tc>
        <w:tc>
          <w:tcPr>
            <w:tcW w:w="781"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3.79</w:t>
            </w:r>
          </w:p>
        </w:tc>
        <w:tc>
          <w:tcPr>
            <w:tcW w:w="195"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9" w:type="dxa"/>
            <w:tcBorders/>
            <w:shd w:fill="CCEEFF" w:val="clear"/>
            <w:tcMar>
              <w:top w:w="0" w:type="dxa"/>
            </w:tcMar>
            <w:vAlign w:val="center"/>
          </w:tcPr>
          <w:p>
            <w:pPr>
              <w:pStyle w:val="TableContents"/>
              <w:bidi w:val="0"/>
              <w:spacing w:before="0" w:after="283"/>
              <w:jc w:val="left"/>
              <w:rPr/>
            </w:pPr>
            <w:r>
              <w:rPr/>
              <w:t> </w:t>
            </w:r>
          </w:p>
        </w:tc>
        <w:tc>
          <w:tcPr>
            <w:tcW w:w="128" w:type="dxa"/>
            <w:tcBorders/>
            <w:shd w:fill="CCEEFF" w:val="clear"/>
            <w:tcMar>
              <w:top w:w="0" w:type="dxa"/>
            </w:tcMar>
            <w:vAlign w:val="center"/>
          </w:tcPr>
          <w:p>
            <w:pPr>
              <w:pStyle w:val="TableContents"/>
              <w:bidi w:val="0"/>
              <w:spacing w:before="0" w:after="283"/>
              <w:jc w:val="left"/>
              <w:rPr/>
            </w:pPr>
            <w:r>
              <w:rPr/>
              <w:t> </w:t>
            </w:r>
          </w:p>
        </w:tc>
        <w:tc>
          <w:tcPr>
            <w:tcW w:w="717"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4.20</w:t>
            </w:r>
          </w:p>
        </w:tc>
        <w:tc>
          <w:tcPr>
            <w:tcW w:w="170"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top w:w="0" w:type="dxa"/>
            </w:tcMar>
            <w:vAlign w:val="center"/>
          </w:tcPr>
          <w:p>
            <w:pPr>
              <w:pStyle w:val="TableContents"/>
              <w:bidi w:val="0"/>
              <w:spacing w:before="0" w:after="283"/>
              <w:jc w:val="left"/>
              <w:rPr/>
            </w:pPr>
            <w:r>
              <w:rPr/>
              <w:t> </w:t>
            </w:r>
          </w:p>
        </w:tc>
        <w:tc>
          <w:tcPr>
            <w:tcW w:w="121" w:type="dxa"/>
            <w:tcBorders/>
            <w:shd w:fill="CCEEFF" w:val="clear"/>
            <w:tcMar>
              <w:top w:w="0" w:type="dxa"/>
            </w:tcMar>
            <w:vAlign w:val="center"/>
          </w:tcPr>
          <w:p>
            <w:pPr>
              <w:pStyle w:val="TableContents"/>
              <w:bidi w:val="0"/>
              <w:spacing w:before="0" w:after="283"/>
              <w:jc w:val="left"/>
              <w:rPr/>
            </w:pPr>
            <w:r>
              <w:rPr/>
              <w:t> </w:t>
            </w:r>
          </w:p>
        </w:tc>
        <w:tc>
          <w:tcPr>
            <w:tcW w:w="799"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0.35</w:t>
            </w:r>
          </w:p>
        </w:tc>
        <w:tc>
          <w:tcPr>
            <w:tcW w:w="449"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117" w:type="dxa"/>
            <w:tcBorders/>
            <w:shd w:fill="CCEEFF" w:val="clear"/>
            <w:tcMar>
              <w:top w:w="0" w:type="dxa"/>
            </w:tcMar>
            <w:vAlign w:val="center"/>
          </w:tcPr>
          <w:p>
            <w:pPr>
              <w:pStyle w:val="TableContents"/>
              <w:bidi w:val="0"/>
              <w:spacing w:before="0" w:after="283"/>
              <w:jc w:val="left"/>
              <w:rPr/>
            </w:pPr>
            <w:r>
              <w:rPr/>
              <w:t> </w:t>
            </w:r>
          </w:p>
        </w:tc>
        <w:tc>
          <w:tcPr>
            <w:tcW w:w="117" w:type="dxa"/>
            <w:tcBorders/>
            <w:shd w:fill="CCEEFF" w:val="clear"/>
            <w:tcMar>
              <w:top w:w="0" w:type="dxa"/>
            </w:tcMar>
            <w:vAlign w:val="center"/>
          </w:tcPr>
          <w:p>
            <w:pPr>
              <w:pStyle w:val="TableContents"/>
              <w:bidi w:val="0"/>
              <w:spacing w:before="0" w:after="283"/>
              <w:jc w:val="left"/>
              <w:rPr/>
            </w:pPr>
            <w:r>
              <w:rPr/>
              <w:t> </w:t>
            </w:r>
          </w:p>
        </w:tc>
        <w:tc>
          <w:tcPr>
            <w:tcW w:w="771"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(0.06</w:t>
            </w:r>
          </w:p>
        </w:tc>
        <w:tc>
          <w:tcPr>
            <w:tcW w:w="230"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top w:w="0" w:type="dxa"/>
            </w:tcMar>
            <w:vAlign w:val="center"/>
          </w:tcPr>
          <w:p>
            <w:pPr>
              <w:pStyle w:val="TableContents"/>
              <w:bidi w:val="0"/>
              <w:spacing w:before="0" w:after="283"/>
              <w:jc w:val="left"/>
              <w:rPr/>
            </w:pPr>
            <w:r>
              <w:rPr/>
              <w:t> </w:t>
            </w:r>
          </w:p>
        </w:tc>
        <w:tc>
          <w:tcPr>
            <w:tcW w:w="129" w:type="dxa"/>
            <w:tcBorders/>
            <w:shd w:fill="CCEEFF" w:val="clear"/>
            <w:tcMar>
              <w:top w:w="0" w:type="dxa"/>
            </w:tcMar>
            <w:vAlign w:val="center"/>
          </w:tcPr>
          <w:p>
            <w:pPr>
              <w:pStyle w:val="TableContents"/>
              <w:bidi w:val="0"/>
              <w:spacing w:before="0" w:after="283"/>
              <w:jc w:val="left"/>
              <w:rPr/>
            </w:pPr>
            <w:r>
              <w:rPr/>
              <w:t> </w:t>
            </w:r>
          </w:p>
        </w:tc>
        <w:tc>
          <w:tcPr>
            <w:tcW w:w="850"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(0.52</w:t>
            </w:r>
          </w:p>
        </w:tc>
        <w:tc>
          <w:tcPr>
            <w:tcW w:w="495"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129" w:type="dxa"/>
            <w:tcBorders/>
            <w:shd w:fill="CCEEFF" w:val="clear"/>
            <w:tcMar>
              <w:top w:w="0" w:type="dxa"/>
            </w:tcMar>
            <w:vAlign w:val="center"/>
          </w:tcPr>
          <w:p>
            <w:pPr>
              <w:pStyle w:val="TableContents"/>
              <w:bidi w:val="0"/>
              <w:spacing w:before="0" w:after="283"/>
              <w:jc w:val="left"/>
              <w:rPr/>
            </w:pPr>
            <w:r>
              <w:rPr/>
              <w:t> </w:t>
            </w:r>
          </w:p>
        </w:tc>
        <w:tc>
          <w:tcPr>
            <w:tcW w:w="129" w:type="dxa"/>
            <w:tcBorders/>
            <w:shd w:fill="CCEEFF" w:val="clear"/>
            <w:tcMar>
              <w:top w:w="0" w:type="dxa"/>
            </w:tcMar>
            <w:vAlign w:val="center"/>
          </w:tcPr>
          <w:p>
            <w:pPr>
              <w:pStyle w:val="TableContents"/>
              <w:bidi w:val="0"/>
              <w:spacing w:before="0" w:after="283"/>
              <w:jc w:val="left"/>
              <w:rPr/>
            </w:pPr>
            <w:r>
              <w:rPr/>
              <w:t> </w:t>
            </w:r>
          </w:p>
        </w:tc>
        <w:tc>
          <w:tcPr>
            <w:tcW w:w="850"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(0.93</w:t>
            </w:r>
          </w:p>
        </w:tc>
        <w:tc>
          <w:tcPr>
            <w:tcW w:w="230"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670" w:type="dxa"/>
            <w:tcBorders/>
            <w:shd w:fill="FFFFFF" w:val="clear"/>
            <w:tcMar>
              <w:top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September 30, 2025</w:t>
            </w:r>
          </w:p>
        </w:tc>
        <w:tc>
          <w:tcPr>
            <w:tcW w:w="60" w:type="dxa"/>
            <w:tcBorders/>
            <w:shd w:fill="FFFFFF" w:val="clear"/>
            <w:tcMar>
              <w:top w:w="0" w:type="dxa"/>
            </w:tcMar>
            <w:vAlign w:val="center"/>
          </w:tcPr>
          <w:p>
            <w:pPr>
              <w:pStyle w:val="TableContents"/>
              <w:bidi w:val="0"/>
              <w:spacing w:before="0" w:after="283"/>
              <w:jc w:val="left"/>
              <w:rPr/>
            </w:pPr>
            <w:r>
              <w:rPr/>
              <w:t> </w:t>
            </w:r>
          </w:p>
        </w:tc>
        <w:tc>
          <w:tcPr>
            <w:tcW w:w="139" w:type="dxa"/>
            <w:tcBorders/>
            <w:shd w:fill="FFFFFF" w:val="clear"/>
            <w:tcMar>
              <w:top w:w="0" w:type="dxa"/>
            </w:tcMar>
            <w:vAlign w:val="center"/>
          </w:tcPr>
          <w:p>
            <w:pPr>
              <w:pStyle w:val="TableContents"/>
              <w:bidi w:val="0"/>
              <w:spacing w:before="0" w:after="283"/>
              <w:jc w:val="left"/>
              <w:rPr/>
            </w:pPr>
            <w:r>
              <w:rPr/>
              <w:t> </w:t>
            </w:r>
          </w:p>
        </w:tc>
        <w:tc>
          <w:tcPr>
            <w:tcW w:w="781"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4.31</w:t>
            </w:r>
          </w:p>
        </w:tc>
        <w:tc>
          <w:tcPr>
            <w:tcW w:w="195"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9" w:type="dxa"/>
            <w:tcBorders/>
            <w:shd w:fill="FFFFFF" w:val="clear"/>
            <w:tcMar>
              <w:top w:w="0" w:type="dxa"/>
            </w:tcMar>
            <w:vAlign w:val="center"/>
          </w:tcPr>
          <w:p>
            <w:pPr>
              <w:pStyle w:val="TableContents"/>
              <w:bidi w:val="0"/>
              <w:spacing w:before="0" w:after="283"/>
              <w:jc w:val="left"/>
              <w:rPr/>
            </w:pPr>
            <w:r>
              <w:rPr/>
              <w:t> </w:t>
            </w:r>
          </w:p>
        </w:tc>
        <w:tc>
          <w:tcPr>
            <w:tcW w:w="128" w:type="dxa"/>
            <w:tcBorders/>
            <w:shd w:fill="FFFFFF" w:val="clear"/>
            <w:tcMar>
              <w:top w:w="0" w:type="dxa"/>
            </w:tcMar>
            <w:vAlign w:val="center"/>
          </w:tcPr>
          <w:p>
            <w:pPr>
              <w:pStyle w:val="TableContents"/>
              <w:bidi w:val="0"/>
              <w:spacing w:before="0" w:after="283"/>
              <w:jc w:val="left"/>
              <w:rPr/>
            </w:pPr>
            <w:r>
              <w:rPr/>
              <w:t> </w:t>
            </w:r>
          </w:p>
        </w:tc>
        <w:tc>
          <w:tcPr>
            <w:tcW w:w="717"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4.37</w:t>
            </w:r>
          </w:p>
        </w:tc>
        <w:tc>
          <w:tcPr>
            <w:tcW w:w="170"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top w:w="0" w:type="dxa"/>
            </w:tcMar>
            <w:vAlign w:val="center"/>
          </w:tcPr>
          <w:p>
            <w:pPr>
              <w:pStyle w:val="TableContents"/>
              <w:bidi w:val="0"/>
              <w:spacing w:before="0" w:after="283"/>
              <w:jc w:val="left"/>
              <w:rPr/>
            </w:pPr>
            <w:r>
              <w:rPr/>
              <w:t> </w:t>
            </w:r>
          </w:p>
        </w:tc>
        <w:tc>
          <w:tcPr>
            <w:tcW w:w="121" w:type="dxa"/>
            <w:tcBorders/>
            <w:shd w:fill="FFFFFF" w:val="clear"/>
            <w:tcMar>
              <w:top w:w="0" w:type="dxa"/>
            </w:tcMar>
            <w:vAlign w:val="center"/>
          </w:tcPr>
          <w:p>
            <w:pPr>
              <w:pStyle w:val="TableContents"/>
              <w:bidi w:val="0"/>
              <w:spacing w:before="0" w:after="283"/>
              <w:jc w:val="left"/>
              <w:rPr/>
            </w:pPr>
            <w:r>
              <w:rPr/>
              <w:t> </w:t>
            </w:r>
          </w:p>
        </w:tc>
        <w:tc>
          <w:tcPr>
            <w:tcW w:w="799"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0.14</w:t>
            </w:r>
          </w:p>
        </w:tc>
        <w:tc>
          <w:tcPr>
            <w:tcW w:w="449"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117" w:type="dxa"/>
            <w:tcBorders/>
            <w:shd w:fill="FFFFFF" w:val="clear"/>
            <w:tcMar>
              <w:top w:w="0" w:type="dxa"/>
            </w:tcMar>
            <w:vAlign w:val="center"/>
          </w:tcPr>
          <w:p>
            <w:pPr>
              <w:pStyle w:val="TableContents"/>
              <w:bidi w:val="0"/>
              <w:spacing w:before="0" w:after="283"/>
              <w:jc w:val="left"/>
              <w:rPr/>
            </w:pPr>
            <w:r>
              <w:rPr/>
              <w:t> </w:t>
            </w:r>
          </w:p>
        </w:tc>
        <w:tc>
          <w:tcPr>
            <w:tcW w:w="117" w:type="dxa"/>
            <w:tcBorders/>
            <w:shd w:fill="FFFFFF" w:val="clear"/>
            <w:tcMar>
              <w:top w:w="0" w:type="dxa"/>
            </w:tcMar>
            <w:vAlign w:val="center"/>
          </w:tcPr>
          <w:p>
            <w:pPr>
              <w:pStyle w:val="TableContents"/>
              <w:bidi w:val="0"/>
              <w:spacing w:before="0" w:after="283"/>
              <w:jc w:val="left"/>
              <w:rPr/>
            </w:pPr>
            <w:r>
              <w:rPr/>
              <w:t> </w:t>
            </w:r>
          </w:p>
        </w:tc>
        <w:tc>
          <w:tcPr>
            <w:tcW w:w="771"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0.08</w:t>
            </w:r>
          </w:p>
        </w:tc>
        <w:tc>
          <w:tcPr>
            <w:tcW w:w="230"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top w:w="0" w:type="dxa"/>
            </w:tcMar>
            <w:vAlign w:val="center"/>
          </w:tcPr>
          <w:p>
            <w:pPr>
              <w:pStyle w:val="TableContents"/>
              <w:bidi w:val="0"/>
              <w:spacing w:before="0" w:after="283"/>
              <w:jc w:val="left"/>
              <w:rPr/>
            </w:pPr>
            <w:r>
              <w:rPr/>
              <w:t> </w:t>
            </w:r>
          </w:p>
        </w:tc>
        <w:tc>
          <w:tcPr>
            <w:tcW w:w="129" w:type="dxa"/>
            <w:tcBorders/>
            <w:shd w:fill="FFFFFF" w:val="clear"/>
            <w:tcMar>
              <w:top w:w="0" w:type="dxa"/>
            </w:tcMar>
            <w:vAlign w:val="center"/>
          </w:tcPr>
          <w:p>
            <w:pPr>
              <w:pStyle w:val="TableContents"/>
              <w:bidi w:val="0"/>
              <w:spacing w:before="0" w:after="283"/>
              <w:jc w:val="left"/>
              <w:rPr/>
            </w:pPr>
            <w:r>
              <w:rPr/>
              <w:t> </w:t>
            </w:r>
          </w:p>
        </w:tc>
        <w:tc>
          <w:tcPr>
            <w:tcW w:w="850"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(1.06</w:t>
            </w:r>
          </w:p>
        </w:tc>
        <w:tc>
          <w:tcPr>
            <w:tcW w:w="495"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129" w:type="dxa"/>
            <w:tcBorders/>
            <w:shd w:fill="FFFFFF" w:val="clear"/>
            <w:tcMar>
              <w:top w:w="0" w:type="dxa"/>
            </w:tcMar>
            <w:vAlign w:val="center"/>
          </w:tcPr>
          <w:p>
            <w:pPr>
              <w:pStyle w:val="TableContents"/>
              <w:bidi w:val="0"/>
              <w:spacing w:before="0" w:after="283"/>
              <w:jc w:val="left"/>
              <w:rPr/>
            </w:pPr>
            <w:r>
              <w:rPr/>
              <w:t> </w:t>
            </w:r>
          </w:p>
        </w:tc>
        <w:tc>
          <w:tcPr>
            <w:tcW w:w="129" w:type="dxa"/>
            <w:tcBorders/>
            <w:shd w:fill="FFFFFF" w:val="clear"/>
            <w:tcMar>
              <w:top w:w="0" w:type="dxa"/>
            </w:tcMar>
            <w:vAlign w:val="center"/>
          </w:tcPr>
          <w:p>
            <w:pPr>
              <w:pStyle w:val="TableContents"/>
              <w:bidi w:val="0"/>
              <w:spacing w:before="0" w:after="283"/>
              <w:jc w:val="left"/>
              <w:rPr/>
            </w:pPr>
            <w:r>
              <w:rPr/>
              <w:t> </w:t>
            </w:r>
          </w:p>
        </w:tc>
        <w:tc>
          <w:tcPr>
            <w:tcW w:w="850"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(1.12</w:t>
            </w:r>
          </w:p>
        </w:tc>
        <w:tc>
          <w:tcPr>
            <w:tcW w:w="230"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670" w:type="dxa"/>
            <w:tcBorders/>
            <w:shd w:fill="CCEEFF" w:val="clear"/>
            <w:tcMar>
              <w:top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June 30, 2025</w:t>
            </w:r>
          </w:p>
        </w:tc>
        <w:tc>
          <w:tcPr>
            <w:tcW w:w="60" w:type="dxa"/>
            <w:tcBorders/>
            <w:shd w:fill="CCEEFF" w:val="clear"/>
            <w:tcMar>
              <w:top w:w="0" w:type="dxa"/>
            </w:tcMar>
            <w:vAlign w:val="center"/>
          </w:tcPr>
          <w:p>
            <w:pPr>
              <w:pStyle w:val="TableContents"/>
              <w:bidi w:val="0"/>
              <w:spacing w:before="0" w:after="283"/>
              <w:jc w:val="left"/>
              <w:rPr/>
            </w:pPr>
            <w:r>
              <w:rPr/>
              <w:t> </w:t>
            </w:r>
          </w:p>
        </w:tc>
        <w:tc>
          <w:tcPr>
            <w:tcW w:w="139" w:type="dxa"/>
            <w:tcBorders/>
            <w:shd w:fill="CCEEFF" w:val="clear"/>
            <w:tcMar>
              <w:top w:w="0" w:type="dxa"/>
            </w:tcMar>
            <w:vAlign w:val="center"/>
          </w:tcPr>
          <w:p>
            <w:pPr>
              <w:pStyle w:val="TableContents"/>
              <w:bidi w:val="0"/>
              <w:spacing w:before="0" w:after="283"/>
              <w:jc w:val="left"/>
              <w:rPr/>
            </w:pPr>
            <w:r>
              <w:rPr/>
              <w:t> </w:t>
            </w:r>
          </w:p>
        </w:tc>
        <w:tc>
          <w:tcPr>
            <w:tcW w:w="781"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4.32</w:t>
            </w:r>
          </w:p>
        </w:tc>
        <w:tc>
          <w:tcPr>
            <w:tcW w:w="195"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9" w:type="dxa"/>
            <w:tcBorders/>
            <w:shd w:fill="CCEEFF" w:val="clear"/>
            <w:tcMar>
              <w:top w:w="0" w:type="dxa"/>
            </w:tcMar>
            <w:vAlign w:val="center"/>
          </w:tcPr>
          <w:p>
            <w:pPr>
              <w:pStyle w:val="TableContents"/>
              <w:bidi w:val="0"/>
              <w:spacing w:before="0" w:after="283"/>
              <w:jc w:val="left"/>
              <w:rPr/>
            </w:pPr>
            <w:r>
              <w:rPr/>
              <w:t> </w:t>
            </w:r>
          </w:p>
        </w:tc>
        <w:tc>
          <w:tcPr>
            <w:tcW w:w="128" w:type="dxa"/>
            <w:tcBorders/>
            <w:shd w:fill="CCEEFF" w:val="clear"/>
            <w:tcMar>
              <w:top w:w="0" w:type="dxa"/>
            </w:tcMar>
            <w:vAlign w:val="center"/>
          </w:tcPr>
          <w:p>
            <w:pPr>
              <w:pStyle w:val="TableContents"/>
              <w:bidi w:val="0"/>
              <w:spacing w:before="0" w:after="283"/>
              <w:jc w:val="left"/>
              <w:rPr/>
            </w:pPr>
            <w:r>
              <w:rPr/>
              <w:t> </w:t>
            </w:r>
          </w:p>
        </w:tc>
        <w:tc>
          <w:tcPr>
            <w:tcW w:w="717"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4.37</w:t>
            </w:r>
          </w:p>
        </w:tc>
        <w:tc>
          <w:tcPr>
            <w:tcW w:w="170"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top w:w="0" w:type="dxa"/>
            </w:tcMar>
            <w:vAlign w:val="center"/>
          </w:tcPr>
          <w:p>
            <w:pPr>
              <w:pStyle w:val="TableContents"/>
              <w:bidi w:val="0"/>
              <w:spacing w:before="0" w:after="283"/>
              <w:jc w:val="left"/>
              <w:rPr/>
            </w:pPr>
            <w:r>
              <w:rPr/>
              <w:t> </w:t>
            </w:r>
          </w:p>
        </w:tc>
        <w:tc>
          <w:tcPr>
            <w:tcW w:w="121" w:type="dxa"/>
            <w:tcBorders/>
            <w:shd w:fill="CCEEFF" w:val="clear"/>
            <w:tcMar>
              <w:top w:w="0" w:type="dxa"/>
            </w:tcMar>
            <w:vAlign w:val="center"/>
          </w:tcPr>
          <w:p>
            <w:pPr>
              <w:pStyle w:val="TableContents"/>
              <w:bidi w:val="0"/>
              <w:spacing w:before="0" w:after="283"/>
              <w:jc w:val="left"/>
              <w:rPr/>
            </w:pPr>
            <w:r>
              <w:rPr/>
              <w:t> </w:t>
            </w:r>
          </w:p>
        </w:tc>
        <w:tc>
          <w:tcPr>
            <w:tcW w:w="799"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(0.09</w:t>
            </w:r>
          </w:p>
        </w:tc>
        <w:tc>
          <w:tcPr>
            <w:tcW w:w="449"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117" w:type="dxa"/>
            <w:tcBorders/>
            <w:shd w:fill="CCEEFF" w:val="clear"/>
            <w:tcMar>
              <w:top w:w="0" w:type="dxa"/>
            </w:tcMar>
            <w:vAlign w:val="center"/>
          </w:tcPr>
          <w:p>
            <w:pPr>
              <w:pStyle w:val="TableContents"/>
              <w:bidi w:val="0"/>
              <w:spacing w:before="0" w:after="283"/>
              <w:jc w:val="left"/>
              <w:rPr/>
            </w:pPr>
            <w:r>
              <w:rPr/>
              <w:t> </w:t>
            </w:r>
          </w:p>
        </w:tc>
        <w:tc>
          <w:tcPr>
            <w:tcW w:w="117" w:type="dxa"/>
            <w:tcBorders/>
            <w:shd w:fill="CCEEFF" w:val="clear"/>
            <w:tcMar>
              <w:top w:w="0" w:type="dxa"/>
            </w:tcMar>
            <w:vAlign w:val="center"/>
          </w:tcPr>
          <w:p>
            <w:pPr>
              <w:pStyle w:val="TableContents"/>
              <w:bidi w:val="0"/>
              <w:spacing w:before="0" w:after="283"/>
              <w:jc w:val="left"/>
              <w:rPr/>
            </w:pPr>
            <w:r>
              <w:rPr/>
              <w:t> </w:t>
            </w:r>
          </w:p>
        </w:tc>
        <w:tc>
          <w:tcPr>
            <w:tcW w:w="771"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(0.14</w:t>
            </w:r>
          </w:p>
        </w:tc>
        <w:tc>
          <w:tcPr>
            <w:tcW w:w="230"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top w:w="0" w:type="dxa"/>
            </w:tcMar>
            <w:vAlign w:val="center"/>
          </w:tcPr>
          <w:p>
            <w:pPr>
              <w:pStyle w:val="TableContents"/>
              <w:bidi w:val="0"/>
              <w:spacing w:before="0" w:after="283"/>
              <w:jc w:val="left"/>
              <w:rPr/>
            </w:pPr>
            <w:r>
              <w:rPr/>
              <w:t> </w:t>
            </w:r>
          </w:p>
        </w:tc>
        <w:tc>
          <w:tcPr>
            <w:tcW w:w="129" w:type="dxa"/>
            <w:tcBorders/>
            <w:shd w:fill="CCEEFF" w:val="clear"/>
            <w:tcMar>
              <w:top w:w="0" w:type="dxa"/>
            </w:tcMar>
            <w:vAlign w:val="center"/>
          </w:tcPr>
          <w:p>
            <w:pPr>
              <w:pStyle w:val="TableContents"/>
              <w:bidi w:val="0"/>
              <w:spacing w:before="0" w:after="283"/>
              <w:jc w:val="left"/>
              <w:rPr/>
            </w:pPr>
            <w:r>
              <w:rPr/>
              <w:t> </w:t>
            </w:r>
          </w:p>
        </w:tc>
        <w:tc>
          <w:tcPr>
            <w:tcW w:w="850"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(1.37</w:t>
            </w:r>
          </w:p>
        </w:tc>
        <w:tc>
          <w:tcPr>
            <w:tcW w:w="495"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129" w:type="dxa"/>
            <w:tcBorders/>
            <w:shd w:fill="CCEEFF" w:val="clear"/>
            <w:tcMar>
              <w:top w:w="0" w:type="dxa"/>
            </w:tcMar>
            <w:vAlign w:val="center"/>
          </w:tcPr>
          <w:p>
            <w:pPr>
              <w:pStyle w:val="TableContents"/>
              <w:bidi w:val="0"/>
              <w:spacing w:before="0" w:after="283"/>
              <w:jc w:val="left"/>
              <w:rPr/>
            </w:pPr>
            <w:r>
              <w:rPr/>
              <w:t> </w:t>
            </w:r>
          </w:p>
        </w:tc>
        <w:tc>
          <w:tcPr>
            <w:tcW w:w="129" w:type="dxa"/>
            <w:tcBorders/>
            <w:shd w:fill="CCEEFF" w:val="clear"/>
            <w:tcMar>
              <w:top w:w="0" w:type="dxa"/>
            </w:tcMar>
            <w:vAlign w:val="center"/>
          </w:tcPr>
          <w:p>
            <w:pPr>
              <w:pStyle w:val="TableContents"/>
              <w:bidi w:val="0"/>
              <w:spacing w:before="0" w:after="283"/>
              <w:jc w:val="left"/>
              <w:rPr/>
            </w:pPr>
            <w:r>
              <w:rPr/>
              <w:t> </w:t>
            </w:r>
          </w:p>
        </w:tc>
        <w:tc>
          <w:tcPr>
            <w:tcW w:w="850"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(1.42</w:t>
            </w:r>
          </w:p>
        </w:tc>
        <w:tc>
          <w:tcPr>
            <w:tcW w:w="230" w:type="dxa"/>
            <w:tcBorders/>
            <w:shd w:fill="CCEEFF" w:val="clear"/>
            <w:tcMar>
              <w:top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r>
      <w:tr>
        <w:trPr/>
        <w:tc>
          <w:tcPr>
            <w:tcW w:w="1670"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March 31, 2025</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4.33</w:t>
            </w:r>
          </w:p>
        </w:tc>
        <w:tc>
          <w:tcPr>
            <w:tcW w:w="195"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9"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left"/>
              <w:rPr/>
            </w:pPr>
            <w:r>
              <w:rPr/>
              <w:t> </w:t>
            </w:r>
          </w:p>
        </w:tc>
        <w:tc>
          <w:tcPr>
            <w:tcW w:w="128"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left"/>
              <w:rPr/>
            </w:pPr>
            <w:r>
              <w:rPr/>
              <w:t> </w:t>
            </w:r>
          </w:p>
        </w:tc>
        <w:tc>
          <w:tcPr>
            <w:tcW w:w="717"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4.55</w:t>
            </w:r>
          </w:p>
        </w:tc>
        <w:tc>
          <w:tcPr>
            <w:tcW w:w="170"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left"/>
              <w:rPr/>
            </w:pPr>
            <w:r>
              <w:rPr/>
              <w:t> </w:t>
            </w:r>
          </w:p>
        </w:tc>
        <w:tc>
          <w:tcPr>
            <w:tcW w:w="121"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left"/>
              <w:rPr/>
            </w:pPr>
            <w:r>
              <w:rPr/>
              <w:t> </w:t>
            </w:r>
          </w:p>
        </w:tc>
        <w:tc>
          <w:tcPr>
            <w:tcW w:w="799"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(0.04</w:t>
            </w:r>
          </w:p>
        </w:tc>
        <w:tc>
          <w:tcPr>
            <w:tcW w:w="449"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117"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left"/>
              <w:rPr/>
            </w:pPr>
            <w:r>
              <w:rPr/>
              <w:t> </w:t>
            </w:r>
          </w:p>
        </w:tc>
        <w:tc>
          <w:tcPr>
            <w:tcW w:w="117"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left"/>
              <w:rPr/>
            </w:pPr>
            <w:r>
              <w:rPr/>
              <w:t> </w:t>
            </w:r>
          </w:p>
        </w:tc>
        <w:tc>
          <w:tcPr>
            <w:tcW w:w="771"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(0.26</w:t>
            </w:r>
          </w:p>
        </w:tc>
        <w:tc>
          <w:tcPr>
            <w:tcW w:w="230"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left"/>
              <w:rPr/>
            </w:pPr>
            <w:r>
              <w:rPr/>
              <w:t> </w:t>
            </w:r>
          </w:p>
        </w:tc>
        <w:tc>
          <w:tcPr>
            <w:tcW w:w="129"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left"/>
              <w:rPr/>
            </w:pPr>
            <w:r>
              <w:rPr/>
              <w:t> </w:t>
            </w:r>
          </w:p>
        </w:tc>
        <w:tc>
          <w:tcPr>
            <w:tcW w:w="850"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(1.50</w:t>
            </w:r>
          </w:p>
        </w:tc>
        <w:tc>
          <w:tcPr>
            <w:tcW w:w="495"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129"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left"/>
              <w:rPr/>
            </w:pPr>
            <w:r>
              <w:rPr/>
              <w:t> </w:t>
            </w:r>
          </w:p>
        </w:tc>
        <w:tc>
          <w:tcPr>
            <w:tcW w:w="129"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left"/>
              <w:rPr/>
            </w:pPr>
            <w:r>
              <w:rPr/>
              <w:t> </w:t>
            </w:r>
          </w:p>
        </w:tc>
        <w:tc>
          <w:tcPr>
            <w:tcW w:w="850"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(1.72</w:t>
            </w:r>
          </w:p>
        </w:tc>
        <w:tc>
          <w:tcPr>
            <w:tcW w:w="230"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r>
      <w:tr>
        <w:trPr/>
        <w:tc>
          <w:tcPr>
            <w:tcW w:w="167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rFonts w:ascii="Times New Roman" w:hAnsi="Times New Roman"/>
                <w:b/>
                <w:sz w:val="18"/>
              </w:rPr>
            </w:pPr>
            <w:r>
              <w:rPr>
                <w:rFonts w:ascii="Times New Roman" w:hAnsi="Times New Roman"/>
                <w:b/>
                <w:sz w:val="18"/>
              </w:rPr>
              <w:t>Six Months Ended</w:t>
            </w:r>
          </w:p>
        </w:tc>
        <w:tc>
          <w:tcPr>
            <w:tcW w:w="6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195"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69"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128"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717"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121"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799"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449"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117"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117"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771"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23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129"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85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495"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129"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129"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85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230" w:type="dxa"/>
            <w:tcBorders>
              <w:bottom w:val="single" w:sz="2" w:space="0" w:color="000000"/>
            </w:tcBorders>
            <w:shd w:fill="CCEEFF" w:val="clear"/>
            <w:tcMar>
              <w:top w:w="0" w:type="dxa"/>
              <w:bottom w:w="28" w:type="dxa"/>
            </w:tcMar>
            <w:vAlign w:val="center"/>
          </w:tcPr>
          <w:p>
            <w:pPr>
              <w:pStyle w:val="TableContents"/>
              <w:bidi w:val="0"/>
              <w:spacing w:before="0" w:after="0"/>
              <w:jc w:val="left"/>
              <w:rPr/>
            </w:pPr>
            <w:r>
              <w:rPr/>
              <w:t> </w:t>
            </w:r>
          </w:p>
        </w:tc>
      </w:tr>
      <w:tr>
        <w:trPr/>
        <w:tc>
          <w:tcPr>
            <w:tcW w:w="1670" w:type="dxa"/>
            <w:tcBorders/>
            <w:shd w:fill="FFFFFF" w:val="clear"/>
            <w:tcMar>
              <w:top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June 30, 2026</w:t>
            </w:r>
          </w:p>
        </w:tc>
        <w:tc>
          <w:tcPr>
            <w:tcW w:w="60" w:type="dxa"/>
            <w:tcBorders/>
            <w:shd w:fill="FFFFFF" w:val="clear"/>
            <w:tcMar>
              <w:top w:w="0" w:type="dxa"/>
            </w:tcMar>
            <w:vAlign w:val="center"/>
          </w:tcPr>
          <w:p>
            <w:pPr>
              <w:pStyle w:val="TableContents"/>
              <w:bidi w:val="0"/>
              <w:spacing w:before="0" w:after="283"/>
              <w:jc w:val="left"/>
              <w:rPr/>
            </w:pPr>
            <w:r>
              <w:rPr/>
              <w:t> </w:t>
            </w:r>
          </w:p>
        </w:tc>
        <w:tc>
          <w:tcPr>
            <w:tcW w:w="139" w:type="dxa"/>
            <w:tcBorders/>
            <w:shd w:fill="FFFFFF" w:val="clear"/>
            <w:tcMar>
              <w:top w:w="0" w:type="dxa"/>
            </w:tcMar>
            <w:vAlign w:val="center"/>
          </w:tcPr>
          <w:p>
            <w:pPr>
              <w:pStyle w:val="TableContents"/>
              <w:bidi w:val="0"/>
              <w:spacing w:before="0" w:after="283"/>
              <w:jc w:val="left"/>
              <w:rPr/>
            </w:pPr>
            <w:r>
              <w:rPr/>
              <w:t> </w:t>
            </w:r>
          </w:p>
        </w:tc>
        <w:tc>
          <w:tcPr>
            <w:tcW w:w="781"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3.64</w:t>
            </w:r>
          </w:p>
        </w:tc>
        <w:tc>
          <w:tcPr>
            <w:tcW w:w="195"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9" w:type="dxa"/>
            <w:tcBorders/>
            <w:shd w:fill="FFFFFF" w:val="clear"/>
            <w:tcMar>
              <w:top w:w="0" w:type="dxa"/>
            </w:tcMar>
            <w:vAlign w:val="center"/>
          </w:tcPr>
          <w:p>
            <w:pPr>
              <w:pStyle w:val="TableContents"/>
              <w:bidi w:val="0"/>
              <w:spacing w:before="0" w:after="283"/>
              <w:jc w:val="left"/>
              <w:rPr/>
            </w:pPr>
            <w:r>
              <w:rPr/>
              <w:t> </w:t>
            </w:r>
          </w:p>
        </w:tc>
        <w:tc>
          <w:tcPr>
            <w:tcW w:w="128" w:type="dxa"/>
            <w:tcBorders/>
            <w:shd w:fill="FFFFFF" w:val="clear"/>
            <w:tcMar>
              <w:top w:w="0" w:type="dxa"/>
            </w:tcMar>
            <w:vAlign w:val="center"/>
          </w:tcPr>
          <w:p>
            <w:pPr>
              <w:pStyle w:val="TableContents"/>
              <w:bidi w:val="0"/>
              <w:spacing w:before="0" w:after="283"/>
              <w:jc w:val="left"/>
              <w:rPr/>
            </w:pPr>
            <w:r>
              <w:rPr/>
              <w:t> </w:t>
            </w:r>
          </w:p>
        </w:tc>
        <w:tc>
          <w:tcPr>
            <w:tcW w:w="717"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3.77</w:t>
            </w:r>
          </w:p>
        </w:tc>
        <w:tc>
          <w:tcPr>
            <w:tcW w:w="170"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top w:w="0" w:type="dxa"/>
            </w:tcMar>
            <w:vAlign w:val="center"/>
          </w:tcPr>
          <w:p>
            <w:pPr>
              <w:pStyle w:val="TableContents"/>
              <w:bidi w:val="0"/>
              <w:spacing w:before="0" w:after="283"/>
              <w:jc w:val="left"/>
              <w:rPr/>
            </w:pPr>
            <w:r>
              <w:rPr/>
              <w:t> </w:t>
            </w:r>
          </w:p>
        </w:tc>
        <w:tc>
          <w:tcPr>
            <w:tcW w:w="121" w:type="dxa"/>
            <w:tcBorders/>
            <w:shd w:fill="FFFFFF" w:val="clear"/>
            <w:tcMar>
              <w:top w:w="0" w:type="dxa"/>
            </w:tcMar>
            <w:vAlign w:val="center"/>
          </w:tcPr>
          <w:p>
            <w:pPr>
              <w:pStyle w:val="TableContents"/>
              <w:bidi w:val="0"/>
              <w:spacing w:before="0" w:after="283"/>
              <w:jc w:val="left"/>
              <w:rPr/>
            </w:pPr>
            <w:r>
              <w:rPr/>
              <w:t> </w:t>
            </w:r>
          </w:p>
        </w:tc>
        <w:tc>
          <w:tcPr>
            <w:tcW w:w="799"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0.18</w:t>
            </w:r>
          </w:p>
        </w:tc>
        <w:tc>
          <w:tcPr>
            <w:tcW w:w="449"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117" w:type="dxa"/>
            <w:tcBorders/>
            <w:shd w:fill="FFFFFF" w:val="clear"/>
            <w:tcMar>
              <w:top w:w="0" w:type="dxa"/>
            </w:tcMar>
            <w:vAlign w:val="center"/>
          </w:tcPr>
          <w:p>
            <w:pPr>
              <w:pStyle w:val="TableContents"/>
              <w:bidi w:val="0"/>
              <w:spacing w:before="0" w:after="283"/>
              <w:jc w:val="left"/>
              <w:rPr/>
            </w:pPr>
            <w:r>
              <w:rPr/>
              <w:t> </w:t>
            </w:r>
          </w:p>
        </w:tc>
        <w:tc>
          <w:tcPr>
            <w:tcW w:w="117" w:type="dxa"/>
            <w:tcBorders/>
            <w:shd w:fill="FFFFFF" w:val="clear"/>
            <w:tcMar>
              <w:top w:w="0" w:type="dxa"/>
            </w:tcMar>
            <w:vAlign w:val="center"/>
          </w:tcPr>
          <w:p>
            <w:pPr>
              <w:pStyle w:val="TableContents"/>
              <w:bidi w:val="0"/>
              <w:spacing w:before="0" w:after="283"/>
              <w:jc w:val="left"/>
              <w:rPr/>
            </w:pPr>
            <w:r>
              <w:rPr/>
              <w:t> </w:t>
            </w:r>
          </w:p>
        </w:tc>
        <w:tc>
          <w:tcPr>
            <w:tcW w:w="771"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0.05</w:t>
            </w:r>
          </w:p>
        </w:tc>
        <w:tc>
          <w:tcPr>
            <w:tcW w:w="230"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top w:w="0" w:type="dxa"/>
            </w:tcMar>
            <w:vAlign w:val="center"/>
          </w:tcPr>
          <w:p>
            <w:pPr>
              <w:pStyle w:val="TableContents"/>
              <w:bidi w:val="0"/>
              <w:spacing w:before="0" w:after="283"/>
              <w:jc w:val="left"/>
              <w:rPr/>
            </w:pPr>
            <w:r>
              <w:rPr/>
              <w:t> </w:t>
            </w:r>
          </w:p>
        </w:tc>
        <w:tc>
          <w:tcPr>
            <w:tcW w:w="129" w:type="dxa"/>
            <w:tcBorders/>
            <w:shd w:fill="FFFFFF" w:val="clear"/>
            <w:tcMar>
              <w:top w:w="0" w:type="dxa"/>
            </w:tcMar>
            <w:vAlign w:val="center"/>
          </w:tcPr>
          <w:p>
            <w:pPr>
              <w:pStyle w:val="TableContents"/>
              <w:bidi w:val="0"/>
              <w:spacing w:before="0" w:after="283"/>
              <w:jc w:val="left"/>
              <w:rPr/>
            </w:pPr>
            <w:r>
              <w:rPr/>
              <w:t> </w:t>
            </w:r>
          </w:p>
        </w:tc>
        <w:tc>
          <w:tcPr>
            <w:tcW w:w="850"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(0.33</w:t>
            </w:r>
          </w:p>
        </w:tc>
        <w:tc>
          <w:tcPr>
            <w:tcW w:w="495"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129" w:type="dxa"/>
            <w:tcBorders/>
            <w:shd w:fill="FFFFFF" w:val="clear"/>
            <w:tcMar>
              <w:top w:w="0" w:type="dxa"/>
            </w:tcMar>
            <w:vAlign w:val="center"/>
          </w:tcPr>
          <w:p>
            <w:pPr>
              <w:pStyle w:val="TableContents"/>
              <w:bidi w:val="0"/>
              <w:spacing w:before="0" w:after="283"/>
              <w:jc w:val="left"/>
              <w:rPr/>
            </w:pPr>
            <w:r>
              <w:rPr/>
              <w:t> </w:t>
            </w:r>
          </w:p>
        </w:tc>
        <w:tc>
          <w:tcPr>
            <w:tcW w:w="129" w:type="dxa"/>
            <w:tcBorders/>
            <w:shd w:fill="FFFFFF" w:val="clear"/>
            <w:tcMar>
              <w:top w:w="0" w:type="dxa"/>
            </w:tcMar>
            <w:vAlign w:val="center"/>
          </w:tcPr>
          <w:p>
            <w:pPr>
              <w:pStyle w:val="TableContents"/>
              <w:bidi w:val="0"/>
              <w:spacing w:before="0" w:after="283"/>
              <w:jc w:val="left"/>
              <w:rPr/>
            </w:pPr>
            <w:r>
              <w:rPr/>
              <w:t> </w:t>
            </w:r>
          </w:p>
        </w:tc>
        <w:tc>
          <w:tcPr>
            <w:tcW w:w="850"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(0.46</w:t>
            </w:r>
          </w:p>
        </w:tc>
        <w:tc>
          <w:tcPr>
            <w:tcW w:w="230"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670" w:type="dxa"/>
            <w:tcBorders/>
            <w:shd w:fill="CCEEFF" w:val="clear"/>
            <w:tcMar>
              <w:top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June 30, 2025</w:t>
            </w:r>
          </w:p>
        </w:tc>
        <w:tc>
          <w:tcPr>
            <w:tcW w:w="60" w:type="dxa"/>
            <w:tcBorders/>
            <w:shd w:fill="CCEEFF" w:val="clear"/>
            <w:tcMar>
              <w:top w:w="0" w:type="dxa"/>
            </w:tcMar>
            <w:vAlign w:val="center"/>
          </w:tcPr>
          <w:p>
            <w:pPr>
              <w:pStyle w:val="TableContents"/>
              <w:bidi w:val="0"/>
              <w:spacing w:before="0" w:after="283"/>
              <w:jc w:val="left"/>
              <w:rPr/>
            </w:pPr>
            <w:r>
              <w:rPr/>
              <w:t> </w:t>
            </w:r>
          </w:p>
        </w:tc>
        <w:tc>
          <w:tcPr>
            <w:tcW w:w="139" w:type="dxa"/>
            <w:tcBorders/>
            <w:shd w:fill="CCEEFF" w:val="clear"/>
            <w:tcMar>
              <w:top w:w="0" w:type="dxa"/>
            </w:tcMar>
            <w:vAlign w:val="center"/>
          </w:tcPr>
          <w:p>
            <w:pPr>
              <w:pStyle w:val="TableContents"/>
              <w:bidi w:val="0"/>
              <w:spacing w:before="0" w:after="283"/>
              <w:jc w:val="left"/>
              <w:rPr/>
            </w:pPr>
            <w:r>
              <w:rPr/>
              <w:t> </w:t>
            </w:r>
          </w:p>
        </w:tc>
        <w:tc>
          <w:tcPr>
            <w:tcW w:w="781"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4.33</w:t>
            </w:r>
          </w:p>
        </w:tc>
        <w:tc>
          <w:tcPr>
            <w:tcW w:w="195"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9" w:type="dxa"/>
            <w:tcBorders/>
            <w:shd w:fill="CCEEFF" w:val="clear"/>
            <w:tcMar>
              <w:top w:w="0" w:type="dxa"/>
            </w:tcMar>
            <w:vAlign w:val="center"/>
          </w:tcPr>
          <w:p>
            <w:pPr>
              <w:pStyle w:val="TableContents"/>
              <w:bidi w:val="0"/>
              <w:spacing w:before="0" w:after="283"/>
              <w:jc w:val="left"/>
              <w:rPr/>
            </w:pPr>
            <w:r>
              <w:rPr/>
              <w:t> </w:t>
            </w:r>
          </w:p>
        </w:tc>
        <w:tc>
          <w:tcPr>
            <w:tcW w:w="128" w:type="dxa"/>
            <w:tcBorders/>
            <w:shd w:fill="CCEEFF" w:val="clear"/>
            <w:tcMar>
              <w:top w:w="0" w:type="dxa"/>
            </w:tcMar>
            <w:vAlign w:val="center"/>
          </w:tcPr>
          <w:p>
            <w:pPr>
              <w:pStyle w:val="TableContents"/>
              <w:bidi w:val="0"/>
              <w:spacing w:before="0" w:after="283"/>
              <w:jc w:val="left"/>
              <w:rPr/>
            </w:pPr>
            <w:r>
              <w:rPr/>
              <w:t> </w:t>
            </w:r>
          </w:p>
        </w:tc>
        <w:tc>
          <w:tcPr>
            <w:tcW w:w="717"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4.46</w:t>
            </w:r>
          </w:p>
        </w:tc>
        <w:tc>
          <w:tcPr>
            <w:tcW w:w="170"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top w:w="0" w:type="dxa"/>
            </w:tcMar>
            <w:vAlign w:val="center"/>
          </w:tcPr>
          <w:p>
            <w:pPr>
              <w:pStyle w:val="TableContents"/>
              <w:bidi w:val="0"/>
              <w:spacing w:before="0" w:after="283"/>
              <w:jc w:val="left"/>
              <w:rPr/>
            </w:pPr>
            <w:r>
              <w:rPr/>
              <w:t> </w:t>
            </w:r>
          </w:p>
        </w:tc>
        <w:tc>
          <w:tcPr>
            <w:tcW w:w="121" w:type="dxa"/>
            <w:tcBorders/>
            <w:shd w:fill="CCEEFF" w:val="clear"/>
            <w:tcMar>
              <w:top w:w="0" w:type="dxa"/>
            </w:tcMar>
            <w:vAlign w:val="center"/>
          </w:tcPr>
          <w:p>
            <w:pPr>
              <w:pStyle w:val="TableContents"/>
              <w:bidi w:val="0"/>
              <w:spacing w:before="0" w:after="283"/>
              <w:jc w:val="left"/>
              <w:rPr/>
            </w:pPr>
            <w:r>
              <w:rPr/>
              <w:t> </w:t>
            </w:r>
          </w:p>
        </w:tc>
        <w:tc>
          <w:tcPr>
            <w:tcW w:w="799"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(0.07</w:t>
            </w:r>
          </w:p>
        </w:tc>
        <w:tc>
          <w:tcPr>
            <w:tcW w:w="449"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117" w:type="dxa"/>
            <w:tcBorders/>
            <w:shd w:fill="CCEEFF" w:val="clear"/>
            <w:tcMar>
              <w:top w:w="0" w:type="dxa"/>
            </w:tcMar>
            <w:vAlign w:val="center"/>
          </w:tcPr>
          <w:p>
            <w:pPr>
              <w:pStyle w:val="TableContents"/>
              <w:bidi w:val="0"/>
              <w:spacing w:before="0" w:after="283"/>
              <w:jc w:val="left"/>
              <w:rPr/>
            </w:pPr>
            <w:r>
              <w:rPr/>
              <w:t> </w:t>
            </w:r>
          </w:p>
        </w:tc>
        <w:tc>
          <w:tcPr>
            <w:tcW w:w="117" w:type="dxa"/>
            <w:tcBorders/>
            <w:shd w:fill="CCEEFF" w:val="clear"/>
            <w:tcMar>
              <w:top w:w="0" w:type="dxa"/>
            </w:tcMar>
            <w:vAlign w:val="center"/>
          </w:tcPr>
          <w:p>
            <w:pPr>
              <w:pStyle w:val="TableContents"/>
              <w:bidi w:val="0"/>
              <w:spacing w:before="0" w:after="283"/>
              <w:jc w:val="left"/>
              <w:rPr/>
            </w:pPr>
            <w:r>
              <w:rPr/>
              <w:t> </w:t>
            </w:r>
          </w:p>
        </w:tc>
        <w:tc>
          <w:tcPr>
            <w:tcW w:w="771"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(0.20</w:t>
            </w:r>
          </w:p>
        </w:tc>
        <w:tc>
          <w:tcPr>
            <w:tcW w:w="230"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top w:w="0" w:type="dxa"/>
            </w:tcMar>
            <w:vAlign w:val="center"/>
          </w:tcPr>
          <w:p>
            <w:pPr>
              <w:pStyle w:val="TableContents"/>
              <w:bidi w:val="0"/>
              <w:spacing w:before="0" w:after="283"/>
              <w:jc w:val="left"/>
              <w:rPr/>
            </w:pPr>
            <w:r>
              <w:rPr/>
              <w:t> </w:t>
            </w:r>
          </w:p>
        </w:tc>
        <w:tc>
          <w:tcPr>
            <w:tcW w:w="129" w:type="dxa"/>
            <w:tcBorders/>
            <w:shd w:fill="CCEEFF" w:val="clear"/>
            <w:tcMar>
              <w:top w:w="0" w:type="dxa"/>
            </w:tcMar>
            <w:vAlign w:val="center"/>
          </w:tcPr>
          <w:p>
            <w:pPr>
              <w:pStyle w:val="TableContents"/>
              <w:bidi w:val="0"/>
              <w:spacing w:before="0" w:after="283"/>
              <w:jc w:val="left"/>
              <w:rPr/>
            </w:pPr>
            <w:r>
              <w:rPr/>
              <w:t> </w:t>
            </w:r>
          </w:p>
        </w:tc>
        <w:tc>
          <w:tcPr>
            <w:tcW w:w="850"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(1.44</w:t>
            </w:r>
          </w:p>
        </w:tc>
        <w:tc>
          <w:tcPr>
            <w:tcW w:w="495"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129" w:type="dxa"/>
            <w:tcBorders/>
            <w:shd w:fill="CCEEFF" w:val="clear"/>
            <w:tcMar>
              <w:top w:w="0" w:type="dxa"/>
            </w:tcMar>
            <w:vAlign w:val="center"/>
          </w:tcPr>
          <w:p>
            <w:pPr>
              <w:pStyle w:val="TableContents"/>
              <w:bidi w:val="0"/>
              <w:spacing w:before="0" w:after="283"/>
              <w:jc w:val="left"/>
              <w:rPr/>
            </w:pPr>
            <w:r>
              <w:rPr/>
              <w:t> </w:t>
            </w:r>
          </w:p>
        </w:tc>
        <w:tc>
          <w:tcPr>
            <w:tcW w:w="129" w:type="dxa"/>
            <w:tcBorders/>
            <w:shd w:fill="CCEEFF" w:val="clear"/>
            <w:tcMar>
              <w:top w:w="0" w:type="dxa"/>
            </w:tcMar>
            <w:vAlign w:val="center"/>
          </w:tcPr>
          <w:p>
            <w:pPr>
              <w:pStyle w:val="TableContents"/>
              <w:bidi w:val="0"/>
              <w:spacing w:before="0" w:after="283"/>
              <w:jc w:val="left"/>
              <w:rPr/>
            </w:pPr>
            <w:r>
              <w:rPr/>
              <w:t> </w:t>
            </w:r>
          </w:p>
        </w:tc>
        <w:tc>
          <w:tcPr>
            <w:tcW w:w="850"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(1.57</w:t>
            </w:r>
          </w:p>
        </w:tc>
        <w:tc>
          <w:tcPr>
            <w:tcW w:w="230"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Gains or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table below presents our gains or losses for the six and three months ended June 30, 2026 and 2025.</w:t>
      </w:r>
    </w:p>
    <w:p>
      <w:pPr>
        <w:pStyle w:val="TextBody"/>
        <w:bidi w:val="0"/>
        <w:spacing w:before="0" w:after="0"/>
        <w:ind w:left="0" w:right="0" w:firstLine="360"/>
        <w:jc w:val="left"/>
        <w:rPr>
          <w:caps w:val="false"/>
          <w:smallCaps w:val="false"/>
        </w:rPr>
      </w:pPr>
      <w:r>
        <w:rPr>
          <w:caps w:val="false"/>
          <w:smallCaps w:val="false"/>
        </w:rPr>
        <w:t> </w:t>
      </w:r>
    </w:p>
    <w:tbl>
      <w:tblPr>
        <w:tblW w:w="8960" w:type="dxa"/>
        <w:jc w:val="left"/>
        <w:tblInd w:w="0" w:type="dxa"/>
        <w:tblLayout w:type="fixed"/>
        <w:tblCellMar>
          <w:top w:w="0" w:type="dxa"/>
          <w:left w:w="0" w:type="dxa"/>
          <w:bottom w:w="28" w:type="dxa"/>
          <w:right w:w="0" w:type="dxa"/>
        </w:tblCellMar>
      </w:tblPr>
      <w:tblGrid>
        <w:gridCol w:w="3710"/>
        <w:gridCol w:w="60"/>
        <w:gridCol w:w="110"/>
        <w:gridCol w:w="665"/>
        <w:gridCol w:w="80"/>
        <w:gridCol w:w="60"/>
        <w:gridCol w:w="110"/>
        <w:gridCol w:w="665"/>
        <w:gridCol w:w="80"/>
        <w:gridCol w:w="60"/>
        <w:gridCol w:w="110"/>
        <w:gridCol w:w="665"/>
        <w:gridCol w:w="80"/>
        <w:gridCol w:w="60"/>
        <w:gridCol w:w="110"/>
        <w:gridCol w:w="575"/>
        <w:gridCol w:w="80"/>
        <w:gridCol w:w="60"/>
        <w:gridCol w:w="110"/>
        <w:gridCol w:w="575"/>
        <w:gridCol w:w="80"/>
        <w:gridCol w:w="60"/>
        <w:gridCol w:w="110"/>
        <w:gridCol w:w="605"/>
        <w:gridCol w:w="80"/>
      </w:tblGrid>
      <w:tr>
        <w:trPr/>
        <w:tc>
          <w:tcPr>
            <w:tcW w:w="371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665"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665"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665"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575"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575"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605"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71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605" w:type="dxa"/>
            <w:gridSpan w:val="10"/>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Six Months Ended June 30,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365" w:type="dxa"/>
            <w:gridSpan w:val="10"/>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Three Months Ended June 30,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71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2026</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2025</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Change</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8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2026</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8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2025</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Change</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71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Realized gains (losses) on sales of RMBS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924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(9,288</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10,212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885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(7,990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8,875</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71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Unrealized (losses) gains on RMBS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(143,270</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87,132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(230,402</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(27,302</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9,540</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(36,842</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371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(losses) gains on RMBS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(142,346</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77,844</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(220,190</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(26,417</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1,550</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(27,967</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371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Gains (losses) on interest rate futures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6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8,659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6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(23,630</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6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32,289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4,222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(8,688</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12,910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71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Gains (losses) on interest rate swaps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6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104,355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6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(100,251</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6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204,606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63,353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(37,408</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100,761</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71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Gains (losses) on payer swaptions (short positions)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6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932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6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6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932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932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932</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71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Losses on payer swaptions (long positions)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6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(1,490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6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6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(1,490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(1,490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(1,490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371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Losses on TBA securities (short positions)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6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(3,033</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6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(4,636</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6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1,603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(3,228</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(7,662</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4,434</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71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Gains on TBA securities (long positions)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6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930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6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572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6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(347</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472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(819</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371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Losses on U.S. Treasury securities (short positions)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(1,645</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(1,645</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(1,042</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(1,042</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371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gains (losses) from derivative instruments</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108,708</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(127,945</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236,653</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62,400</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(53,286</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115,686</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invest in RMBS with the intent to earn net income from the realized yield on those assets over their related funding and hedging costs, and not for the purpose of making short term gains from sales. However, we have sold, and may continue to sell, existing assets to acquire new assets, which our management believes might have higher risk-adjusted returns in light of current or anticipated interest rates, federal government programs or general economic conditions or to manage our balance sheet as part of our asset/liability management strategy. During the six months ended June 30, 2026, we received proceeds of $356.5 million from sales of RMBS, resulting in gains of approximately $0.9 million. During the six months ended June 30, 2025, we received proceeds of $733.9 million from sales of RMBS, resulting in losses of approximately $9.3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Realized and unrealized gains and losses on RMBS are driven in part by changes in yields and interest rates, the spreads that Agency RMBS trade relative to comparable duration U.S. Treasuries or swaps, as well as varying levels of demand for RMBS, which affect the pricing of the securities in our portfolio. The unrealized gains and losses on RMBS may also include the premium lost as a result of prepayments on the underlying mortgages, decreasing unrealized gains or increasing unrealized losses as prepayment speeds or premiums increase. To the extent RMBS are carried at a discount to par, unrealized gains or losses on RMBS would also include discount accreted as a result of prepayments on the underlying mortgages, increasing unrealized gains or decreasing unrealized losses as speeds on discounts increase. Gains and losses on interest rate futures contracts are affected by changes in implied forward rates during the reporting period. The table below presents historical interest rate data for each quarter in 2026 to date and 2025.</w:t>
      </w:r>
    </w:p>
    <w:p>
      <w:pPr>
        <w:pStyle w:val="TextBody"/>
        <w:bidi w:val="0"/>
        <w:spacing w:before="0" w:after="0"/>
        <w:ind w:left="0" w:right="0" w:hanging="0"/>
        <w:jc w:val="left"/>
        <w:rPr>
          <w:caps w:val="false"/>
          <w:smallCaps w:val="false"/>
        </w:rPr>
      </w:pPr>
      <w:r>
        <w:rPr>
          <w:caps w:val="false"/>
          <w:smallCaps w:val="false"/>
        </w:rPr>
        <w:t> </w:t>
      </w:r>
    </w:p>
    <w:tbl>
      <w:tblPr>
        <w:tblW w:w="6474" w:type="dxa"/>
        <w:jc w:val="left"/>
        <w:tblInd w:w="0" w:type="dxa"/>
        <w:tblLayout w:type="fixed"/>
        <w:tblCellMar>
          <w:top w:w="28" w:type="dxa"/>
          <w:left w:w="0" w:type="dxa"/>
          <w:bottom w:w="0" w:type="dxa"/>
          <w:right w:w="0" w:type="dxa"/>
        </w:tblCellMar>
      </w:tblPr>
      <w:tblGrid>
        <w:gridCol w:w="1445"/>
        <w:gridCol w:w="60"/>
        <w:gridCol w:w="110"/>
        <w:gridCol w:w="615"/>
        <w:gridCol w:w="170"/>
        <w:gridCol w:w="60"/>
        <w:gridCol w:w="110"/>
        <w:gridCol w:w="615"/>
        <w:gridCol w:w="170"/>
        <w:gridCol w:w="60"/>
        <w:gridCol w:w="130"/>
        <w:gridCol w:w="730"/>
        <w:gridCol w:w="170"/>
        <w:gridCol w:w="60"/>
        <w:gridCol w:w="130"/>
        <w:gridCol w:w="730"/>
        <w:gridCol w:w="170"/>
        <w:gridCol w:w="60"/>
        <w:gridCol w:w="107"/>
        <w:gridCol w:w="602"/>
        <w:gridCol w:w="170"/>
      </w:tblGrid>
      <w:tr>
        <w:trPr/>
        <w:tc>
          <w:tcPr>
            <w:tcW w:w="1445" w:type="dxa"/>
            <w:tcBorders>
              <w:top w:val="single" w:sz="2" w:space="0" w:color="000000"/>
            </w:tcBorders>
            <w:shd w:fill="FFFFFF" w:val="clear"/>
            <w:vAlign w:val="center"/>
          </w:tcPr>
          <w:p>
            <w:pPr>
              <w:pStyle w:val="TableContents"/>
              <w:bidi w:val="0"/>
              <w:spacing w:before="0" w:after="283"/>
              <w:jc w:val="left"/>
              <w:rPr/>
            </w:pPr>
            <w:r>
              <w:rPr/>
              <w:t> </w:t>
            </w:r>
          </w:p>
        </w:tc>
        <w:tc>
          <w:tcPr>
            <w:tcW w:w="60" w:type="dxa"/>
            <w:tcBorders>
              <w:top w:val="single" w:sz="2" w:space="0" w:color="000000"/>
            </w:tcBorders>
            <w:shd w:fill="FFFFFF" w:val="clear"/>
            <w:vAlign w:val="center"/>
          </w:tcPr>
          <w:p>
            <w:pPr>
              <w:pStyle w:val="TableContents"/>
              <w:bidi w:val="0"/>
              <w:spacing w:before="0" w:after="283"/>
              <w:ind w:left="0" w:right="0" w:hanging="0"/>
              <w:jc w:val="left"/>
              <w:rPr/>
            </w:pPr>
            <w:r>
              <w:rPr/>
              <w:t> </w:t>
            </w:r>
          </w:p>
        </w:tc>
        <w:tc>
          <w:tcPr>
            <w:tcW w:w="725" w:type="dxa"/>
            <w:gridSpan w:val="2"/>
            <w:tcBorders>
              <w:top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5 Year</w:t>
            </w:r>
          </w:p>
        </w:tc>
        <w:tc>
          <w:tcPr>
            <w:tcW w:w="170" w:type="dxa"/>
            <w:tcBorders>
              <w:top w:val="single" w:sz="2" w:space="0" w:color="000000"/>
            </w:tcBorders>
            <w:shd w:fill="FFFFFF" w:val="clear"/>
            <w:vAlign w:val="center"/>
          </w:tcPr>
          <w:p>
            <w:pPr>
              <w:pStyle w:val="TableContents"/>
              <w:bidi w:val="0"/>
              <w:spacing w:before="0" w:after="283"/>
              <w:jc w:val="left"/>
              <w:rPr/>
            </w:pPr>
            <w:r>
              <w:rPr/>
              <w:t> </w:t>
            </w:r>
          </w:p>
        </w:tc>
        <w:tc>
          <w:tcPr>
            <w:tcW w:w="60" w:type="dxa"/>
            <w:tcBorders>
              <w:top w:val="single" w:sz="2" w:space="0" w:color="000000"/>
            </w:tcBorders>
            <w:shd w:fill="FFFFFF" w:val="clear"/>
            <w:vAlign w:val="center"/>
          </w:tcPr>
          <w:p>
            <w:pPr>
              <w:pStyle w:val="TableContents"/>
              <w:bidi w:val="0"/>
              <w:spacing w:before="0" w:after="283"/>
              <w:ind w:left="0" w:right="0" w:hanging="0"/>
              <w:jc w:val="left"/>
              <w:rPr/>
            </w:pPr>
            <w:r>
              <w:rPr/>
              <w:t> </w:t>
            </w:r>
          </w:p>
        </w:tc>
        <w:tc>
          <w:tcPr>
            <w:tcW w:w="725" w:type="dxa"/>
            <w:gridSpan w:val="2"/>
            <w:tcBorders>
              <w:top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10 Year</w:t>
            </w:r>
          </w:p>
        </w:tc>
        <w:tc>
          <w:tcPr>
            <w:tcW w:w="170" w:type="dxa"/>
            <w:tcBorders>
              <w:top w:val="single" w:sz="2" w:space="0" w:color="000000"/>
            </w:tcBorders>
            <w:shd w:fill="FFFFFF" w:val="clear"/>
            <w:vAlign w:val="center"/>
          </w:tcPr>
          <w:p>
            <w:pPr>
              <w:pStyle w:val="TableContents"/>
              <w:bidi w:val="0"/>
              <w:spacing w:before="0" w:after="283"/>
              <w:jc w:val="left"/>
              <w:rPr/>
            </w:pPr>
            <w:r>
              <w:rPr/>
              <w:t> </w:t>
            </w:r>
          </w:p>
        </w:tc>
        <w:tc>
          <w:tcPr>
            <w:tcW w:w="60" w:type="dxa"/>
            <w:tcBorders>
              <w:top w:val="single" w:sz="2" w:space="0" w:color="000000"/>
            </w:tcBorders>
            <w:shd w:fill="FFFFFF" w:val="clear"/>
            <w:vAlign w:val="center"/>
          </w:tcPr>
          <w:p>
            <w:pPr>
              <w:pStyle w:val="TableContents"/>
              <w:bidi w:val="0"/>
              <w:spacing w:before="0" w:after="283"/>
              <w:ind w:left="0" w:right="0" w:hanging="0"/>
              <w:jc w:val="left"/>
              <w:rPr/>
            </w:pPr>
            <w:r>
              <w:rPr/>
              <w:t> </w:t>
            </w:r>
          </w:p>
        </w:tc>
        <w:tc>
          <w:tcPr>
            <w:tcW w:w="860" w:type="dxa"/>
            <w:gridSpan w:val="2"/>
            <w:tcBorders>
              <w:top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15 Year</w:t>
            </w:r>
          </w:p>
        </w:tc>
        <w:tc>
          <w:tcPr>
            <w:tcW w:w="170" w:type="dxa"/>
            <w:tcBorders>
              <w:top w:val="single" w:sz="2" w:space="0" w:color="000000"/>
            </w:tcBorders>
            <w:shd w:fill="FFFFFF" w:val="clear"/>
            <w:vAlign w:val="center"/>
          </w:tcPr>
          <w:p>
            <w:pPr>
              <w:pStyle w:val="TableContents"/>
              <w:bidi w:val="0"/>
              <w:spacing w:before="0" w:after="283"/>
              <w:jc w:val="left"/>
              <w:rPr/>
            </w:pPr>
            <w:r>
              <w:rPr/>
              <w:t> </w:t>
            </w:r>
          </w:p>
        </w:tc>
        <w:tc>
          <w:tcPr>
            <w:tcW w:w="60" w:type="dxa"/>
            <w:tcBorders>
              <w:top w:val="single" w:sz="2" w:space="0" w:color="000000"/>
            </w:tcBorders>
            <w:shd w:fill="FFFFFF" w:val="clear"/>
            <w:vAlign w:val="center"/>
          </w:tcPr>
          <w:p>
            <w:pPr>
              <w:pStyle w:val="TableContents"/>
              <w:bidi w:val="0"/>
              <w:spacing w:before="0" w:after="283"/>
              <w:ind w:left="0" w:right="0" w:hanging="0"/>
              <w:jc w:val="left"/>
              <w:rPr/>
            </w:pPr>
            <w:r>
              <w:rPr/>
              <w:t> </w:t>
            </w:r>
          </w:p>
        </w:tc>
        <w:tc>
          <w:tcPr>
            <w:tcW w:w="860" w:type="dxa"/>
            <w:gridSpan w:val="2"/>
            <w:tcBorders>
              <w:top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30 Year</w:t>
            </w:r>
          </w:p>
        </w:tc>
        <w:tc>
          <w:tcPr>
            <w:tcW w:w="170" w:type="dxa"/>
            <w:tcBorders>
              <w:top w:val="single" w:sz="2" w:space="0" w:color="000000"/>
            </w:tcBorders>
            <w:shd w:fill="FFFFFF" w:val="clear"/>
            <w:vAlign w:val="center"/>
          </w:tcPr>
          <w:p>
            <w:pPr>
              <w:pStyle w:val="TableContents"/>
              <w:bidi w:val="0"/>
              <w:spacing w:before="0" w:after="283"/>
              <w:jc w:val="left"/>
              <w:rPr/>
            </w:pPr>
            <w:r>
              <w:rPr/>
              <w:t> </w:t>
            </w:r>
          </w:p>
        </w:tc>
        <w:tc>
          <w:tcPr>
            <w:tcW w:w="60" w:type="dxa"/>
            <w:tcBorders>
              <w:top w:val="single" w:sz="2" w:space="0" w:color="000000"/>
            </w:tcBorders>
            <w:shd w:fill="FFFFFF" w:val="clear"/>
            <w:vAlign w:val="center"/>
          </w:tcPr>
          <w:p>
            <w:pPr>
              <w:pStyle w:val="TableContents"/>
              <w:bidi w:val="0"/>
              <w:spacing w:before="0" w:after="283"/>
              <w:ind w:left="0" w:right="0" w:hanging="0"/>
              <w:jc w:val="left"/>
              <w:rPr/>
            </w:pPr>
            <w:r>
              <w:rPr/>
              <w:t> </w:t>
            </w:r>
          </w:p>
        </w:tc>
        <w:tc>
          <w:tcPr>
            <w:tcW w:w="709" w:type="dxa"/>
            <w:gridSpan w:val="2"/>
            <w:tcBorders>
              <w:top w:val="single" w:sz="2" w:space="0" w:color="000000"/>
            </w:tcBorders>
            <w:shd w:fill="FFFFFF" w:val="clear"/>
            <w:vAlign w:val="center"/>
          </w:tcPr>
          <w:p>
            <w:pPr>
              <w:pStyle w:val="TableContents"/>
              <w:bidi w:val="0"/>
              <w:spacing w:before="0" w:after="283"/>
              <w:jc w:val="center"/>
              <w:rPr/>
            </w:pPr>
            <w:r>
              <w:rPr/>
              <w:t> </w:t>
            </w:r>
          </w:p>
        </w:tc>
        <w:tc>
          <w:tcPr>
            <w:tcW w:w="170" w:type="dxa"/>
            <w:tcBorders>
              <w:top w:val="single" w:sz="2" w:space="0" w:color="000000"/>
            </w:tcBorders>
            <w:shd w:fill="FFFFFF" w:val="clear"/>
            <w:vAlign w:val="center"/>
          </w:tcPr>
          <w:p>
            <w:pPr>
              <w:pStyle w:val="TableContents"/>
              <w:bidi w:val="0"/>
              <w:spacing w:before="0" w:after="283"/>
              <w:jc w:val="left"/>
              <w:rPr/>
            </w:pPr>
            <w:r>
              <w:rPr/>
              <w:t> </w:t>
            </w:r>
          </w:p>
        </w:tc>
      </w:tr>
      <w:tr>
        <w:trPr/>
        <w:tc>
          <w:tcPr>
            <w:tcW w:w="1445"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725" w:type="dxa"/>
            <w:gridSpan w:val="2"/>
            <w:tcBorders/>
            <w:shd w:fill="FFFFFF" w:val="clear"/>
            <w:tcMar>
              <w:top w:w="0" w:type="dxa"/>
            </w:tcMar>
            <w:vAlign w:val="center"/>
          </w:tcPr>
          <w:p>
            <w:pPr>
              <w:pStyle w:val="TableContents"/>
              <w:bidi w:val="0"/>
              <w:spacing w:before="0" w:after="283"/>
              <w:jc w:val="center"/>
              <w:rPr>
                <w:rFonts w:ascii="Times New Roman" w:hAnsi="Times New Roman"/>
                <w:b/>
                <w:sz w:val="18"/>
              </w:rPr>
            </w:pPr>
            <w:r>
              <w:rPr>
                <w:rFonts w:ascii="Times New Roman" w:hAnsi="Times New Roman"/>
                <w:b/>
                <w:sz w:val="18"/>
              </w:rPr>
              <w:t>U.S.</w:t>
            </w:r>
          </w:p>
        </w:tc>
        <w:tc>
          <w:tcPr>
            <w:tcW w:w="17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725" w:type="dxa"/>
            <w:gridSpan w:val="2"/>
            <w:tcBorders/>
            <w:shd w:fill="FFFFFF" w:val="clear"/>
            <w:tcMar>
              <w:top w:w="0" w:type="dxa"/>
            </w:tcMar>
            <w:vAlign w:val="center"/>
          </w:tcPr>
          <w:p>
            <w:pPr>
              <w:pStyle w:val="TableContents"/>
              <w:bidi w:val="0"/>
              <w:spacing w:before="0" w:after="283"/>
              <w:jc w:val="center"/>
              <w:rPr>
                <w:rFonts w:ascii="Times New Roman" w:hAnsi="Times New Roman"/>
                <w:b/>
                <w:sz w:val="18"/>
              </w:rPr>
            </w:pPr>
            <w:r>
              <w:rPr>
                <w:rFonts w:ascii="Times New Roman" w:hAnsi="Times New Roman"/>
                <w:b/>
                <w:sz w:val="18"/>
              </w:rPr>
              <w:t>U.S.</w:t>
            </w:r>
          </w:p>
        </w:tc>
        <w:tc>
          <w:tcPr>
            <w:tcW w:w="17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860" w:type="dxa"/>
            <w:gridSpan w:val="2"/>
            <w:tcBorders/>
            <w:shd w:fill="FFFFFF" w:val="clear"/>
            <w:tcMar>
              <w:top w:w="0" w:type="dxa"/>
            </w:tcMar>
            <w:vAlign w:val="center"/>
          </w:tcPr>
          <w:p>
            <w:pPr>
              <w:pStyle w:val="TableContents"/>
              <w:bidi w:val="0"/>
              <w:spacing w:before="0" w:after="283"/>
              <w:jc w:val="center"/>
              <w:rPr>
                <w:rFonts w:ascii="Times New Roman" w:hAnsi="Times New Roman"/>
                <w:b/>
                <w:sz w:val="18"/>
              </w:rPr>
            </w:pPr>
            <w:r>
              <w:rPr>
                <w:rFonts w:ascii="Times New Roman" w:hAnsi="Times New Roman"/>
                <w:b/>
                <w:sz w:val="18"/>
              </w:rPr>
              <w:t>Fixed-Rate</w:t>
            </w:r>
          </w:p>
        </w:tc>
        <w:tc>
          <w:tcPr>
            <w:tcW w:w="17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860" w:type="dxa"/>
            <w:gridSpan w:val="2"/>
            <w:tcBorders/>
            <w:shd w:fill="FFFFFF" w:val="clear"/>
            <w:tcMar>
              <w:top w:w="0" w:type="dxa"/>
            </w:tcMar>
            <w:vAlign w:val="center"/>
          </w:tcPr>
          <w:p>
            <w:pPr>
              <w:pStyle w:val="TableContents"/>
              <w:bidi w:val="0"/>
              <w:spacing w:before="0" w:after="283"/>
              <w:jc w:val="center"/>
              <w:rPr>
                <w:rFonts w:ascii="Times New Roman" w:hAnsi="Times New Roman"/>
                <w:b/>
                <w:sz w:val="18"/>
              </w:rPr>
            </w:pPr>
            <w:r>
              <w:rPr>
                <w:rFonts w:ascii="Times New Roman" w:hAnsi="Times New Roman"/>
                <w:b/>
                <w:sz w:val="18"/>
              </w:rPr>
              <w:t>Fixed-Rate</w:t>
            </w:r>
          </w:p>
        </w:tc>
        <w:tc>
          <w:tcPr>
            <w:tcW w:w="17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709" w:type="dxa"/>
            <w:gridSpan w:val="2"/>
            <w:tcBorders/>
            <w:shd w:fill="FFFFFF" w:val="clear"/>
            <w:tcMar>
              <w:top w:w="0" w:type="dxa"/>
            </w:tcMar>
            <w:vAlign w:val="center"/>
          </w:tcPr>
          <w:p>
            <w:pPr>
              <w:pStyle w:val="TableContents"/>
              <w:bidi w:val="0"/>
              <w:spacing w:before="0" w:after="283"/>
              <w:jc w:val="center"/>
              <w:rPr>
                <w:rFonts w:ascii="Times New Roman" w:hAnsi="Times New Roman"/>
                <w:b/>
                <w:sz w:val="18"/>
              </w:rPr>
            </w:pPr>
            <w:r>
              <w:rPr>
                <w:rFonts w:ascii="Times New Roman" w:hAnsi="Times New Roman"/>
                <w:b/>
                <w:sz w:val="18"/>
              </w:rPr>
              <w:t>90 Day</w:t>
            </w:r>
          </w:p>
        </w:tc>
        <w:tc>
          <w:tcPr>
            <w:tcW w:w="170" w:type="dxa"/>
            <w:tcBorders/>
            <w:shd w:fill="FFFFFF" w:val="clear"/>
            <w:tcMar>
              <w:top w:w="0" w:type="dxa"/>
            </w:tcMar>
            <w:vAlign w:val="center"/>
          </w:tcPr>
          <w:p>
            <w:pPr>
              <w:pStyle w:val="TableContents"/>
              <w:bidi w:val="0"/>
              <w:spacing w:before="0" w:after="283"/>
              <w:jc w:val="left"/>
              <w:rPr/>
            </w:pPr>
            <w:r>
              <w:rPr/>
              <w:t> </w:t>
            </w:r>
          </w:p>
        </w:tc>
      </w:tr>
      <w:tr>
        <w:trPr/>
        <w:tc>
          <w:tcPr>
            <w:tcW w:w="1445"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725" w:type="dxa"/>
            <w:gridSpan w:val="2"/>
            <w:tcBorders/>
            <w:shd w:fill="FFFFFF" w:val="clear"/>
            <w:tcMar>
              <w:top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Treasury</w:t>
            </w:r>
          </w:p>
        </w:tc>
        <w:tc>
          <w:tcPr>
            <w:tcW w:w="17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725" w:type="dxa"/>
            <w:gridSpan w:val="2"/>
            <w:tcBorders/>
            <w:shd w:fill="FFFFFF" w:val="clear"/>
            <w:tcMar>
              <w:top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Treasury</w:t>
            </w:r>
          </w:p>
        </w:tc>
        <w:tc>
          <w:tcPr>
            <w:tcW w:w="17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860" w:type="dxa"/>
            <w:gridSpan w:val="2"/>
            <w:tcBorders/>
            <w:shd w:fill="FFFFFF" w:val="clear"/>
            <w:tcMar>
              <w:top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Mortgage</w:t>
            </w:r>
          </w:p>
        </w:tc>
        <w:tc>
          <w:tcPr>
            <w:tcW w:w="17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860" w:type="dxa"/>
            <w:gridSpan w:val="2"/>
            <w:tcBorders/>
            <w:shd w:fill="FFFFFF" w:val="clear"/>
            <w:tcMar>
              <w:top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Mortgage</w:t>
            </w:r>
          </w:p>
        </w:tc>
        <w:tc>
          <w:tcPr>
            <w:tcW w:w="17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709" w:type="dxa"/>
            <w:gridSpan w:val="2"/>
            <w:tcBorders/>
            <w:shd w:fill="FFFFFF" w:val="clear"/>
            <w:tcMar>
              <w:top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Average</w:t>
            </w:r>
          </w:p>
        </w:tc>
        <w:tc>
          <w:tcPr>
            <w:tcW w:w="170" w:type="dxa"/>
            <w:tcBorders/>
            <w:shd w:fill="FFFFFF" w:val="clear"/>
            <w:tcMar>
              <w:top w:w="0" w:type="dxa"/>
            </w:tcMar>
            <w:vAlign w:val="center"/>
          </w:tcPr>
          <w:p>
            <w:pPr>
              <w:pStyle w:val="TableContents"/>
              <w:bidi w:val="0"/>
              <w:spacing w:before="0" w:after="283"/>
              <w:jc w:val="left"/>
              <w:rPr/>
            </w:pPr>
            <w:r>
              <w:rPr/>
              <w:t> </w:t>
            </w:r>
          </w:p>
        </w:tc>
      </w:tr>
      <w:tr>
        <w:trPr/>
        <w:tc>
          <w:tcPr>
            <w:tcW w:w="1445"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top w:w="0" w:type="dxa"/>
              <w:bottom w:w="28" w:type="dxa"/>
            </w:tcMar>
            <w:vAlign w:val="center"/>
          </w:tcPr>
          <w:p>
            <w:pPr>
              <w:pStyle w:val="TableContents"/>
              <w:bidi w:val="0"/>
              <w:spacing w:lineRule="auto" w:line="288"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Rate(1)</w:t>
            </w:r>
          </w:p>
        </w:tc>
        <w:tc>
          <w:tcPr>
            <w:tcW w:w="17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top w:w="0" w:type="dxa"/>
              <w:bottom w:w="28" w:type="dxa"/>
            </w:tcMar>
            <w:vAlign w:val="center"/>
          </w:tcPr>
          <w:p>
            <w:pPr>
              <w:pStyle w:val="TableContents"/>
              <w:bidi w:val="0"/>
              <w:spacing w:lineRule="auto" w:line="288"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Rate(1)</w:t>
            </w:r>
          </w:p>
        </w:tc>
        <w:tc>
          <w:tcPr>
            <w:tcW w:w="17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tcMar>
              <w:top w:w="0" w:type="dxa"/>
              <w:bottom w:w="28" w:type="dxa"/>
            </w:tcMar>
            <w:vAlign w:val="center"/>
          </w:tcPr>
          <w:p>
            <w:pPr>
              <w:pStyle w:val="TableContents"/>
              <w:bidi w:val="0"/>
              <w:spacing w:lineRule="auto" w:line="288"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Rate(2)</w:t>
            </w:r>
          </w:p>
        </w:tc>
        <w:tc>
          <w:tcPr>
            <w:tcW w:w="17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tcMar>
              <w:top w:w="0" w:type="dxa"/>
              <w:bottom w:w="28" w:type="dxa"/>
            </w:tcMar>
            <w:vAlign w:val="center"/>
          </w:tcPr>
          <w:p>
            <w:pPr>
              <w:pStyle w:val="TableContents"/>
              <w:bidi w:val="0"/>
              <w:spacing w:lineRule="auto" w:line="288"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Rate(2)</w:t>
            </w:r>
          </w:p>
        </w:tc>
        <w:tc>
          <w:tcPr>
            <w:tcW w:w="17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709" w:type="dxa"/>
            <w:gridSpan w:val="2"/>
            <w:tcBorders>
              <w:bottom w:val="single" w:sz="2" w:space="0" w:color="000000"/>
            </w:tcBorders>
            <w:shd w:fill="FFFFFF" w:val="clear"/>
            <w:tcMar>
              <w:top w:w="0" w:type="dxa"/>
              <w:bottom w:w="28" w:type="dxa"/>
            </w:tcMar>
            <w:vAlign w:val="center"/>
          </w:tcPr>
          <w:p>
            <w:pPr>
              <w:pStyle w:val="TableContents"/>
              <w:bidi w:val="0"/>
              <w:spacing w:lineRule="auto" w:line="288"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SOFR(3)</w:t>
            </w:r>
          </w:p>
        </w:tc>
        <w:tc>
          <w:tcPr>
            <w:tcW w:w="17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r>
      <w:tr>
        <w:trPr/>
        <w:tc>
          <w:tcPr>
            <w:tcW w:w="1445" w:type="dxa"/>
            <w:tcBorders/>
            <w:shd w:fill="CCEEFF" w:val="clear"/>
            <w:tcMar>
              <w:top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June 30, 2026</w:t>
            </w:r>
          </w:p>
        </w:tc>
        <w:tc>
          <w:tcPr>
            <w:tcW w:w="60" w:type="dxa"/>
            <w:tcBorders/>
            <w:shd w:fill="CCEEFF" w:val="clear"/>
            <w:tcMar>
              <w:top w:w="0" w:type="dxa"/>
            </w:tcMar>
            <w:vAlign w:val="center"/>
          </w:tcPr>
          <w:p>
            <w:pPr>
              <w:pStyle w:val="TableContents"/>
              <w:bidi w:val="0"/>
              <w:spacing w:before="0" w:after="283"/>
              <w:jc w:val="left"/>
              <w:rPr/>
            </w:pPr>
            <w:r>
              <w:rPr/>
              <w:t> </w:t>
            </w:r>
          </w:p>
        </w:tc>
        <w:tc>
          <w:tcPr>
            <w:tcW w:w="110" w:type="dxa"/>
            <w:tcBorders/>
            <w:shd w:fill="CCEEFF" w:val="clear"/>
            <w:tcMar>
              <w:top w:w="0" w:type="dxa"/>
            </w:tcMar>
            <w:vAlign w:val="center"/>
          </w:tcPr>
          <w:p>
            <w:pPr>
              <w:pStyle w:val="TableContents"/>
              <w:bidi w:val="0"/>
              <w:spacing w:before="0" w:after="283"/>
              <w:jc w:val="left"/>
              <w:rPr/>
            </w:pPr>
            <w:r>
              <w:rPr/>
              <w:t> </w:t>
            </w:r>
          </w:p>
        </w:tc>
        <w:tc>
          <w:tcPr>
            <w:tcW w:w="615"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4.19</w:t>
            </w:r>
          </w:p>
        </w:tc>
        <w:tc>
          <w:tcPr>
            <w:tcW w:w="170"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top w:w="0" w:type="dxa"/>
            </w:tcMar>
            <w:vAlign w:val="center"/>
          </w:tcPr>
          <w:p>
            <w:pPr>
              <w:pStyle w:val="TableContents"/>
              <w:bidi w:val="0"/>
              <w:spacing w:before="0" w:after="283"/>
              <w:jc w:val="left"/>
              <w:rPr/>
            </w:pPr>
            <w:r>
              <w:rPr/>
              <w:t> </w:t>
            </w:r>
          </w:p>
        </w:tc>
        <w:tc>
          <w:tcPr>
            <w:tcW w:w="110" w:type="dxa"/>
            <w:tcBorders/>
            <w:shd w:fill="CCEEFF" w:val="clear"/>
            <w:tcMar>
              <w:top w:w="0" w:type="dxa"/>
            </w:tcMar>
            <w:vAlign w:val="center"/>
          </w:tcPr>
          <w:p>
            <w:pPr>
              <w:pStyle w:val="TableContents"/>
              <w:bidi w:val="0"/>
              <w:spacing w:before="0" w:after="283"/>
              <w:jc w:val="left"/>
              <w:rPr/>
            </w:pPr>
            <w:r>
              <w:rPr/>
              <w:t> </w:t>
            </w:r>
          </w:p>
        </w:tc>
        <w:tc>
          <w:tcPr>
            <w:tcW w:w="615"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4.42</w:t>
            </w:r>
          </w:p>
        </w:tc>
        <w:tc>
          <w:tcPr>
            <w:tcW w:w="170"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top w:w="0" w:type="dxa"/>
            </w:tcMar>
            <w:vAlign w:val="center"/>
          </w:tcPr>
          <w:p>
            <w:pPr>
              <w:pStyle w:val="TableContents"/>
              <w:bidi w:val="0"/>
              <w:spacing w:before="0" w:after="283"/>
              <w:jc w:val="left"/>
              <w:rPr/>
            </w:pPr>
            <w:r>
              <w:rPr/>
              <w:t> </w:t>
            </w:r>
          </w:p>
        </w:tc>
        <w:tc>
          <w:tcPr>
            <w:tcW w:w="130" w:type="dxa"/>
            <w:tcBorders/>
            <w:shd w:fill="CCEEFF" w:val="clear"/>
            <w:tcMar>
              <w:top w:w="0" w:type="dxa"/>
            </w:tcMar>
            <w:vAlign w:val="center"/>
          </w:tcPr>
          <w:p>
            <w:pPr>
              <w:pStyle w:val="TableContents"/>
              <w:bidi w:val="0"/>
              <w:spacing w:before="0" w:after="283"/>
              <w:jc w:val="left"/>
              <w:rPr/>
            </w:pPr>
            <w:r>
              <w:rPr/>
              <w:t> </w:t>
            </w:r>
          </w:p>
        </w:tc>
        <w:tc>
          <w:tcPr>
            <w:tcW w:w="730"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5.82</w:t>
            </w:r>
          </w:p>
        </w:tc>
        <w:tc>
          <w:tcPr>
            <w:tcW w:w="170"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top w:w="0" w:type="dxa"/>
            </w:tcMar>
            <w:vAlign w:val="center"/>
          </w:tcPr>
          <w:p>
            <w:pPr>
              <w:pStyle w:val="TableContents"/>
              <w:bidi w:val="0"/>
              <w:spacing w:before="0" w:after="283"/>
              <w:jc w:val="left"/>
              <w:rPr/>
            </w:pPr>
            <w:r>
              <w:rPr/>
              <w:t> </w:t>
            </w:r>
          </w:p>
        </w:tc>
        <w:tc>
          <w:tcPr>
            <w:tcW w:w="130" w:type="dxa"/>
            <w:tcBorders/>
            <w:shd w:fill="CCEEFF" w:val="clear"/>
            <w:tcMar>
              <w:top w:w="0" w:type="dxa"/>
            </w:tcMar>
            <w:vAlign w:val="center"/>
          </w:tcPr>
          <w:p>
            <w:pPr>
              <w:pStyle w:val="TableContents"/>
              <w:bidi w:val="0"/>
              <w:spacing w:before="0" w:after="283"/>
              <w:jc w:val="left"/>
              <w:rPr/>
            </w:pPr>
            <w:r>
              <w:rPr/>
              <w:t> </w:t>
            </w:r>
          </w:p>
        </w:tc>
        <w:tc>
          <w:tcPr>
            <w:tcW w:w="730"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6.43</w:t>
            </w:r>
          </w:p>
        </w:tc>
        <w:tc>
          <w:tcPr>
            <w:tcW w:w="170"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top w:w="0" w:type="dxa"/>
            </w:tcMar>
            <w:vAlign w:val="center"/>
          </w:tcPr>
          <w:p>
            <w:pPr>
              <w:pStyle w:val="TableContents"/>
              <w:bidi w:val="0"/>
              <w:spacing w:before="0" w:after="283"/>
              <w:jc w:val="left"/>
              <w:rPr/>
            </w:pPr>
            <w:r>
              <w:rPr/>
              <w:t> </w:t>
            </w:r>
          </w:p>
        </w:tc>
        <w:tc>
          <w:tcPr>
            <w:tcW w:w="107" w:type="dxa"/>
            <w:tcBorders/>
            <w:shd w:fill="CCEEFF" w:val="clear"/>
            <w:tcMar>
              <w:top w:w="0" w:type="dxa"/>
            </w:tcMar>
            <w:vAlign w:val="center"/>
          </w:tcPr>
          <w:p>
            <w:pPr>
              <w:pStyle w:val="TableContents"/>
              <w:bidi w:val="0"/>
              <w:spacing w:before="0" w:after="283"/>
              <w:jc w:val="left"/>
              <w:rPr/>
            </w:pPr>
            <w:r>
              <w:rPr/>
              <w:t> </w:t>
            </w:r>
          </w:p>
        </w:tc>
        <w:tc>
          <w:tcPr>
            <w:tcW w:w="602"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3.63</w:t>
            </w:r>
          </w:p>
        </w:tc>
        <w:tc>
          <w:tcPr>
            <w:tcW w:w="170"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445" w:type="dxa"/>
            <w:tcBorders/>
            <w:shd w:fill="FFFF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March 31, 2026</w:t>
            </w:r>
          </w:p>
        </w:tc>
        <w:tc>
          <w:tcPr>
            <w:tcW w:w="60" w:type="dxa"/>
            <w:tcBorders/>
            <w:shd w:fill="FFFFFF" w:val="clear"/>
            <w:tcMar>
              <w:top w:w="0" w:type="dxa"/>
            </w:tcMar>
            <w:vAlign w:val="center"/>
          </w:tcPr>
          <w:p>
            <w:pPr>
              <w:pStyle w:val="TableContents"/>
              <w:bidi w:val="0"/>
              <w:spacing w:before="0" w:after="283"/>
              <w:jc w:val="left"/>
              <w:rPr/>
            </w:pPr>
            <w:r>
              <w:rPr/>
              <w:t> </w:t>
            </w:r>
          </w:p>
        </w:tc>
        <w:tc>
          <w:tcPr>
            <w:tcW w:w="110" w:type="dxa"/>
            <w:tcBorders/>
            <w:shd w:fill="FFFFFF" w:val="clear"/>
            <w:tcMar>
              <w:top w:w="0" w:type="dxa"/>
            </w:tcMar>
            <w:vAlign w:val="center"/>
          </w:tcPr>
          <w:p>
            <w:pPr>
              <w:pStyle w:val="TableContents"/>
              <w:bidi w:val="0"/>
              <w:spacing w:before="0" w:after="283"/>
              <w:ind w:left="0" w:right="0" w:hanging="0"/>
              <w:jc w:val="left"/>
              <w:rPr/>
            </w:pPr>
            <w:r>
              <w:rPr/>
              <w:t> </w:t>
            </w:r>
          </w:p>
        </w:tc>
        <w:tc>
          <w:tcPr>
            <w:tcW w:w="615" w:type="dxa"/>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3.95</w:t>
            </w:r>
          </w:p>
        </w:tc>
        <w:tc>
          <w:tcPr>
            <w:tcW w:w="170"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top w:w="0" w:type="dxa"/>
            </w:tcMar>
            <w:vAlign w:val="center"/>
          </w:tcPr>
          <w:p>
            <w:pPr>
              <w:pStyle w:val="TableContents"/>
              <w:bidi w:val="0"/>
              <w:spacing w:before="0" w:after="283"/>
              <w:jc w:val="left"/>
              <w:rPr/>
            </w:pPr>
            <w:r>
              <w:rPr/>
              <w:t> </w:t>
            </w:r>
          </w:p>
        </w:tc>
        <w:tc>
          <w:tcPr>
            <w:tcW w:w="110" w:type="dxa"/>
            <w:tcBorders/>
            <w:shd w:fill="FFFFFF" w:val="clear"/>
            <w:tcMar>
              <w:top w:w="0" w:type="dxa"/>
            </w:tcMar>
            <w:vAlign w:val="center"/>
          </w:tcPr>
          <w:p>
            <w:pPr>
              <w:pStyle w:val="TableContents"/>
              <w:bidi w:val="0"/>
              <w:spacing w:before="0" w:after="283"/>
              <w:ind w:left="0" w:right="0" w:hanging="0"/>
              <w:jc w:val="left"/>
              <w:rPr/>
            </w:pPr>
            <w:r>
              <w:rPr/>
              <w:t> </w:t>
            </w:r>
          </w:p>
        </w:tc>
        <w:tc>
          <w:tcPr>
            <w:tcW w:w="615" w:type="dxa"/>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4.31</w:t>
            </w:r>
          </w:p>
        </w:tc>
        <w:tc>
          <w:tcPr>
            <w:tcW w:w="170"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top w:w="0" w:type="dxa"/>
            </w:tcMar>
            <w:vAlign w:val="center"/>
          </w:tcPr>
          <w:p>
            <w:pPr>
              <w:pStyle w:val="TableContents"/>
              <w:bidi w:val="0"/>
              <w:spacing w:before="0" w:after="283"/>
              <w:jc w:val="left"/>
              <w:rPr/>
            </w:pPr>
            <w:r>
              <w:rPr/>
              <w:t> </w:t>
            </w:r>
          </w:p>
        </w:tc>
        <w:tc>
          <w:tcPr>
            <w:tcW w:w="130" w:type="dxa"/>
            <w:tcBorders/>
            <w:shd w:fill="FFFFFF" w:val="clear"/>
            <w:tcMar>
              <w:top w:w="0" w:type="dxa"/>
            </w:tcMar>
            <w:vAlign w:val="center"/>
          </w:tcPr>
          <w:p>
            <w:pPr>
              <w:pStyle w:val="TableContents"/>
              <w:bidi w:val="0"/>
              <w:spacing w:before="0" w:after="283"/>
              <w:ind w:left="0" w:right="0" w:hanging="0"/>
              <w:jc w:val="left"/>
              <w:rPr/>
            </w:pPr>
            <w:r>
              <w:rPr/>
              <w:t> </w:t>
            </w:r>
          </w:p>
        </w:tc>
        <w:tc>
          <w:tcPr>
            <w:tcW w:w="730" w:type="dxa"/>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5.75</w:t>
            </w:r>
          </w:p>
        </w:tc>
        <w:tc>
          <w:tcPr>
            <w:tcW w:w="170"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top w:w="0" w:type="dxa"/>
            </w:tcMar>
            <w:vAlign w:val="center"/>
          </w:tcPr>
          <w:p>
            <w:pPr>
              <w:pStyle w:val="TableContents"/>
              <w:bidi w:val="0"/>
              <w:spacing w:before="0" w:after="283"/>
              <w:jc w:val="left"/>
              <w:rPr/>
            </w:pPr>
            <w:r>
              <w:rPr/>
              <w:t> </w:t>
            </w:r>
          </w:p>
        </w:tc>
        <w:tc>
          <w:tcPr>
            <w:tcW w:w="130" w:type="dxa"/>
            <w:tcBorders/>
            <w:shd w:fill="FFFFFF" w:val="clear"/>
            <w:tcMar>
              <w:top w:w="0" w:type="dxa"/>
            </w:tcMar>
            <w:vAlign w:val="center"/>
          </w:tcPr>
          <w:p>
            <w:pPr>
              <w:pStyle w:val="TableContents"/>
              <w:bidi w:val="0"/>
              <w:spacing w:before="0" w:after="283"/>
              <w:ind w:left="0" w:right="0" w:hanging="0"/>
              <w:jc w:val="left"/>
              <w:rPr/>
            </w:pPr>
            <w:r>
              <w:rPr/>
              <w:t> </w:t>
            </w:r>
          </w:p>
        </w:tc>
        <w:tc>
          <w:tcPr>
            <w:tcW w:w="730" w:type="dxa"/>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6.38</w:t>
            </w:r>
          </w:p>
        </w:tc>
        <w:tc>
          <w:tcPr>
            <w:tcW w:w="170"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top w:w="0" w:type="dxa"/>
            </w:tcMar>
            <w:vAlign w:val="center"/>
          </w:tcPr>
          <w:p>
            <w:pPr>
              <w:pStyle w:val="TableContents"/>
              <w:bidi w:val="0"/>
              <w:spacing w:before="0" w:after="283"/>
              <w:jc w:val="left"/>
              <w:rPr/>
            </w:pPr>
            <w:r>
              <w:rPr/>
              <w:t> </w:t>
            </w:r>
          </w:p>
        </w:tc>
        <w:tc>
          <w:tcPr>
            <w:tcW w:w="107" w:type="dxa"/>
            <w:tcBorders/>
            <w:shd w:fill="FFFFFF" w:val="clear"/>
            <w:tcMar>
              <w:top w:w="0" w:type="dxa"/>
            </w:tcMar>
            <w:vAlign w:val="center"/>
          </w:tcPr>
          <w:p>
            <w:pPr>
              <w:pStyle w:val="TableContents"/>
              <w:bidi w:val="0"/>
              <w:spacing w:before="0" w:after="283"/>
              <w:ind w:left="0" w:right="0" w:hanging="0"/>
              <w:jc w:val="left"/>
              <w:rPr/>
            </w:pPr>
            <w:r>
              <w:rPr/>
              <w:t> </w:t>
            </w:r>
          </w:p>
        </w:tc>
        <w:tc>
          <w:tcPr>
            <w:tcW w:w="602" w:type="dxa"/>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3.68</w:t>
            </w:r>
          </w:p>
        </w:tc>
        <w:tc>
          <w:tcPr>
            <w:tcW w:w="170"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445" w:type="dxa"/>
            <w:tcBorders/>
            <w:shd w:fill="CCEE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December 31, 2025</w:t>
            </w:r>
          </w:p>
        </w:tc>
        <w:tc>
          <w:tcPr>
            <w:tcW w:w="60" w:type="dxa"/>
            <w:tcBorders/>
            <w:shd w:fill="CCEEFF" w:val="clear"/>
            <w:tcMar>
              <w:top w:w="0" w:type="dxa"/>
            </w:tcMar>
            <w:vAlign w:val="center"/>
          </w:tcPr>
          <w:p>
            <w:pPr>
              <w:pStyle w:val="TableContents"/>
              <w:bidi w:val="0"/>
              <w:spacing w:before="0" w:after="283"/>
              <w:jc w:val="left"/>
              <w:rPr/>
            </w:pPr>
            <w:r>
              <w:rPr/>
              <w:t> </w:t>
            </w:r>
          </w:p>
        </w:tc>
        <w:tc>
          <w:tcPr>
            <w:tcW w:w="110" w:type="dxa"/>
            <w:tcBorders/>
            <w:shd w:fill="CCEEFF" w:val="clear"/>
            <w:tcMar>
              <w:top w:w="0" w:type="dxa"/>
            </w:tcMar>
            <w:vAlign w:val="center"/>
          </w:tcPr>
          <w:p>
            <w:pPr>
              <w:pStyle w:val="TableContents"/>
              <w:bidi w:val="0"/>
              <w:spacing w:before="0" w:after="283"/>
              <w:ind w:left="0" w:right="0" w:hanging="0"/>
              <w:jc w:val="left"/>
              <w:rPr/>
            </w:pPr>
            <w:r>
              <w:rPr/>
              <w:t> </w:t>
            </w:r>
          </w:p>
        </w:tc>
        <w:tc>
          <w:tcPr>
            <w:tcW w:w="615" w:type="dxa"/>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3.72</w:t>
            </w:r>
          </w:p>
        </w:tc>
        <w:tc>
          <w:tcPr>
            <w:tcW w:w="170"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top w:w="0" w:type="dxa"/>
            </w:tcMar>
            <w:vAlign w:val="center"/>
          </w:tcPr>
          <w:p>
            <w:pPr>
              <w:pStyle w:val="TableContents"/>
              <w:bidi w:val="0"/>
              <w:spacing w:before="0" w:after="283"/>
              <w:jc w:val="left"/>
              <w:rPr/>
            </w:pPr>
            <w:r>
              <w:rPr/>
              <w:t> </w:t>
            </w:r>
          </w:p>
        </w:tc>
        <w:tc>
          <w:tcPr>
            <w:tcW w:w="110" w:type="dxa"/>
            <w:tcBorders/>
            <w:shd w:fill="CCEEFF" w:val="clear"/>
            <w:tcMar>
              <w:top w:w="0" w:type="dxa"/>
            </w:tcMar>
            <w:vAlign w:val="center"/>
          </w:tcPr>
          <w:p>
            <w:pPr>
              <w:pStyle w:val="TableContents"/>
              <w:bidi w:val="0"/>
              <w:spacing w:before="0" w:after="283"/>
              <w:ind w:left="0" w:right="0" w:hanging="0"/>
              <w:jc w:val="left"/>
              <w:rPr/>
            </w:pPr>
            <w:r>
              <w:rPr/>
              <w:t> </w:t>
            </w:r>
          </w:p>
        </w:tc>
        <w:tc>
          <w:tcPr>
            <w:tcW w:w="615" w:type="dxa"/>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4.16</w:t>
            </w:r>
          </w:p>
        </w:tc>
        <w:tc>
          <w:tcPr>
            <w:tcW w:w="170"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top w:w="0" w:type="dxa"/>
            </w:tcMar>
            <w:vAlign w:val="center"/>
          </w:tcPr>
          <w:p>
            <w:pPr>
              <w:pStyle w:val="TableContents"/>
              <w:bidi w:val="0"/>
              <w:spacing w:before="0" w:after="283"/>
              <w:jc w:val="left"/>
              <w:rPr/>
            </w:pPr>
            <w:r>
              <w:rPr/>
              <w:t> </w:t>
            </w:r>
          </w:p>
        </w:tc>
        <w:tc>
          <w:tcPr>
            <w:tcW w:w="130" w:type="dxa"/>
            <w:tcBorders/>
            <w:shd w:fill="CCEEFF" w:val="clear"/>
            <w:tcMar>
              <w:top w:w="0" w:type="dxa"/>
            </w:tcMar>
            <w:vAlign w:val="center"/>
          </w:tcPr>
          <w:p>
            <w:pPr>
              <w:pStyle w:val="TableContents"/>
              <w:bidi w:val="0"/>
              <w:spacing w:before="0" w:after="283"/>
              <w:ind w:left="0" w:right="0" w:hanging="0"/>
              <w:jc w:val="left"/>
              <w:rPr/>
            </w:pPr>
            <w:r>
              <w:rPr/>
              <w:t> </w:t>
            </w:r>
          </w:p>
        </w:tc>
        <w:tc>
          <w:tcPr>
            <w:tcW w:w="730" w:type="dxa"/>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5.44</w:t>
            </w:r>
          </w:p>
        </w:tc>
        <w:tc>
          <w:tcPr>
            <w:tcW w:w="170"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top w:w="0" w:type="dxa"/>
            </w:tcMar>
            <w:vAlign w:val="center"/>
          </w:tcPr>
          <w:p>
            <w:pPr>
              <w:pStyle w:val="TableContents"/>
              <w:bidi w:val="0"/>
              <w:spacing w:before="0" w:after="283"/>
              <w:jc w:val="left"/>
              <w:rPr/>
            </w:pPr>
            <w:r>
              <w:rPr/>
              <w:t> </w:t>
            </w:r>
          </w:p>
        </w:tc>
        <w:tc>
          <w:tcPr>
            <w:tcW w:w="130" w:type="dxa"/>
            <w:tcBorders/>
            <w:shd w:fill="CCEEFF" w:val="clear"/>
            <w:tcMar>
              <w:top w:w="0" w:type="dxa"/>
            </w:tcMar>
            <w:vAlign w:val="center"/>
          </w:tcPr>
          <w:p>
            <w:pPr>
              <w:pStyle w:val="TableContents"/>
              <w:bidi w:val="0"/>
              <w:spacing w:before="0" w:after="283"/>
              <w:ind w:left="0" w:right="0" w:hanging="0"/>
              <w:jc w:val="left"/>
              <w:rPr/>
            </w:pPr>
            <w:r>
              <w:rPr/>
              <w:t> </w:t>
            </w:r>
          </w:p>
        </w:tc>
        <w:tc>
          <w:tcPr>
            <w:tcW w:w="730" w:type="dxa"/>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6.15</w:t>
            </w:r>
          </w:p>
        </w:tc>
        <w:tc>
          <w:tcPr>
            <w:tcW w:w="170"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top w:w="0" w:type="dxa"/>
            </w:tcMar>
            <w:vAlign w:val="center"/>
          </w:tcPr>
          <w:p>
            <w:pPr>
              <w:pStyle w:val="TableContents"/>
              <w:bidi w:val="0"/>
              <w:spacing w:before="0" w:after="283"/>
              <w:jc w:val="left"/>
              <w:rPr/>
            </w:pPr>
            <w:r>
              <w:rPr/>
              <w:t> </w:t>
            </w:r>
          </w:p>
        </w:tc>
        <w:tc>
          <w:tcPr>
            <w:tcW w:w="107" w:type="dxa"/>
            <w:tcBorders/>
            <w:shd w:fill="CCEEFF" w:val="clear"/>
            <w:tcMar>
              <w:top w:w="0" w:type="dxa"/>
            </w:tcMar>
            <w:vAlign w:val="center"/>
          </w:tcPr>
          <w:p>
            <w:pPr>
              <w:pStyle w:val="TableContents"/>
              <w:bidi w:val="0"/>
              <w:spacing w:before="0" w:after="283"/>
              <w:ind w:left="0" w:right="0" w:hanging="0"/>
              <w:jc w:val="left"/>
              <w:rPr/>
            </w:pPr>
            <w:r>
              <w:rPr/>
              <w:t> </w:t>
            </w:r>
          </w:p>
        </w:tc>
        <w:tc>
          <w:tcPr>
            <w:tcW w:w="602" w:type="dxa"/>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4.01</w:t>
            </w:r>
          </w:p>
        </w:tc>
        <w:tc>
          <w:tcPr>
            <w:tcW w:w="170"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445" w:type="dxa"/>
            <w:tcBorders/>
            <w:shd w:fill="FFFFFF" w:val="clear"/>
            <w:tcMar>
              <w:top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September 30, 2025</w:t>
            </w:r>
          </w:p>
        </w:tc>
        <w:tc>
          <w:tcPr>
            <w:tcW w:w="60" w:type="dxa"/>
            <w:tcBorders/>
            <w:shd w:fill="FFFFFF" w:val="clear"/>
            <w:tcMar>
              <w:top w:w="0" w:type="dxa"/>
            </w:tcMar>
            <w:vAlign w:val="center"/>
          </w:tcPr>
          <w:p>
            <w:pPr>
              <w:pStyle w:val="TableContents"/>
              <w:bidi w:val="0"/>
              <w:spacing w:before="0" w:after="283"/>
              <w:jc w:val="left"/>
              <w:rPr/>
            </w:pPr>
            <w:r>
              <w:rPr/>
              <w:t> </w:t>
            </w:r>
          </w:p>
        </w:tc>
        <w:tc>
          <w:tcPr>
            <w:tcW w:w="110" w:type="dxa"/>
            <w:tcBorders/>
            <w:shd w:fill="FFFFFF" w:val="clear"/>
            <w:tcMar>
              <w:top w:w="0" w:type="dxa"/>
            </w:tcMar>
            <w:vAlign w:val="center"/>
          </w:tcPr>
          <w:p>
            <w:pPr>
              <w:pStyle w:val="TableContents"/>
              <w:bidi w:val="0"/>
              <w:spacing w:before="0" w:after="283"/>
              <w:jc w:val="left"/>
              <w:rPr/>
            </w:pPr>
            <w:r>
              <w:rPr/>
              <w:t> </w:t>
            </w:r>
          </w:p>
        </w:tc>
        <w:tc>
          <w:tcPr>
            <w:tcW w:w="615"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3.73</w:t>
            </w:r>
          </w:p>
        </w:tc>
        <w:tc>
          <w:tcPr>
            <w:tcW w:w="170"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top w:w="0" w:type="dxa"/>
            </w:tcMar>
            <w:vAlign w:val="center"/>
          </w:tcPr>
          <w:p>
            <w:pPr>
              <w:pStyle w:val="TableContents"/>
              <w:bidi w:val="0"/>
              <w:spacing w:before="0" w:after="283"/>
              <w:jc w:val="left"/>
              <w:rPr/>
            </w:pPr>
            <w:r>
              <w:rPr/>
              <w:t> </w:t>
            </w:r>
          </w:p>
        </w:tc>
        <w:tc>
          <w:tcPr>
            <w:tcW w:w="110" w:type="dxa"/>
            <w:tcBorders/>
            <w:shd w:fill="FFFFFF" w:val="clear"/>
            <w:tcMar>
              <w:top w:w="0" w:type="dxa"/>
            </w:tcMar>
            <w:vAlign w:val="center"/>
          </w:tcPr>
          <w:p>
            <w:pPr>
              <w:pStyle w:val="TableContents"/>
              <w:bidi w:val="0"/>
              <w:spacing w:before="0" w:after="283"/>
              <w:jc w:val="left"/>
              <w:rPr/>
            </w:pPr>
            <w:r>
              <w:rPr/>
              <w:t> </w:t>
            </w:r>
          </w:p>
        </w:tc>
        <w:tc>
          <w:tcPr>
            <w:tcW w:w="615"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4.15</w:t>
            </w:r>
          </w:p>
        </w:tc>
        <w:tc>
          <w:tcPr>
            <w:tcW w:w="170"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top w:w="0" w:type="dxa"/>
            </w:tcMar>
            <w:vAlign w:val="center"/>
          </w:tcPr>
          <w:p>
            <w:pPr>
              <w:pStyle w:val="TableContents"/>
              <w:bidi w:val="0"/>
              <w:spacing w:before="0" w:after="283"/>
              <w:jc w:val="left"/>
              <w:rPr/>
            </w:pPr>
            <w:r>
              <w:rPr/>
              <w:t> </w:t>
            </w:r>
          </w:p>
        </w:tc>
        <w:tc>
          <w:tcPr>
            <w:tcW w:w="130" w:type="dxa"/>
            <w:tcBorders/>
            <w:shd w:fill="FFFFFF" w:val="clear"/>
            <w:tcMar>
              <w:top w:w="0" w:type="dxa"/>
            </w:tcMar>
            <w:vAlign w:val="center"/>
          </w:tcPr>
          <w:p>
            <w:pPr>
              <w:pStyle w:val="TableContents"/>
              <w:bidi w:val="0"/>
              <w:spacing w:before="0" w:after="283"/>
              <w:jc w:val="left"/>
              <w:rPr/>
            </w:pPr>
            <w:r>
              <w:rPr/>
              <w:t> </w:t>
            </w:r>
          </w:p>
        </w:tc>
        <w:tc>
          <w:tcPr>
            <w:tcW w:w="730"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5.49</w:t>
            </w:r>
          </w:p>
        </w:tc>
        <w:tc>
          <w:tcPr>
            <w:tcW w:w="170"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top w:w="0" w:type="dxa"/>
            </w:tcMar>
            <w:vAlign w:val="center"/>
          </w:tcPr>
          <w:p>
            <w:pPr>
              <w:pStyle w:val="TableContents"/>
              <w:bidi w:val="0"/>
              <w:spacing w:before="0" w:after="283"/>
              <w:jc w:val="left"/>
              <w:rPr/>
            </w:pPr>
            <w:r>
              <w:rPr/>
              <w:t> </w:t>
            </w:r>
          </w:p>
        </w:tc>
        <w:tc>
          <w:tcPr>
            <w:tcW w:w="130" w:type="dxa"/>
            <w:tcBorders/>
            <w:shd w:fill="FFFFFF" w:val="clear"/>
            <w:tcMar>
              <w:top w:w="0" w:type="dxa"/>
            </w:tcMar>
            <w:vAlign w:val="center"/>
          </w:tcPr>
          <w:p>
            <w:pPr>
              <w:pStyle w:val="TableContents"/>
              <w:bidi w:val="0"/>
              <w:spacing w:before="0" w:after="283"/>
              <w:jc w:val="left"/>
              <w:rPr/>
            </w:pPr>
            <w:r>
              <w:rPr/>
              <w:t> </w:t>
            </w:r>
          </w:p>
        </w:tc>
        <w:tc>
          <w:tcPr>
            <w:tcW w:w="730"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6.30</w:t>
            </w:r>
          </w:p>
        </w:tc>
        <w:tc>
          <w:tcPr>
            <w:tcW w:w="170"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top w:w="0" w:type="dxa"/>
            </w:tcMar>
            <w:vAlign w:val="center"/>
          </w:tcPr>
          <w:p>
            <w:pPr>
              <w:pStyle w:val="TableContents"/>
              <w:bidi w:val="0"/>
              <w:spacing w:before="0" w:after="283"/>
              <w:jc w:val="left"/>
              <w:rPr/>
            </w:pPr>
            <w:r>
              <w:rPr/>
              <w:t> </w:t>
            </w:r>
          </w:p>
        </w:tc>
        <w:tc>
          <w:tcPr>
            <w:tcW w:w="107" w:type="dxa"/>
            <w:tcBorders/>
            <w:shd w:fill="FFFFFF" w:val="clear"/>
            <w:tcMar>
              <w:top w:w="0" w:type="dxa"/>
            </w:tcMar>
            <w:vAlign w:val="center"/>
          </w:tcPr>
          <w:p>
            <w:pPr>
              <w:pStyle w:val="TableContents"/>
              <w:bidi w:val="0"/>
              <w:spacing w:before="0" w:after="283"/>
              <w:jc w:val="left"/>
              <w:rPr/>
            </w:pPr>
            <w:r>
              <w:rPr/>
              <w:t> </w:t>
            </w:r>
          </w:p>
        </w:tc>
        <w:tc>
          <w:tcPr>
            <w:tcW w:w="602"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4.35</w:t>
            </w:r>
          </w:p>
        </w:tc>
        <w:tc>
          <w:tcPr>
            <w:tcW w:w="170"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445" w:type="dxa"/>
            <w:tcBorders/>
            <w:shd w:fill="CCEEFF" w:val="clear"/>
            <w:tcMar>
              <w:top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June 30, 2025</w:t>
            </w:r>
          </w:p>
        </w:tc>
        <w:tc>
          <w:tcPr>
            <w:tcW w:w="60" w:type="dxa"/>
            <w:tcBorders/>
            <w:shd w:fill="CCEEFF" w:val="clear"/>
            <w:tcMar>
              <w:top w:w="0" w:type="dxa"/>
            </w:tcMar>
            <w:vAlign w:val="center"/>
          </w:tcPr>
          <w:p>
            <w:pPr>
              <w:pStyle w:val="TableContents"/>
              <w:bidi w:val="0"/>
              <w:spacing w:before="0" w:after="283"/>
              <w:jc w:val="left"/>
              <w:rPr/>
            </w:pPr>
            <w:r>
              <w:rPr/>
              <w:t> </w:t>
            </w:r>
          </w:p>
        </w:tc>
        <w:tc>
          <w:tcPr>
            <w:tcW w:w="110" w:type="dxa"/>
            <w:tcBorders/>
            <w:shd w:fill="CCEEFF" w:val="clear"/>
            <w:tcMar>
              <w:top w:w="0" w:type="dxa"/>
            </w:tcMar>
            <w:vAlign w:val="center"/>
          </w:tcPr>
          <w:p>
            <w:pPr>
              <w:pStyle w:val="TableContents"/>
              <w:bidi w:val="0"/>
              <w:spacing w:before="0" w:after="283"/>
              <w:jc w:val="left"/>
              <w:rPr/>
            </w:pPr>
            <w:r>
              <w:rPr/>
              <w:t> </w:t>
            </w:r>
          </w:p>
        </w:tc>
        <w:tc>
          <w:tcPr>
            <w:tcW w:w="615"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3.80</w:t>
            </w:r>
          </w:p>
        </w:tc>
        <w:tc>
          <w:tcPr>
            <w:tcW w:w="170"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top w:w="0" w:type="dxa"/>
            </w:tcMar>
            <w:vAlign w:val="center"/>
          </w:tcPr>
          <w:p>
            <w:pPr>
              <w:pStyle w:val="TableContents"/>
              <w:bidi w:val="0"/>
              <w:spacing w:before="0" w:after="283"/>
              <w:jc w:val="left"/>
              <w:rPr/>
            </w:pPr>
            <w:r>
              <w:rPr/>
              <w:t> </w:t>
            </w:r>
          </w:p>
        </w:tc>
        <w:tc>
          <w:tcPr>
            <w:tcW w:w="110" w:type="dxa"/>
            <w:tcBorders/>
            <w:shd w:fill="CCEEFF" w:val="clear"/>
            <w:tcMar>
              <w:top w:w="0" w:type="dxa"/>
            </w:tcMar>
            <w:vAlign w:val="center"/>
          </w:tcPr>
          <w:p>
            <w:pPr>
              <w:pStyle w:val="TableContents"/>
              <w:bidi w:val="0"/>
              <w:spacing w:before="0" w:after="283"/>
              <w:jc w:val="left"/>
              <w:rPr/>
            </w:pPr>
            <w:r>
              <w:rPr/>
              <w:t> </w:t>
            </w:r>
          </w:p>
        </w:tc>
        <w:tc>
          <w:tcPr>
            <w:tcW w:w="615"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4.23</w:t>
            </w:r>
          </w:p>
        </w:tc>
        <w:tc>
          <w:tcPr>
            <w:tcW w:w="170"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top w:w="0" w:type="dxa"/>
            </w:tcMar>
            <w:vAlign w:val="center"/>
          </w:tcPr>
          <w:p>
            <w:pPr>
              <w:pStyle w:val="TableContents"/>
              <w:bidi w:val="0"/>
              <w:spacing w:before="0" w:after="283"/>
              <w:jc w:val="left"/>
              <w:rPr/>
            </w:pPr>
            <w:r>
              <w:rPr/>
              <w:t> </w:t>
            </w:r>
          </w:p>
        </w:tc>
        <w:tc>
          <w:tcPr>
            <w:tcW w:w="130" w:type="dxa"/>
            <w:tcBorders/>
            <w:shd w:fill="CCEEFF" w:val="clear"/>
            <w:tcMar>
              <w:top w:w="0" w:type="dxa"/>
            </w:tcMar>
            <w:vAlign w:val="center"/>
          </w:tcPr>
          <w:p>
            <w:pPr>
              <w:pStyle w:val="TableContents"/>
              <w:bidi w:val="0"/>
              <w:spacing w:before="0" w:after="283"/>
              <w:jc w:val="left"/>
              <w:rPr/>
            </w:pPr>
            <w:r>
              <w:rPr/>
              <w:t> </w:t>
            </w:r>
          </w:p>
        </w:tc>
        <w:tc>
          <w:tcPr>
            <w:tcW w:w="730"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5.89</w:t>
            </w:r>
          </w:p>
        </w:tc>
        <w:tc>
          <w:tcPr>
            <w:tcW w:w="170"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top w:w="0" w:type="dxa"/>
            </w:tcMar>
            <w:vAlign w:val="center"/>
          </w:tcPr>
          <w:p>
            <w:pPr>
              <w:pStyle w:val="TableContents"/>
              <w:bidi w:val="0"/>
              <w:spacing w:before="0" w:after="283"/>
              <w:jc w:val="left"/>
              <w:rPr/>
            </w:pPr>
            <w:r>
              <w:rPr/>
              <w:t> </w:t>
            </w:r>
          </w:p>
        </w:tc>
        <w:tc>
          <w:tcPr>
            <w:tcW w:w="130" w:type="dxa"/>
            <w:tcBorders/>
            <w:shd w:fill="CCEEFF" w:val="clear"/>
            <w:tcMar>
              <w:top w:w="0" w:type="dxa"/>
            </w:tcMar>
            <w:vAlign w:val="center"/>
          </w:tcPr>
          <w:p>
            <w:pPr>
              <w:pStyle w:val="TableContents"/>
              <w:bidi w:val="0"/>
              <w:spacing w:before="0" w:after="283"/>
              <w:jc w:val="left"/>
              <w:rPr/>
            </w:pPr>
            <w:r>
              <w:rPr/>
              <w:t> </w:t>
            </w:r>
          </w:p>
        </w:tc>
        <w:tc>
          <w:tcPr>
            <w:tcW w:w="730"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6.77</w:t>
            </w:r>
          </w:p>
        </w:tc>
        <w:tc>
          <w:tcPr>
            <w:tcW w:w="170"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top w:w="0" w:type="dxa"/>
            </w:tcMar>
            <w:vAlign w:val="center"/>
          </w:tcPr>
          <w:p>
            <w:pPr>
              <w:pStyle w:val="TableContents"/>
              <w:bidi w:val="0"/>
              <w:spacing w:before="0" w:after="283"/>
              <w:jc w:val="left"/>
              <w:rPr/>
            </w:pPr>
            <w:r>
              <w:rPr/>
              <w:t> </w:t>
            </w:r>
          </w:p>
        </w:tc>
        <w:tc>
          <w:tcPr>
            <w:tcW w:w="107" w:type="dxa"/>
            <w:tcBorders/>
            <w:shd w:fill="CCEEFF" w:val="clear"/>
            <w:tcMar>
              <w:top w:w="0" w:type="dxa"/>
            </w:tcMar>
            <w:vAlign w:val="center"/>
          </w:tcPr>
          <w:p>
            <w:pPr>
              <w:pStyle w:val="TableContents"/>
              <w:bidi w:val="0"/>
              <w:spacing w:before="0" w:after="283"/>
              <w:jc w:val="left"/>
              <w:rPr/>
            </w:pPr>
            <w:r>
              <w:rPr/>
              <w:t> </w:t>
            </w:r>
          </w:p>
        </w:tc>
        <w:tc>
          <w:tcPr>
            <w:tcW w:w="602"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4.34</w:t>
            </w:r>
          </w:p>
        </w:tc>
        <w:tc>
          <w:tcPr>
            <w:tcW w:w="170"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445"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March 31, 2025</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615"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3.98</w:t>
            </w:r>
          </w:p>
        </w:tc>
        <w:tc>
          <w:tcPr>
            <w:tcW w:w="170" w:type="dxa"/>
            <w:tcBorders>
              <w:bottom w:val="single" w:sz="2" w:space="0" w:color="000000"/>
            </w:tcBorders>
            <w:shd w:fill="FFFFFF" w:val="clear"/>
            <w:tcMar>
              <w:top w:w="0" w:type="dxa"/>
              <w:bottom w:w="28"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615"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4.25</w:t>
            </w:r>
          </w:p>
        </w:tc>
        <w:tc>
          <w:tcPr>
            <w:tcW w:w="170" w:type="dxa"/>
            <w:tcBorders>
              <w:bottom w:val="single" w:sz="2" w:space="0" w:color="000000"/>
            </w:tcBorders>
            <w:shd w:fill="FFFFFF" w:val="clear"/>
            <w:tcMar>
              <w:top w:w="0" w:type="dxa"/>
              <w:bottom w:w="28"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13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73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5.89</w:t>
            </w:r>
          </w:p>
        </w:tc>
        <w:tc>
          <w:tcPr>
            <w:tcW w:w="170" w:type="dxa"/>
            <w:tcBorders>
              <w:bottom w:val="single" w:sz="2" w:space="0" w:color="000000"/>
            </w:tcBorders>
            <w:shd w:fill="FFFFFF" w:val="clear"/>
            <w:tcMar>
              <w:top w:w="0" w:type="dxa"/>
              <w:bottom w:w="28"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13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73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6.65</w:t>
            </w:r>
          </w:p>
        </w:tc>
        <w:tc>
          <w:tcPr>
            <w:tcW w:w="170" w:type="dxa"/>
            <w:tcBorders>
              <w:bottom w:val="single" w:sz="2" w:space="0" w:color="000000"/>
            </w:tcBorders>
            <w:shd w:fill="FFFFFF" w:val="clear"/>
            <w:tcMar>
              <w:top w:w="0" w:type="dxa"/>
              <w:bottom w:w="28"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107"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602"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4.35</w:t>
            </w:r>
          </w:p>
        </w:tc>
        <w:tc>
          <w:tcPr>
            <w:tcW w:w="170" w:type="dxa"/>
            <w:tcBorders>
              <w:bottom w:val="single" w:sz="2" w:space="0" w:color="000000"/>
            </w:tcBorders>
            <w:shd w:fill="FFFFFF" w:val="clear"/>
            <w:tcMar>
              <w:top w:w="0" w:type="dxa"/>
              <w:bottom w:w="28"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bl>
    <w:p>
      <w:pPr>
        <w:pStyle w:val="TextBody"/>
        <w:bidi w:val="0"/>
        <w:spacing w:before="0" w:after="0"/>
        <w:ind w:left="0" w:right="0" w:hanging="0"/>
        <w:jc w:val="left"/>
        <w:rPr>
          <w:caps w:val="false"/>
          <w:smallCaps w:val="false"/>
        </w:rPr>
      </w:pPr>
      <w:r>
        <w:rPr>
          <w:caps w:val="false"/>
          <w:smallCaps w:val="false"/>
        </w:rPr>
        <w:t> </w:t>
      </w:r>
    </w:p>
    <w:tbl>
      <w:tblPr>
        <w:tblW w:w="9535" w:type="dxa"/>
        <w:jc w:val="left"/>
        <w:tblInd w:w="0" w:type="dxa"/>
        <w:tblLayout w:type="fixed"/>
        <w:tblCellMar>
          <w:top w:w="0" w:type="dxa"/>
          <w:left w:w="0" w:type="dxa"/>
          <w:bottom w:w="0" w:type="dxa"/>
          <w:right w:w="0" w:type="dxa"/>
        </w:tblCellMar>
      </w:tblPr>
      <w:tblGrid>
        <w:gridCol w:w="230"/>
        <w:gridCol w:w="9305"/>
      </w:tblGrid>
      <w:tr>
        <w:trPr/>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(1)</w:t>
            </w:r>
          </w:p>
        </w:tc>
        <w:tc>
          <w:tcPr>
            <w:tcW w:w="93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Historical 5 and 10 Year U.S. Treasury Rates are obtained from quoted end of day prices on the Chicago Board Options Exchange.</w:t>
            </w:r>
          </w:p>
        </w:tc>
      </w:tr>
    </w:tbl>
    <w:tbl>
      <w:tblPr>
        <w:tblW w:w="9325" w:type="dxa"/>
        <w:jc w:val="left"/>
        <w:tblInd w:w="0" w:type="dxa"/>
        <w:tblLayout w:type="fixed"/>
        <w:tblCellMar>
          <w:top w:w="0" w:type="dxa"/>
          <w:left w:w="0" w:type="dxa"/>
          <w:bottom w:w="0" w:type="dxa"/>
          <w:right w:w="0" w:type="dxa"/>
        </w:tblCellMar>
      </w:tblPr>
      <w:tblGrid>
        <w:gridCol w:w="230"/>
        <w:gridCol w:w="9095"/>
      </w:tblGrid>
      <w:tr>
        <w:trPr/>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(2)</w:t>
            </w:r>
          </w:p>
        </w:tc>
        <w:tc>
          <w:tcPr>
            <w:tcW w:w="9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Historical 30 Year and 15 Year Fixed Rate Mortgage Rates are obtained from Freddie Mac’s Primary Mortgage Market Survey.</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(3)</w:t>
            </w:r>
          </w:p>
        </w:tc>
        <w:tc>
          <w:tcPr>
            <w:tcW w:w="9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Historical SOFR is obtained from the Federal Reserve Bank of New York. The SOFR averages are compounded averages of the SOFR over rolling 30 and 180 calendar day periods.</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Unrealized Gains and Losses on PT RMBS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For the purpose of recording income on the Company’s investments in PT RMBS, interest income is based on the stated interest rate of the security. Using the fair value accounting method, premiums or discounts to the face value of the PT RMBS present at the date of purchase are not amortized. Premium lost and discount accretion resulting from monthly principal repayments are reflected in unrealized gains (losses) on RMBS in the statements of comprehensive income (loss). The following table adjusts the Company’s interest income as reported on the Company’s statements of comprehensive income for the periods indicated to show interest income adjusted for premium amortization and discount accretion on its mortgage-backed security investments. The purpose of presenting this non-GAAP measure of interest income is to provide management and investors with an alternative way of evaluating yield on RMBS that may be more comparable to some of the Company's peers who amortize premiums and discounts on their PT RMBS investments.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1663"/>
        <w:gridCol w:w="60"/>
        <w:gridCol w:w="110"/>
        <w:gridCol w:w="830"/>
        <w:gridCol w:w="60"/>
        <w:gridCol w:w="60"/>
        <w:gridCol w:w="110"/>
        <w:gridCol w:w="605"/>
        <w:gridCol w:w="60"/>
        <w:gridCol w:w="60"/>
        <w:gridCol w:w="100"/>
        <w:gridCol w:w="563"/>
        <w:gridCol w:w="170"/>
        <w:gridCol w:w="60"/>
        <w:gridCol w:w="135"/>
        <w:gridCol w:w="816"/>
        <w:gridCol w:w="97"/>
        <w:gridCol w:w="72"/>
        <w:gridCol w:w="194"/>
        <w:gridCol w:w="948"/>
        <w:gridCol w:w="97"/>
        <w:gridCol w:w="72"/>
        <w:gridCol w:w="135"/>
        <w:gridCol w:w="817"/>
        <w:gridCol w:w="80"/>
        <w:gridCol w:w="60"/>
        <w:gridCol w:w="163"/>
        <w:gridCol w:w="899"/>
        <w:gridCol w:w="88"/>
        <w:gridCol w:w="88"/>
        <w:gridCol w:w="112"/>
        <w:gridCol w:w="640"/>
        <w:gridCol w:w="181"/>
      </w:tblGrid>
      <w:tr>
        <w:trPr/>
        <w:tc>
          <w:tcPr>
            <w:tcW w:w="1663"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 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60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0" w:type="dxa"/>
            <w:tcBorders>
              <w:bottom w:val="single" w:sz="2" w:space="0" w:color="000000"/>
            </w:tcBorders>
            <w:shd w:fill="FFFFFF" w:val="clear"/>
            <w:vAlign w:val="center"/>
          </w:tcPr>
          <w:p>
            <w:pPr>
              <w:pStyle w:val="TableContents"/>
              <w:bidi w:val="0"/>
              <w:spacing w:before="0" w:after="283"/>
              <w:jc w:val="left"/>
              <w:rPr/>
            </w:pPr>
            <w:r>
              <w:rPr/>
              <w:t> </w:t>
            </w:r>
          </w:p>
        </w:tc>
        <w:tc>
          <w:tcPr>
            <w:tcW w:w="563"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vAlign w:val="center"/>
          </w:tcPr>
          <w:p>
            <w:pPr>
              <w:pStyle w:val="TableContents"/>
              <w:bidi w:val="0"/>
              <w:spacing w:before="0" w:after="283"/>
              <w:jc w:val="left"/>
              <w:rPr/>
            </w:pPr>
            <w:r>
              <w:rPr/>
              <w:t> </w:t>
            </w:r>
          </w:p>
        </w:tc>
        <w:tc>
          <w:tcPr>
            <w:tcW w:w="816" w:type="dxa"/>
            <w:tcBorders>
              <w:bottom w:val="single" w:sz="2" w:space="0" w:color="000000"/>
            </w:tcBorders>
            <w:shd w:fill="FFFFFF" w:val="clear"/>
            <w:vAlign w:val="center"/>
          </w:tcPr>
          <w:p>
            <w:pPr>
              <w:pStyle w:val="TableContents"/>
              <w:bidi w:val="0"/>
              <w:spacing w:before="0" w:after="283"/>
              <w:jc w:val="left"/>
              <w:rPr/>
            </w:pPr>
            <w:r>
              <w:rPr/>
              <w:t> </w:t>
            </w:r>
          </w:p>
        </w:tc>
        <w:tc>
          <w:tcPr>
            <w:tcW w:w="97" w:type="dxa"/>
            <w:tcBorders>
              <w:bottom w:val="single" w:sz="2" w:space="0" w:color="000000"/>
            </w:tcBorders>
            <w:shd w:fill="FFFFFF" w:val="clear"/>
            <w:vAlign w:val="center"/>
          </w:tcPr>
          <w:p>
            <w:pPr>
              <w:pStyle w:val="TableContents"/>
              <w:bidi w:val="0"/>
              <w:spacing w:before="0" w:after="283"/>
              <w:jc w:val="left"/>
              <w:rPr/>
            </w:pPr>
            <w:r>
              <w:rPr/>
              <w:t> </w:t>
            </w:r>
          </w:p>
        </w:tc>
        <w:tc>
          <w:tcPr>
            <w:tcW w:w="72" w:type="dxa"/>
            <w:tcBorders>
              <w:bottom w:val="single" w:sz="2" w:space="0" w:color="000000"/>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vAlign w:val="center"/>
          </w:tcPr>
          <w:p>
            <w:pPr>
              <w:pStyle w:val="TableContents"/>
              <w:bidi w:val="0"/>
              <w:spacing w:before="0" w:after="283"/>
              <w:jc w:val="left"/>
              <w:rPr/>
            </w:pPr>
            <w:r>
              <w:rPr/>
              <w:t> </w:t>
            </w:r>
          </w:p>
        </w:tc>
        <w:tc>
          <w:tcPr>
            <w:tcW w:w="948" w:type="dxa"/>
            <w:tcBorders>
              <w:bottom w:val="single" w:sz="2" w:space="0" w:color="000000"/>
            </w:tcBorders>
            <w:shd w:fill="FFFFFF" w:val="clear"/>
            <w:vAlign w:val="center"/>
          </w:tcPr>
          <w:p>
            <w:pPr>
              <w:pStyle w:val="TableContents"/>
              <w:bidi w:val="0"/>
              <w:spacing w:before="0" w:after="283"/>
              <w:jc w:val="left"/>
              <w:rPr/>
            </w:pPr>
            <w:r>
              <w:rPr/>
              <w:t> </w:t>
            </w:r>
          </w:p>
        </w:tc>
        <w:tc>
          <w:tcPr>
            <w:tcW w:w="97" w:type="dxa"/>
            <w:tcBorders>
              <w:bottom w:val="single" w:sz="2" w:space="0" w:color="000000"/>
            </w:tcBorders>
            <w:shd w:fill="FFFFFF" w:val="clear"/>
            <w:vAlign w:val="center"/>
          </w:tcPr>
          <w:p>
            <w:pPr>
              <w:pStyle w:val="TableContents"/>
              <w:bidi w:val="0"/>
              <w:spacing w:before="0" w:after="283"/>
              <w:jc w:val="left"/>
              <w:rPr/>
            </w:pPr>
            <w:r>
              <w:rPr/>
              <w:t> </w:t>
            </w:r>
          </w:p>
        </w:tc>
        <w:tc>
          <w:tcPr>
            <w:tcW w:w="72" w:type="dxa"/>
            <w:tcBorders>
              <w:bottom w:val="single" w:sz="2" w:space="0" w:color="000000"/>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vAlign w:val="center"/>
          </w:tcPr>
          <w:p>
            <w:pPr>
              <w:pStyle w:val="TableContents"/>
              <w:bidi w:val="0"/>
              <w:spacing w:before="0" w:after="283"/>
              <w:jc w:val="left"/>
              <w:rPr/>
            </w:pPr>
            <w:r>
              <w:rPr/>
              <w:t> </w:t>
            </w:r>
          </w:p>
        </w:tc>
        <w:tc>
          <w:tcPr>
            <w:tcW w:w="817"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vAlign w:val="center"/>
          </w:tcPr>
          <w:p>
            <w:pPr>
              <w:pStyle w:val="TableContents"/>
              <w:bidi w:val="0"/>
              <w:spacing w:before="0" w:after="283"/>
              <w:jc w:val="left"/>
              <w:rPr/>
            </w:pPr>
            <w:r>
              <w:rPr/>
              <w:t> </w:t>
            </w:r>
          </w:p>
        </w:tc>
        <w:tc>
          <w:tcPr>
            <w:tcW w:w="899" w:type="dxa"/>
            <w:tcBorders>
              <w:bottom w:val="single" w:sz="2" w:space="0" w:color="000000"/>
            </w:tcBorders>
            <w:shd w:fill="FFFFFF" w:val="clear"/>
            <w:vAlign w:val="center"/>
          </w:tcPr>
          <w:p>
            <w:pPr>
              <w:pStyle w:val="TableContents"/>
              <w:bidi w:val="0"/>
              <w:spacing w:before="0" w:after="283"/>
              <w:jc w:val="left"/>
              <w:rPr/>
            </w:pPr>
            <w:r>
              <w:rPr/>
              <w:t> </w:t>
            </w:r>
          </w:p>
        </w:tc>
        <w:tc>
          <w:tcPr>
            <w:tcW w:w="88" w:type="dxa"/>
            <w:tcBorders>
              <w:bottom w:val="single" w:sz="2" w:space="0" w:color="000000"/>
            </w:tcBorders>
            <w:shd w:fill="FFFFFF" w:val="clear"/>
            <w:vAlign w:val="center"/>
          </w:tcPr>
          <w:p>
            <w:pPr>
              <w:pStyle w:val="TableContents"/>
              <w:bidi w:val="0"/>
              <w:spacing w:before="0" w:after="283"/>
              <w:jc w:val="left"/>
              <w:rPr/>
            </w:pPr>
            <w:r>
              <w:rPr/>
              <w:t> </w:t>
            </w:r>
          </w:p>
        </w:tc>
        <w:tc>
          <w:tcPr>
            <w:tcW w:w="88" w:type="dxa"/>
            <w:tcBorders>
              <w:bottom w:val="single" w:sz="2" w:space="0" w:color="000000"/>
            </w:tcBorders>
            <w:shd w:fill="FFFFFF" w:val="clear"/>
            <w:vAlign w:val="center"/>
          </w:tcPr>
          <w:p>
            <w:pPr>
              <w:pStyle w:val="TableContents"/>
              <w:bidi w:val="0"/>
              <w:spacing w:before="0" w:after="283"/>
              <w:jc w:val="left"/>
              <w:rPr/>
            </w:pPr>
            <w:r>
              <w:rPr/>
              <w:t> </w:t>
            </w:r>
          </w:p>
        </w:tc>
        <w:tc>
          <w:tcPr>
            <w:tcW w:w="112" w:type="dxa"/>
            <w:tcBorders>
              <w:bottom w:val="single" w:sz="2" w:space="0" w:color="000000"/>
            </w:tcBorders>
            <w:shd w:fill="FFFFFF" w:val="clear"/>
            <w:vAlign w:val="center"/>
          </w:tcPr>
          <w:p>
            <w:pPr>
              <w:pStyle w:val="TableContents"/>
              <w:bidi w:val="0"/>
              <w:spacing w:before="0" w:after="283"/>
              <w:jc w:val="left"/>
              <w:rPr/>
            </w:pPr>
            <w:r>
              <w:rPr/>
              <w:t> </w:t>
            </w:r>
          </w:p>
        </w:tc>
        <w:tc>
          <w:tcPr>
            <w:tcW w:w="640" w:type="dxa"/>
            <w:tcBorders>
              <w:bottom w:val="single" w:sz="2" w:space="0" w:color="000000"/>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66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563" w:type="dxa"/>
            <w:tcBorders/>
            <w:shd w:fill="FFFFFF" w:val="clear"/>
            <w:tcMar>
              <w:bottom w:w="0" w:type="dxa"/>
            </w:tcMar>
            <w:vAlign w:val="center"/>
          </w:tcPr>
          <w:p>
            <w:pPr>
              <w:pStyle w:val="TableContents"/>
              <w:bidi w:val="0"/>
              <w:spacing w:before="0" w:after="283"/>
              <w:jc w:val="center"/>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383" w:type="dxa"/>
            <w:gridSpan w:val="10"/>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Unrealized Gains (Losses) on PT RMBS</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990" w:type="dxa"/>
            <w:gridSpan w:val="6"/>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Inclusive of</w:t>
            </w:r>
          </w:p>
        </w:tc>
        <w:tc>
          <w:tcPr>
            <w:tcW w:w="181" w:type="dxa"/>
            <w:tcBorders/>
            <w:shd w:fill="FFFFFF" w:val="clear"/>
            <w:tcMar>
              <w:bottom w:w="0" w:type="dxa"/>
            </w:tcMar>
            <w:vAlign w:val="center"/>
          </w:tcPr>
          <w:p>
            <w:pPr>
              <w:pStyle w:val="TableContents"/>
              <w:bidi w:val="0"/>
              <w:spacing w:before="0" w:after="283"/>
              <w:jc w:val="left"/>
              <w:rPr/>
            </w:pPr>
            <w:r>
              <w:rPr/>
              <w:t> </w:t>
            </w:r>
          </w:p>
        </w:tc>
      </w:tr>
      <w:tr>
        <w:trPr/>
        <w:tc>
          <w:tcPr>
            <w:tcW w:w="166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563" w:type="dxa"/>
            <w:tcBorders/>
            <w:shd w:fill="FFFFFF" w:val="clear"/>
            <w:tcMar>
              <w:bottom w:w="0" w:type="dxa"/>
            </w:tcMar>
            <w:vAlign w:val="center"/>
          </w:tcPr>
          <w:p>
            <w:pPr>
              <w:pStyle w:val="TableContents"/>
              <w:bidi w:val="0"/>
              <w:spacing w:before="0" w:after="283"/>
              <w:jc w:val="center"/>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816" w:type="dxa"/>
            <w:tcBorders/>
            <w:shd w:fill="FFFFFF" w:val="clear"/>
            <w:tcMar>
              <w:bottom w:w="0" w:type="dxa"/>
            </w:tcMar>
            <w:vAlign w:val="center"/>
          </w:tcPr>
          <w:p>
            <w:pPr>
              <w:pStyle w:val="TableContents"/>
              <w:bidi w:val="0"/>
              <w:spacing w:before="0" w:after="283"/>
              <w:jc w:val="center"/>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194" w:type="dxa"/>
            <w:tcBorders/>
            <w:shd w:fill="FFFFFF" w:val="clear"/>
            <w:tcMar>
              <w:bottom w:w="0" w:type="dxa"/>
            </w:tcMar>
            <w:vAlign w:val="center"/>
          </w:tcPr>
          <w:p>
            <w:pPr>
              <w:pStyle w:val="TableContents"/>
              <w:bidi w:val="0"/>
              <w:spacing w:before="0" w:after="283"/>
              <w:jc w:val="left"/>
              <w:rPr/>
            </w:pPr>
            <w:r>
              <w:rPr/>
              <w:t> </w:t>
            </w:r>
          </w:p>
        </w:tc>
        <w:tc>
          <w:tcPr>
            <w:tcW w:w="948" w:type="dxa"/>
            <w:tcBorders/>
            <w:shd w:fill="FFFFFF" w:val="clear"/>
            <w:tcMar>
              <w:bottom w:w="0" w:type="dxa"/>
            </w:tcMar>
            <w:vAlign w:val="center"/>
          </w:tcPr>
          <w:p>
            <w:pPr>
              <w:pStyle w:val="TableContents"/>
              <w:bidi w:val="0"/>
              <w:spacing w:before="0" w:after="283"/>
              <w:jc w:val="center"/>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ind w:left="0" w:right="0" w:hanging="0"/>
              <w:jc w:val="left"/>
              <w:rPr/>
            </w:pPr>
            <w:r>
              <w:rPr/>
              <w:t> </w:t>
            </w:r>
          </w:p>
        </w:tc>
        <w:tc>
          <w:tcPr>
            <w:tcW w:w="952"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Price</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990" w:type="dxa"/>
            <w:gridSpan w:val="6"/>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Premium Amortization/</w:t>
            </w:r>
          </w:p>
        </w:tc>
        <w:tc>
          <w:tcPr>
            <w:tcW w:w="181" w:type="dxa"/>
            <w:tcBorders/>
            <w:shd w:fill="FFFFFF" w:val="clear"/>
            <w:tcMar>
              <w:bottom w:w="0" w:type="dxa"/>
            </w:tcMar>
            <w:vAlign w:val="center"/>
          </w:tcPr>
          <w:p>
            <w:pPr>
              <w:pStyle w:val="TableContents"/>
              <w:bidi w:val="0"/>
              <w:spacing w:before="0" w:after="283"/>
              <w:jc w:val="left"/>
              <w:rPr/>
            </w:pPr>
            <w:r>
              <w:rPr/>
              <w:t> </w:t>
            </w:r>
          </w:p>
        </w:tc>
      </w:tr>
      <w:tr>
        <w:trPr/>
        <w:tc>
          <w:tcPr>
            <w:tcW w:w="166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563" w:type="dxa"/>
            <w:tcBorders/>
            <w:shd w:fill="FFFFFF" w:val="clear"/>
            <w:tcMar>
              <w:bottom w:w="0" w:type="dxa"/>
            </w:tcMar>
            <w:vAlign w:val="center"/>
          </w:tcPr>
          <w:p>
            <w:pPr>
              <w:pStyle w:val="TableContents"/>
              <w:bidi w:val="0"/>
              <w:spacing w:before="0" w:after="283"/>
              <w:jc w:val="center"/>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816" w:type="dxa"/>
            <w:tcBorders/>
            <w:shd w:fill="FFFFFF" w:val="clear"/>
            <w:tcMar>
              <w:bottom w:w="0" w:type="dxa"/>
            </w:tcMar>
            <w:vAlign w:val="center"/>
          </w:tcPr>
          <w:p>
            <w:pPr>
              <w:pStyle w:val="TableContents"/>
              <w:bidi w:val="0"/>
              <w:spacing w:before="0" w:after="283"/>
              <w:jc w:val="center"/>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ind w:left="0" w:right="0" w:hanging="0"/>
              <w:jc w:val="left"/>
              <w:rPr/>
            </w:pPr>
            <w:r>
              <w:rPr/>
              <w:t> </w:t>
            </w:r>
          </w:p>
        </w:tc>
        <w:tc>
          <w:tcPr>
            <w:tcW w:w="1142"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(Premium</w:t>
            </w:r>
          </w:p>
        </w:tc>
        <w:tc>
          <w:tcPr>
            <w:tcW w:w="97"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ind w:left="0" w:right="0" w:hanging="0"/>
              <w:jc w:val="left"/>
              <w:rPr/>
            </w:pPr>
            <w:r>
              <w:rPr/>
              <w:t> </w:t>
            </w:r>
          </w:p>
        </w:tc>
        <w:tc>
          <w:tcPr>
            <w:tcW w:w="952"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Only</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990"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Discount Accretion</w:t>
            </w:r>
          </w:p>
        </w:tc>
        <w:tc>
          <w:tcPr>
            <w:tcW w:w="181"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66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4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Average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63"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Yield on</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816" w:type="dxa"/>
            <w:tcBorders/>
            <w:shd w:fill="FFFFFF" w:val="clear"/>
            <w:tcMar>
              <w:bottom w:w="0" w:type="dxa"/>
            </w:tcMar>
            <w:vAlign w:val="center"/>
          </w:tcPr>
          <w:p>
            <w:pPr>
              <w:pStyle w:val="TableContents"/>
              <w:bidi w:val="0"/>
              <w:spacing w:before="0" w:after="283"/>
              <w:jc w:val="center"/>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ind w:left="0" w:right="0" w:hanging="0"/>
              <w:jc w:val="left"/>
              <w:rPr/>
            </w:pPr>
            <w:r>
              <w:rPr/>
              <w:t> </w:t>
            </w:r>
          </w:p>
        </w:tc>
        <w:tc>
          <w:tcPr>
            <w:tcW w:w="1142"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Amortization)/</w:t>
            </w:r>
          </w:p>
        </w:tc>
        <w:tc>
          <w:tcPr>
            <w:tcW w:w="97"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ind w:left="0" w:right="0" w:hanging="0"/>
              <w:jc w:val="left"/>
              <w:rPr/>
            </w:pPr>
            <w:r>
              <w:rPr/>
              <w:t> </w:t>
            </w:r>
          </w:p>
        </w:tc>
        <w:tc>
          <w:tcPr>
            <w:tcW w:w="952"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Unrealized</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shd w:fill="FFFFFF" w:val="clear"/>
            <w:tcMar>
              <w:bottom w:w="0" w:type="dxa"/>
            </w:tcMar>
            <w:vAlign w:val="center"/>
          </w:tcPr>
          <w:p>
            <w:pPr>
              <w:pStyle w:val="TableContents"/>
              <w:bidi w:val="0"/>
              <w:spacing w:before="0" w:after="283"/>
              <w:jc w:val="left"/>
              <w:rPr/>
            </w:pPr>
            <w:r>
              <w:rPr/>
              <w:t> </w:t>
            </w:r>
          </w:p>
        </w:tc>
        <w:tc>
          <w:tcPr>
            <w:tcW w:w="899" w:type="dxa"/>
            <w:tcBorders/>
            <w:shd w:fill="FFFFFF" w:val="clear"/>
            <w:tcMar>
              <w:bottom w:w="0" w:type="dxa"/>
            </w:tcMar>
            <w:vAlign w:val="center"/>
          </w:tcPr>
          <w:p>
            <w:pPr>
              <w:pStyle w:val="TableContents"/>
              <w:bidi w:val="0"/>
              <w:spacing w:before="0" w:after="283"/>
              <w:jc w:val="center"/>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ind w:left="0" w:right="0" w:hanging="0"/>
              <w:jc w:val="left"/>
              <w:rPr/>
            </w:pPr>
            <w:r>
              <w:rPr/>
              <w:t> </w:t>
            </w:r>
          </w:p>
        </w:tc>
        <w:tc>
          <w:tcPr>
            <w:tcW w:w="752"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Yield on</w:t>
            </w:r>
          </w:p>
        </w:tc>
        <w:tc>
          <w:tcPr>
            <w:tcW w:w="181" w:type="dxa"/>
            <w:tcBorders/>
            <w:shd w:fill="FFFFFF" w:val="clear"/>
            <w:tcMar>
              <w:bottom w:w="0" w:type="dxa"/>
            </w:tcMar>
            <w:vAlign w:val="center"/>
          </w:tcPr>
          <w:p>
            <w:pPr>
              <w:pStyle w:val="TableContents"/>
              <w:bidi w:val="0"/>
              <w:spacing w:before="0" w:after="283"/>
              <w:jc w:val="left"/>
              <w:rPr/>
            </w:pPr>
            <w:r>
              <w:rPr/>
              <w:t> </w:t>
            </w:r>
          </w:p>
        </w:tc>
      </w:tr>
      <w:tr>
        <w:trPr/>
        <w:tc>
          <w:tcPr>
            <w:tcW w:w="166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4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RMBS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Interest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63"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Average</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51"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As</w:t>
            </w:r>
          </w:p>
        </w:tc>
        <w:tc>
          <w:tcPr>
            <w:tcW w:w="97"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ind w:left="0" w:right="0" w:hanging="0"/>
              <w:jc w:val="left"/>
              <w:rPr/>
            </w:pPr>
            <w:r>
              <w:rPr/>
              <w:t> </w:t>
            </w:r>
          </w:p>
        </w:tc>
        <w:tc>
          <w:tcPr>
            <w:tcW w:w="1142"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Discount</w:t>
            </w:r>
          </w:p>
        </w:tc>
        <w:tc>
          <w:tcPr>
            <w:tcW w:w="97"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ind w:left="0" w:right="0" w:hanging="0"/>
              <w:jc w:val="left"/>
              <w:rPr/>
            </w:pPr>
            <w:r>
              <w:rPr/>
              <w:t> </w:t>
            </w:r>
          </w:p>
        </w:tc>
        <w:tc>
          <w:tcPr>
            <w:tcW w:w="952"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Gains</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62"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Interest</w:t>
            </w:r>
          </w:p>
        </w:tc>
        <w:tc>
          <w:tcPr>
            <w:tcW w:w="88"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ind w:left="0" w:right="0" w:hanging="0"/>
              <w:jc w:val="left"/>
              <w:rPr/>
            </w:pPr>
            <w:r>
              <w:rPr/>
              <w:t> </w:t>
            </w:r>
          </w:p>
        </w:tc>
        <w:tc>
          <w:tcPr>
            <w:tcW w:w="752"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Average</w:t>
            </w:r>
          </w:p>
        </w:tc>
        <w:tc>
          <w:tcPr>
            <w:tcW w:w="181" w:type="dxa"/>
            <w:tcBorders/>
            <w:shd w:fill="FFFFFF" w:val="clear"/>
            <w:tcMar>
              <w:bottom w:w="0" w:type="dxa"/>
            </w:tcMar>
            <w:vAlign w:val="center"/>
          </w:tcPr>
          <w:p>
            <w:pPr>
              <w:pStyle w:val="TableContents"/>
              <w:bidi w:val="0"/>
              <w:spacing w:before="0" w:after="283"/>
              <w:jc w:val="left"/>
              <w:rPr/>
            </w:pPr>
            <w:r>
              <w:rPr/>
              <w:t> </w:t>
            </w:r>
          </w:p>
        </w:tc>
      </w:tr>
      <w:tr>
        <w:trPr/>
        <w:tc>
          <w:tcPr>
            <w:tcW w:w="1663"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4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Held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Income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63"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RMBS</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51"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Reported(1)</w:t>
            </w:r>
          </w:p>
        </w:tc>
        <w:tc>
          <w:tcPr>
            <w:tcW w:w="97" w:type="dxa"/>
            <w:tcBorders>
              <w:bottom w:val="single" w:sz="2" w:space="0" w:color="000000"/>
            </w:tcBorders>
            <w:shd w:fill="FFFFFF" w:val="clear"/>
            <w:vAlign w:val="center"/>
          </w:tcPr>
          <w:p>
            <w:pPr>
              <w:pStyle w:val="TableContents"/>
              <w:bidi w:val="0"/>
              <w:spacing w:before="0" w:after="283"/>
              <w:jc w:val="left"/>
              <w:rPr/>
            </w:pPr>
            <w:r>
              <w:rPr/>
              <w:t> </w:t>
            </w:r>
          </w:p>
        </w:tc>
        <w:tc>
          <w:tcPr>
            <w:tcW w:w="7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142"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Accretion(2)</w:t>
            </w:r>
          </w:p>
        </w:tc>
        <w:tc>
          <w:tcPr>
            <w:tcW w:w="97" w:type="dxa"/>
            <w:tcBorders>
              <w:bottom w:val="single" w:sz="2" w:space="0" w:color="000000"/>
            </w:tcBorders>
            <w:shd w:fill="FFFFFF" w:val="clear"/>
            <w:vAlign w:val="center"/>
          </w:tcPr>
          <w:p>
            <w:pPr>
              <w:pStyle w:val="TableContents"/>
              <w:bidi w:val="0"/>
              <w:spacing w:before="0" w:after="283"/>
              <w:jc w:val="left"/>
              <w:rPr/>
            </w:pPr>
            <w:r>
              <w:rPr/>
              <w:t> </w:t>
            </w:r>
          </w:p>
        </w:tc>
        <w:tc>
          <w:tcPr>
            <w:tcW w:w="7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52"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(Losses)</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62"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Income(3)</w:t>
            </w:r>
          </w:p>
        </w:tc>
        <w:tc>
          <w:tcPr>
            <w:tcW w:w="88" w:type="dxa"/>
            <w:tcBorders>
              <w:bottom w:val="single" w:sz="2" w:space="0" w:color="000000"/>
            </w:tcBorders>
            <w:shd w:fill="FFFFFF" w:val="clear"/>
            <w:vAlign w:val="center"/>
          </w:tcPr>
          <w:p>
            <w:pPr>
              <w:pStyle w:val="TableContents"/>
              <w:bidi w:val="0"/>
              <w:spacing w:before="0" w:after="283"/>
              <w:jc w:val="left"/>
              <w:rPr/>
            </w:pPr>
            <w:r>
              <w:rPr/>
              <w:t> </w:t>
            </w:r>
          </w:p>
        </w:tc>
        <w:tc>
          <w:tcPr>
            <w:tcW w:w="8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52"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RMBS(3)</w:t>
            </w:r>
          </w:p>
        </w:tc>
        <w:tc>
          <w:tcPr>
            <w:tcW w:w="181"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663"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Three Months Ended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60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0" w:type="dxa"/>
            <w:tcBorders>
              <w:bottom w:val="single" w:sz="2" w:space="0" w:color="000000"/>
            </w:tcBorders>
            <w:shd w:fill="FFFFFF" w:val="clear"/>
            <w:vAlign w:val="center"/>
          </w:tcPr>
          <w:p>
            <w:pPr>
              <w:pStyle w:val="TableContents"/>
              <w:bidi w:val="0"/>
              <w:spacing w:before="0" w:after="283"/>
              <w:jc w:val="left"/>
              <w:rPr/>
            </w:pPr>
            <w:r>
              <w:rPr/>
              <w:t> </w:t>
            </w:r>
          </w:p>
        </w:tc>
        <w:tc>
          <w:tcPr>
            <w:tcW w:w="563"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vAlign w:val="center"/>
          </w:tcPr>
          <w:p>
            <w:pPr>
              <w:pStyle w:val="TableContents"/>
              <w:bidi w:val="0"/>
              <w:spacing w:before="0" w:after="283"/>
              <w:jc w:val="left"/>
              <w:rPr/>
            </w:pPr>
            <w:r>
              <w:rPr/>
              <w:t> </w:t>
            </w:r>
          </w:p>
        </w:tc>
        <w:tc>
          <w:tcPr>
            <w:tcW w:w="816" w:type="dxa"/>
            <w:tcBorders>
              <w:bottom w:val="single" w:sz="2" w:space="0" w:color="000000"/>
            </w:tcBorders>
            <w:shd w:fill="FFFFFF" w:val="clear"/>
            <w:vAlign w:val="center"/>
          </w:tcPr>
          <w:p>
            <w:pPr>
              <w:pStyle w:val="TableContents"/>
              <w:bidi w:val="0"/>
              <w:spacing w:before="0" w:after="283"/>
              <w:jc w:val="left"/>
              <w:rPr/>
            </w:pPr>
            <w:r>
              <w:rPr/>
              <w:t> </w:t>
            </w:r>
          </w:p>
        </w:tc>
        <w:tc>
          <w:tcPr>
            <w:tcW w:w="97" w:type="dxa"/>
            <w:tcBorders>
              <w:bottom w:val="single" w:sz="2" w:space="0" w:color="000000"/>
            </w:tcBorders>
            <w:shd w:fill="FFFFFF" w:val="clear"/>
            <w:vAlign w:val="center"/>
          </w:tcPr>
          <w:p>
            <w:pPr>
              <w:pStyle w:val="TableContents"/>
              <w:bidi w:val="0"/>
              <w:spacing w:before="0" w:after="283"/>
              <w:jc w:val="left"/>
              <w:rPr/>
            </w:pPr>
            <w:r>
              <w:rPr/>
              <w:t> </w:t>
            </w:r>
          </w:p>
        </w:tc>
        <w:tc>
          <w:tcPr>
            <w:tcW w:w="72" w:type="dxa"/>
            <w:tcBorders>
              <w:bottom w:val="single" w:sz="2" w:space="0" w:color="000000"/>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vAlign w:val="center"/>
          </w:tcPr>
          <w:p>
            <w:pPr>
              <w:pStyle w:val="TableContents"/>
              <w:bidi w:val="0"/>
              <w:spacing w:before="0" w:after="283"/>
              <w:jc w:val="left"/>
              <w:rPr/>
            </w:pPr>
            <w:r>
              <w:rPr/>
              <w:t> </w:t>
            </w:r>
          </w:p>
        </w:tc>
        <w:tc>
          <w:tcPr>
            <w:tcW w:w="948" w:type="dxa"/>
            <w:tcBorders>
              <w:bottom w:val="single" w:sz="2" w:space="0" w:color="000000"/>
            </w:tcBorders>
            <w:shd w:fill="FFFFFF" w:val="clear"/>
            <w:vAlign w:val="center"/>
          </w:tcPr>
          <w:p>
            <w:pPr>
              <w:pStyle w:val="TableContents"/>
              <w:bidi w:val="0"/>
              <w:spacing w:before="0" w:after="283"/>
              <w:jc w:val="left"/>
              <w:rPr/>
            </w:pPr>
            <w:r>
              <w:rPr/>
              <w:t> </w:t>
            </w:r>
          </w:p>
        </w:tc>
        <w:tc>
          <w:tcPr>
            <w:tcW w:w="97" w:type="dxa"/>
            <w:tcBorders>
              <w:bottom w:val="single" w:sz="2" w:space="0" w:color="000000"/>
            </w:tcBorders>
            <w:shd w:fill="FFFFFF" w:val="clear"/>
            <w:vAlign w:val="center"/>
          </w:tcPr>
          <w:p>
            <w:pPr>
              <w:pStyle w:val="TableContents"/>
              <w:bidi w:val="0"/>
              <w:spacing w:before="0" w:after="283"/>
              <w:jc w:val="left"/>
              <w:rPr/>
            </w:pPr>
            <w:r>
              <w:rPr/>
              <w:t> </w:t>
            </w:r>
          </w:p>
        </w:tc>
        <w:tc>
          <w:tcPr>
            <w:tcW w:w="72" w:type="dxa"/>
            <w:tcBorders>
              <w:bottom w:val="single" w:sz="2" w:space="0" w:color="000000"/>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vAlign w:val="center"/>
          </w:tcPr>
          <w:p>
            <w:pPr>
              <w:pStyle w:val="TableContents"/>
              <w:bidi w:val="0"/>
              <w:spacing w:before="0" w:after="283"/>
              <w:jc w:val="left"/>
              <w:rPr/>
            </w:pPr>
            <w:r>
              <w:rPr/>
              <w:t> </w:t>
            </w:r>
          </w:p>
        </w:tc>
        <w:tc>
          <w:tcPr>
            <w:tcW w:w="817"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vAlign w:val="center"/>
          </w:tcPr>
          <w:p>
            <w:pPr>
              <w:pStyle w:val="TableContents"/>
              <w:bidi w:val="0"/>
              <w:spacing w:before="0" w:after="283"/>
              <w:jc w:val="left"/>
              <w:rPr/>
            </w:pPr>
            <w:r>
              <w:rPr/>
              <w:t> </w:t>
            </w:r>
          </w:p>
        </w:tc>
        <w:tc>
          <w:tcPr>
            <w:tcW w:w="899" w:type="dxa"/>
            <w:tcBorders>
              <w:bottom w:val="single" w:sz="2" w:space="0" w:color="000000"/>
            </w:tcBorders>
            <w:shd w:fill="FFFFFF" w:val="clear"/>
            <w:vAlign w:val="center"/>
          </w:tcPr>
          <w:p>
            <w:pPr>
              <w:pStyle w:val="TableContents"/>
              <w:bidi w:val="0"/>
              <w:spacing w:before="0" w:after="283"/>
              <w:jc w:val="left"/>
              <w:rPr/>
            </w:pPr>
            <w:r>
              <w:rPr/>
              <w:t> </w:t>
            </w:r>
          </w:p>
        </w:tc>
        <w:tc>
          <w:tcPr>
            <w:tcW w:w="88" w:type="dxa"/>
            <w:tcBorders>
              <w:bottom w:val="single" w:sz="2" w:space="0" w:color="000000"/>
            </w:tcBorders>
            <w:shd w:fill="FFFFFF" w:val="clear"/>
            <w:vAlign w:val="center"/>
          </w:tcPr>
          <w:p>
            <w:pPr>
              <w:pStyle w:val="TableContents"/>
              <w:bidi w:val="0"/>
              <w:spacing w:before="0" w:after="283"/>
              <w:jc w:val="left"/>
              <w:rPr/>
            </w:pPr>
            <w:r>
              <w:rPr/>
              <w:t> </w:t>
            </w:r>
          </w:p>
        </w:tc>
        <w:tc>
          <w:tcPr>
            <w:tcW w:w="88" w:type="dxa"/>
            <w:tcBorders>
              <w:bottom w:val="single" w:sz="2" w:space="0" w:color="000000"/>
            </w:tcBorders>
            <w:shd w:fill="FFFFFF" w:val="clear"/>
            <w:vAlign w:val="center"/>
          </w:tcPr>
          <w:p>
            <w:pPr>
              <w:pStyle w:val="TableContents"/>
              <w:bidi w:val="0"/>
              <w:spacing w:before="0" w:after="283"/>
              <w:jc w:val="left"/>
              <w:rPr/>
            </w:pPr>
            <w:r>
              <w:rPr/>
              <w:t> </w:t>
            </w:r>
          </w:p>
        </w:tc>
        <w:tc>
          <w:tcPr>
            <w:tcW w:w="112" w:type="dxa"/>
            <w:tcBorders>
              <w:bottom w:val="single" w:sz="2" w:space="0" w:color="000000"/>
            </w:tcBorders>
            <w:shd w:fill="FFFFFF" w:val="clear"/>
            <w:vAlign w:val="center"/>
          </w:tcPr>
          <w:p>
            <w:pPr>
              <w:pStyle w:val="TableContents"/>
              <w:bidi w:val="0"/>
              <w:spacing w:before="0" w:after="283"/>
              <w:jc w:val="left"/>
              <w:rPr/>
            </w:pPr>
            <w:r>
              <w:rPr/>
              <w:t> </w:t>
            </w:r>
          </w:p>
        </w:tc>
        <w:tc>
          <w:tcPr>
            <w:tcW w:w="640" w:type="dxa"/>
            <w:tcBorders>
              <w:bottom w:val="single" w:sz="2" w:space="0" w:color="000000"/>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663"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June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83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11,439,353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164,187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56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5.74</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81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(27,326</w:t>
            </w:r>
          </w:p>
        </w:tc>
        <w:tc>
          <w:tcPr>
            <w:tcW w:w="9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72" w:type="dxa"/>
            <w:tcBorders/>
            <w:shd w:fill="CCEEFF" w:val="clear"/>
            <w:tcMar>
              <w:bottom w:w="0" w:type="dxa"/>
            </w:tcMar>
            <w:vAlign w:val="center"/>
          </w:tcPr>
          <w:p>
            <w:pPr>
              <w:pStyle w:val="TableContents"/>
              <w:bidi w:val="0"/>
              <w:spacing w:before="0" w:after="283"/>
              <w:jc w:val="left"/>
              <w:rPr/>
            </w:pPr>
            <w:r>
              <w:rPr/>
              <w:t> </w:t>
            </w:r>
          </w:p>
        </w:tc>
        <w:tc>
          <w:tcPr>
            <w:tcW w:w="19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4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(11,679</w:t>
            </w:r>
          </w:p>
        </w:tc>
        <w:tc>
          <w:tcPr>
            <w:tcW w:w="9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72"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81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(15,647</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89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152,508</w:t>
            </w:r>
          </w:p>
        </w:tc>
        <w:tc>
          <w:tcPr>
            <w:tcW w:w="88"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6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5.33</w:t>
            </w:r>
          </w:p>
        </w:tc>
        <w:tc>
          <w:tcPr>
            <w:tcW w:w="18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663"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March 31,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10,983,600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157,838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56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5.75</w:t>
            </w:r>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81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(115,868</w:t>
            </w:r>
          </w:p>
        </w:tc>
        <w:tc>
          <w:tcPr>
            <w:tcW w:w="9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72" w:type="dxa"/>
            <w:tcBorders/>
            <w:shd w:fill="FFFFFF" w:val="clear"/>
            <w:tcMar>
              <w:bottom w:w="0" w:type="dxa"/>
            </w:tcMar>
            <w:vAlign w:val="center"/>
          </w:tcPr>
          <w:p>
            <w:pPr>
              <w:pStyle w:val="TableContents"/>
              <w:bidi w:val="0"/>
              <w:spacing w:before="0" w:after="283"/>
              <w:jc w:val="left"/>
              <w:rPr/>
            </w:pPr>
            <w:r>
              <w:rPr/>
              <w:t> </w:t>
            </w:r>
          </w:p>
        </w:tc>
        <w:tc>
          <w:tcPr>
            <w:tcW w:w="194" w:type="dxa"/>
            <w:tcBorders/>
            <w:shd w:fill="FFFFFF" w:val="clear"/>
            <w:tcMar>
              <w:bottom w:w="0" w:type="dxa"/>
            </w:tcMar>
            <w:vAlign w:val="center"/>
          </w:tcPr>
          <w:p>
            <w:pPr>
              <w:pStyle w:val="TableContents"/>
              <w:bidi w:val="0"/>
              <w:spacing w:before="0" w:after="283"/>
              <w:jc w:val="left"/>
              <w:rPr/>
            </w:pPr>
            <w:r>
              <w:rPr/>
              <w:t> </w:t>
            </w:r>
          </w:p>
        </w:tc>
        <w:tc>
          <w:tcPr>
            <w:tcW w:w="94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(13,551</w:t>
            </w:r>
          </w:p>
        </w:tc>
        <w:tc>
          <w:tcPr>
            <w:tcW w:w="9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72"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81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(102,317</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shd w:fill="FFFFFF" w:val="clear"/>
            <w:tcMar>
              <w:bottom w:w="0" w:type="dxa"/>
            </w:tcMar>
            <w:vAlign w:val="center"/>
          </w:tcPr>
          <w:p>
            <w:pPr>
              <w:pStyle w:val="TableContents"/>
              <w:bidi w:val="0"/>
              <w:spacing w:before="0" w:after="283"/>
              <w:jc w:val="left"/>
              <w:rPr/>
            </w:pPr>
            <w:r>
              <w:rPr/>
              <w:t> </w:t>
            </w:r>
          </w:p>
        </w:tc>
        <w:tc>
          <w:tcPr>
            <w:tcW w:w="89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144,287</w:t>
            </w:r>
          </w:p>
        </w:tc>
        <w:tc>
          <w:tcPr>
            <w:tcW w:w="88"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6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5.25</w:t>
            </w:r>
          </w:p>
        </w:tc>
        <w:tc>
          <w:tcPr>
            <w:tcW w:w="18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663"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December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9,492,369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132,188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56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5.57</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81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53,960</w:t>
            </w:r>
          </w:p>
        </w:tc>
        <w:tc>
          <w:tcPr>
            <w:tcW w:w="97"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194" w:type="dxa"/>
            <w:tcBorders/>
            <w:shd w:fill="CCEEFF" w:val="clear"/>
            <w:tcMar>
              <w:bottom w:w="0" w:type="dxa"/>
            </w:tcMar>
            <w:vAlign w:val="center"/>
          </w:tcPr>
          <w:p>
            <w:pPr>
              <w:pStyle w:val="TableContents"/>
              <w:bidi w:val="0"/>
              <w:spacing w:before="0" w:after="283"/>
              <w:jc w:val="left"/>
              <w:rPr/>
            </w:pPr>
            <w:r>
              <w:rPr/>
              <w:t> </w:t>
            </w:r>
          </w:p>
        </w:tc>
        <w:tc>
          <w:tcPr>
            <w:tcW w:w="94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(7,412</w:t>
            </w:r>
          </w:p>
        </w:tc>
        <w:tc>
          <w:tcPr>
            <w:tcW w:w="9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72"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81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61,372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 </w:t>
            </w:r>
          </w:p>
        </w:tc>
        <w:tc>
          <w:tcPr>
            <w:tcW w:w="89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124,776</w:t>
            </w:r>
          </w:p>
        </w:tc>
        <w:tc>
          <w:tcPr>
            <w:tcW w:w="88"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6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5.26</w:t>
            </w:r>
          </w:p>
        </w:tc>
        <w:tc>
          <w:tcPr>
            <w:tcW w:w="18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663"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September 30,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7,674,720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108,434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56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5.65</w:t>
            </w:r>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81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59,418</w:t>
            </w:r>
          </w:p>
        </w:tc>
        <w:tc>
          <w:tcPr>
            <w:tcW w:w="97"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194" w:type="dxa"/>
            <w:tcBorders/>
            <w:shd w:fill="FFFFFF" w:val="clear"/>
            <w:tcMar>
              <w:bottom w:w="0" w:type="dxa"/>
            </w:tcMar>
            <w:vAlign w:val="center"/>
          </w:tcPr>
          <w:p>
            <w:pPr>
              <w:pStyle w:val="TableContents"/>
              <w:bidi w:val="0"/>
              <w:spacing w:before="0" w:after="283"/>
              <w:jc w:val="left"/>
              <w:rPr/>
            </w:pPr>
            <w:r>
              <w:rPr/>
              <w:t> </w:t>
            </w:r>
          </w:p>
        </w:tc>
        <w:tc>
          <w:tcPr>
            <w:tcW w:w="94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(1,412</w:t>
            </w:r>
          </w:p>
        </w:tc>
        <w:tc>
          <w:tcPr>
            <w:tcW w:w="9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72"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81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60,830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shd w:fill="FFFFFF" w:val="clear"/>
            <w:tcMar>
              <w:bottom w:w="0" w:type="dxa"/>
            </w:tcMar>
            <w:vAlign w:val="center"/>
          </w:tcPr>
          <w:p>
            <w:pPr>
              <w:pStyle w:val="TableContents"/>
              <w:bidi w:val="0"/>
              <w:spacing w:before="0" w:after="283"/>
              <w:jc w:val="left"/>
              <w:rPr/>
            </w:pPr>
            <w:r>
              <w:rPr/>
              <w:t> </w:t>
            </w:r>
          </w:p>
        </w:tc>
        <w:tc>
          <w:tcPr>
            <w:tcW w:w="89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107,022</w:t>
            </w:r>
          </w:p>
        </w:tc>
        <w:tc>
          <w:tcPr>
            <w:tcW w:w="88"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6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5.58</w:t>
            </w:r>
          </w:p>
        </w:tc>
        <w:tc>
          <w:tcPr>
            <w:tcW w:w="18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663"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June 30,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6,865,727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92,289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56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5.38</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81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9,264</w:t>
            </w:r>
          </w:p>
        </w:tc>
        <w:tc>
          <w:tcPr>
            <w:tcW w:w="97"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194" w:type="dxa"/>
            <w:tcBorders/>
            <w:shd w:fill="CCEEFF" w:val="clear"/>
            <w:tcMar>
              <w:bottom w:w="0" w:type="dxa"/>
            </w:tcMar>
            <w:vAlign w:val="center"/>
          </w:tcPr>
          <w:p>
            <w:pPr>
              <w:pStyle w:val="TableContents"/>
              <w:bidi w:val="0"/>
              <w:spacing w:before="0" w:after="283"/>
              <w:jc w:val="left"/>
              <w:rPr/>
            </w:pPr>
            <w:r>
              <w:rPr/>
              <w:t> </w:t>
            </w:r>
          </w:p>
        </w:tc>
        <w:tc>
          <w:tcPr>
            <w:tcW w:w="94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(1,471</w:t>
            </w:r>
          </w:p>
        </w:tc>
        <w:tc>
          <w:tcPr>
            <w:tcW w:w="9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72"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81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10,735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 </w:t>
            </w:r>
          </w:p>
        </w:tc>
        <w:tc>
          <w:tcPr>
            <w:tcW w:w="89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90,818</w:t>
            </w:r>
          </w:p>
        </w:tc>
        <w:tc>
          <w:tcPr>
            <w:tcW w:w="88"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6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5.29</w:t>
            </w:r>
          </w:p>
        </w:tc>
        <w:tc>
          <w:tcPr>
            <w:tcW w:w="18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663"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March 31, 2025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5,995,702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81,090</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63"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5.41</w:t>
            </w:r>
          </w:p>
        </w:tc>
        <w:tc>
          <w:tcPr>
            <w:tcW w:w="17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77,445</w:t>
            </w:r>
          </w:p>
        </w:tc>
        <w:tc>
          <w:tcPr>
            <w:tcW w:w="97" w:type="dxa"/>
            <w:tcBorders>
              <w:bottom w:val="single" w:sz="2" w:space="0" w:color="000000"/>
            </w:tcBorders>
            <w:shd w:fill="FFFFFF" w:val="clear"/>
            <w:vAlign w:val="center"/>
          </w:tcPr>
          <w:p>
            <w:pPr>
              <w:pStyle w:val="TableContents"/>
              <w:bidi w:val="0"/>
              <w:spacing w:before="0" w:after="283"/>
              <w:jc w:val="left"/>
              <w:rPr/>
            </w:pPr>
            <w:r>
              <w:rPr/>
              <w:t> </w:t>
            </w:r>
          </w:p>
        </w:tc>
        <w:tc>
          <w:tcPr>
            <w:tcW w:w="72" w:type="dxa"/>
            <w:tcBorders>
              <w:bottom w:val="single" w:sz="2" w:space="0" w:color="000000"/>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4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2,608</w:t>
            </w:r>
          </w:p>
        </w:tc>
        <w:tc>
          <w:tcPr>
            <w:tcW w:w="97" w:type="dxa"/>
            <w:tcBorders>
              <w:bottom w:val="single" w:sz="2" w:space="0" w:color="000000"/>
            </w:tcBorders>
            <w:shd w:fill="FFFFFF" w:val="clear"/>
            <w:vAlign w:val="center"/>
          </w:tcPr>
          <w:p>
            <w:pPr>
              <w:pStyle w:val="TableContents"/>
              <w:bidi w:val="0"/>
              <w:spacing w:before="0" w:after="283"/>
              <w:jc w:val="left"/>
              <w:rPr/>
            </w:pPr>
            <w:r>
              <w:rPr/>
              <w:t> </w:t>
            </w:r>
          </w:p>
        </w:tc>
        <w:tc>
          <w:tcPr>
            <w:tcW w:w="72" w:type="dxa"/>
            <w:tcBorders>
              <w:bottom w:val="single" w:sz="2" w:space="0" w:color="000000"/>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17"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74,837</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99"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83,698</w:t>
            </w:r>
          </w:p>
        </w:tc>
        <w:tc>
          <w:tcPr>
            <w:tcW w:w="88" w:type="dxa"/>
            <w:tcBorders>
              <w:bottom w:val="single" w:sz="2" w:space="0" w:color="000000"/>
            </w:tcBorders>
            <w:shd w:fill="FFFFFF" w:val="clear"/>
            <w:vAlign w:val="center"/>
          </w:tcPr>
          <w:p>
            <w:pPr>
              <w:pStyle w:val="TableContents"/>
              <w:bidi w:val="0"/>
              <w:spacing w:before="0" w:after="283"/>
              <w:jc w:val="left"/>
              <w:rPr/>
            </w:pPr>
            <w:r>
              <w:rPr/>
              <w:t> </w:t>
            </w:r>
          </w:p>
        </w:tc>
        <w:tc>
          <w:tcPr>
            <w:tcW w:w="88" w:type="dxa"/>
            <w:tcBorders>
              <w:bottom w:val="single" w:sz="2" w:space="0" w:color="000000"/>
            </w:tcBorders>
            <w:shd w:fill="FFFFFF" w:val="clear"/>
            <w:vAlign w:val="center"/>
          </w:tcPr>
          <w:p>
            <w:pPr>
              <w:pStyle w:val="TableContents"/>
              <w:bidi w:val="0"/>
              <w:spacing w:before="0" w:after="283"/>
              <w:jc w:val="left"/>
              <w:rPr/>
            </w:pPr>
            <w:r>
              <w:rPr/>
              <w:t> </w:t>
            </w:r>
          </w:p>
        </w:tc>
        <w:tc>
          <w:tcPr>
            <w:tcW w:w="11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4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5.58</w:t>
            </w:r>
          </w:p>
        </w:tc>
        <w:tc>
          <w:tcPr>
            <w:tcW w:w="181"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hanging="0"/>
        <w:jc w:val="left"/>
        <w:rPr/>
      </w:pPr>
      <w:r>
        <w:rPr/>
        <w:t> </w:t>
      </w:r>
    </w:p>
    <w:tbl>
      <w:tblPr>
        <w:tblW w:w="8305" w:type="dxa"/>
        <w:jc w:val="left"/>
        <w:tblInd w:w="0" w:type="dxa"/>
        <w:tblLayout w:type="fixed"/>
        <w:tblCellMar>
          <w:top w:w="0" w:type="dxa"/>
          <w:left w:w="0" w:type="dxa"/>
          <w:bottom w:w="0" w:type="dxa"/>
          <w:right w:w="0" w:type="dxa"/>
        </w:tblCellMar>
      </w:tblPr>
      <w:tblGrid>
        <w:gridCol w:w="230"/>
        <w:gridCol w:w="8075"/>
      </w:tblGrid>
      <w:tr>
        <w:trPr/>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(1)</w:t>
            </w:r>
          </w:p>
        </w:tc>
        <w:tc>
          <w:tcPr>
            <w:tcW w:w="80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As reported in the Company’s statements of comprehensive income (loss) using the fair value accounting method.</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(2)</w:t>
            </w:r>
          </w:p>
        </w:tc>
        <w:tc>
          <w:tcPr>
            <w:tcW w:w="1000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Premium amortization/discount accretion for each period is calculated using the beginning of period market value of all securities. Amounts presented are intended to approximate amortization/accretion using the yield method over the life of the security based on premium/discount present at purchase date.</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(3)</w:t>
            </w:r>
          </w:p>
        </w:tc>
        <w:tc>
          <w:tcPr>
            <w:tcW w:w="1000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Interest Income – Inclusive of Premium Amortization/Discount Accretion and Yield on Average RMBS – Inclusive of Premium Amortization/Discount Accretion are non-GAAP measures. See “—GAAP and Non-GAAP Reconciliations,” for a description of our non-GAAP measures.</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For the six and three months ended June 30, 2026, the Company’s total operating expenses were approximately $14.2 million and $6.8 million, respectively, compared to approximately $9.2 million and $5.0 million for the six and three months ended June 30, 2025, respectively. The table below presents a breakdown of operating expenses for the six and three months ended June 30, 2026 and 2025.</w:t>
      </w:r>
    </w:p>
    <w:p>
      <w:pPr>
        <w:pStyle w:val="TextBody"/>
        <w:bidi w:val="0"/>
        <w:spacing w:before="0" w:after="0"/>
        <w:ind w:left="0" w:right="0" w:firstLine="360"/>
        <w:jc w:val="left"/>
        <w:rPr>
          <w:caps w:val="false"/>
          <w:smallCaps w:val="false"/>
        </w:rPr>
      </w:pPr>
      <w:r>
        <w:rPr>
          <w:caps w:val="false"/>
          <w:smallCaps w:val="false"/>
        </w:rPr>
        <w:t> </w:t>
      </w:r>
    </w:p>
    <w:tbl>
      <w:tblPr>
        <w:tblW w:w="7600" w:type="dxa"/>
        <w:jc w:val="left"/>
        <w:tblInd w:w="0" w:type="dxa"/>
        <w:tblLayout w:type="fixed"/>
        <w:tblCellMar>
          <w:top w:w="0" w:type="dxa"/>
          <w:left w:w="0" w:type="dxa"/>
          <w:bottom w:w="28" w:type="dxa"/>
          <w:right w:w="0" w:type="dxa"/>
        </w:tblCellMar>
      </w:tblPr>
      <w:tblGrid>
        <w:gridCol w:w="2795"/>
        <w:gridCol w:w="60"/>
        <w:gridCol w:w="122"/>
        <w:gridCol w:w="572"/>
        <w:gridCol w:w="66"/>
        <w:gridCol w:w="66"/>
        <w:gridCol w:w="122"/>
        <w:gridCol w:w="472"/>
        <w:gridCol w:w="66"/>
        <w:gridCol w:w="66"/>
        <w:gridCol w:w="127"/>
        <w:gridCol w:w="493"/>
        <w:gridCol w:w="80"/>
        <w:gridCol w:w="60"/>
        <w:gridCol w:w="140"/>
        <w:gridCol w:w="543"/>
        <w:gridCol w:w="76"/>
        <w:gridCol w:w="76"/>
        <w:gridCol w:w="140"/>
        <w:gridCol w:w="543"/>
        <w:gridCol w:w="76"/>
        <w:gridCol w:w="76"/>
        <w:gridCol w:w="140"/>
        <w:gridCol w:w="543"/>
        <w:gridCol w:w="80"/>
      </w:tblGrid>
      <w:tr>
        <w:trPr/>
        <w:tc>
          <w:tcPr>
            <w:tcW w:w="279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2" w:type="dxa"/>
            <w:tcBorders>
              <w:bottom w:val="single" w:sz="2" w:space="0" w:color="000000"/>
            </w:tcBorders>
            <w:shd w:fill="FFFFFF" w:val="clear"/>
            <w:vAlign w:val="center"/>
          </w:tcPr>
          <w:p>
            <w:pPr>
              <w:pStyle w:val="TableContents"/>
              <w:bidi w:val="0"/>
              <w:spacing w:before="0" w:after="283"/>
              <w:jc w:val="left"/>
              <w:rPr/>
            </w:pPr>
            <w:r>
              <w:rPr/>
              <w:t> </w:t>
            </w:r>
          </w:p>
        </w:tc>
        <w:tc>
          <w:tcPr>
            <w:tcW w:w="572" w:type="dxa"/>
            <w:tcBorders>
              <w:bottom w:val="single" w:sz="2" w:space="0" w:color="000000"/>
            </w:tcBorders>
            <w:shd w:fill="FFFFFF" w:val="clear"/>
            <w:vAlign w:val="center"/>
          </w:tcPr>
          <w:p>
            <w:pPr>
              <w:pStyle w:val="TableContents"/>
              <w:bidi w:val="0"/>
              <w:spacing w:before="0" w:after="283"/>
              <w:jc w:val="left"/>
              <w:rPr/>
            </w:pPr>
            <w:r>
              <w:rPr/>
              <w:t> </w:t>
            </w:r>
          </w:p>
        </w:tc>
        <w:tc>
          <w:tcPr>
            <w:tcW w:w="66" w:type="dxa"/>
            <w:tcBorders>
              <w:bottom w:val="single" w:sz="2" w:space="0" w:color="000000"/>
            </w:tcBorders>
            <w:shd w:fill="FFFFFF" w:val="clear"/>
            <w:vAlign w:val="center"/>
          </w:tcPr>
          <w:p>
            <w:pPr>
              <w:pStyle w:val="TableContents"/>
              <w:bidi w:val="0"/>
              <w:spacing w:before="0" w:after="283"/>
              <w:jc w:val="left"/>
              <w:rPr/>
            </w:pPr>
            <w:r>
              <w:rPr/>
              <w:t> </w:t>
            </w:r>
          </w:p>
        </w:tc>
        <w:tc>
          <w:tcPr>
            <w:tcW w:w="66" w:type="dxa"/>
            <w:tcBorders>
              <w:bottom w:val="single" w:sz="2" w:space="0" w:color="000000"/>
            </w:tcBorders>
            <w:shd w:fill="FFFFFF" w:val="clear"/>
            <w:vAlign w:val="center"/>
          </w:tcPr>
          <w:p>
            <w:pPr>
              <w:pStyle w:val="TableContents"/>
              <w:bidi w:val="0"/>
              <w:spacing w:before="0" w:after="283"/>
              <w:jc w:val="left"/>
              <w:rPr/>
            </w:pPr>
            <w:r>
              <w:rPr/>
              <w:t> </w:t>
            </w:r>
          </w:p>
        </w:tc>
        <w:tc>
          <w:tcPr>
            <w:tcW w:w="122" w:type="dxa"/>
            <w:tcBorders>
              <w:bottom w:val="single" w:sz="2" w:space="0" w:color="000000"/>
            </w:tcBorders>
            <w:shd w:fill="FFFFFF" w:val="clear"/>
            <w:vAlign w:val="center"/>
          </w:tcPr>
          <w:p>
            <w:pPr>
              <w:pStyle w:val="TableContents"/>
              <w:bidi w:val="0"/>
              <w:spacing w:before="0" w:after="283"/>
              <w:jc w:val="left"/>
              <w:rPr/>
            </w:pPr>
            <w:r>
              <w:rPr/>
              <w:t> </w:t>
            </w:r>
          </w:p>
        </w:tc>
        <w:tc>
          <w:tcPr>
            <w:tcW w:w="472" w:type="dxa"/>
            <w:tcBorders>
              <w:bottom w:val="single" w:sz="2" w:space="0" w:color="000000"/>
            </w:tcBorders>
            <w:shd w:fill="FFFFFF" w:val="clear"/>
            <w:vAlign w:val="center"/>
          </w:tcPr>
          <w:p>
            <w:pPr>
              <w:pStyle w:val="TableContents"/>
              <w:bidi w:val="0"/>
              <w:spacing w:before="0" w:after="283"/>
              <w:jc w:val="left"/>
              <w:rPr/>
            </w:pPr>
            <w:r>
              <w:rPr/>
              <w:t> </w:t>
            </w:r>
          </w:p>
        </w:tc>
        <w:tc>
          <w:tcPr>
            <w:tcW w:w="66" w:type="dxa"/>
            <w:tcBorders>
              <w:bottom w:val="single" w:sz="2" w:space="0" w:color="000000"/>
            </w:tcBorders>
            <w:shd w:fill="FFFFFF" w:val="clear"/>
            <w:vAlign w:val="center"/>
          </w:tcPr>
          <w:p>
            <w:pPr>
              <w:pStyle w:val="TableContents"/>
              <w:bidi w:val="0"/>
              <w:spacing w:before="0" w:after="283"/>
              <w:jc w:val="left"/>
              <w:rPr/>
            </w:pPr>
            <w:r>
              <w:rPr/>
              <w:t> </w:t>
            </w:r>
          </w:p>
        </w:tc>
        <w:tc>
          <w:tcPr>
            <w:tcW w:w="66" w:type="dxa"/>
            <w:tcBorders>
              <w:bottom w:val="single" w:sz="2" w:space="0" w:color="000000"/>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vAlign w:val="center"/>
          </w:tcPr>
          <w:p>
            <w:pPr>
              <w:pStyle w:val="TableContents"/>
              <w:bidi w:val="0"/>
              <w:spacing w:before="0" w:after="283"/>
              <w:jc w:val="left"/>
              <w:rPr/>
            </w:pPr>
            <w:r>
              <w:rPr/>
              <w:t> </w:t>
            </w:r>
          </w:p>
        </w:tc>
        <w:tc>
          <w:tcPr>
            <w:tcW w:w="493"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vAlign w:val="center"/>
          </w:tcPr>
          <w:p>
            <w:pPr>
              <w:pStyle w:val="TableContents"/>
              <w:bidi w:val="0"/>
              <w:spacing w:before="0" w:after="283"/>
              <w:jc w:val="left"/>
              <w:rPr/>
            </w:pPr>
            <w:r>
              <w:rPr/>
              <w:t> </w:t>
            </w:r>
          </w:p>
        </w:tc>
        <w:tc>
          <w:tcPr>
            <w:tcW w:w="543" w:type="dxa"/>
            <w:tcBorders>
              <w:bottom w:val="single" w:sz="2" w:space="0" w:color="000000"/>
            </w:tcBorders>
            <w:shd w:fill="FFFFFF" w:val="clear"/>
            <w:vAlign w:val="center"/>
          </w:tcPr>
          <w:p>
            <w:pPr>
              <w:pStyle w:val="TableContents"/>
              <w:bidi w:val="0"/>
              <w:spacing w:before="0" w:after="283"/>
              <w:jc w:val="left"/>
              <w:rPr/>
            </w:pPr>
            <w:r>
              <w:rPr/>
              <w:t> </w:t>
            </w:r>
          </w:p>
        </w:tc>
        <w:tc>
          <w:tcPr>
            <w:tcW w:w="76" w:type="dxa"/>
            <w:tcBorders>
              <w:bottom w:val="single" w:sz="2" w:space="0" w:color="000000"/>
            </w:tcBorders>
            <w:shd w:fill="FFFFFF" w:val="clear"/>
            <w:vAlign w:val="center"/>
          </w:tcPr>
          <w:p>
            <w:pPr>
              <w:pStyle w:val="TableContents"/>
              <w:bidi w:val="0"/>
              <w:spacing w:before="0" w:after="283"/>
              <w:jc w:val="left"/>
              <w:rPr/>
            </w:pPr>
            <w:r>
              <w:rPr/>
              <w:t> </w:t>
            </w:r>
          </w:p>
        </w:tc>
        <w:tc>
          <w:tcPr>
            <w:tcW w:w="76" w:type="dxa"/>
            <w:tcBorders>
              <w:bottom w:val="single" w:sz="2" w:space="0" w:color="000000"/>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vAlign w:val="center"/>
          </w:tcPr>
          <w:p>
            <w:pPr>
              <w:pStyle w:val="TableContents"/>
              <w:bidi w:val="0"/>
              <w:spacing w:before="0" w:after="283"/>
              <w:jc w:val="left"/>
              <w:rPr/>
            </w:pPr>
            <w:r>
              <w:rPr/>
              <w:t> </w:t>
            </w:r>
          </w:p>
        </w:tc>
        <w:tc>
          <w:tcPr>
            <w:tcW w:w="543" w:type="dxa"/>
            <w:tcBorders>
              <w:bottom w:val="single" w:sz="2" w:space="0" w:color="000000"/>
            </w:tcBorders>
            <w:shd w:fill="FFFFFF" w:val="clear"/>
            <w:vAlign w:val="center"/>
          </w:tcPr>
          <w:p>
            <w:pPr>
              <w:pStyle w:val="TableContents"/>
              <w:bidi w:val="0"/>
              <w:spacing w:before="0" w:after="283"/>
              <w:jc w:val="left"/>
              <w:rPr/>
            </w:pPr>
            <w:r>
              <w:rPr/>
              <w:t> </w:t>
            </w:r>
          </w:p>
        </w:tc>
        <w:tc>
          <w:tcPr>
            <w:tcW w:w="76" w:type="dxa"/>
            <w:tcBorders>
              <w:bottom w:val="single" w:sz="2" w:space="0" w:color="000000"/>
            </w:tcBorders>
            <w:shd w:fill="FFFFFF" w:val="clear"/>
            <w:vAlign w:val="center"/>
          </w:tcPr>
          <w:p>
            <w:pPr>
              <w:pStyle w:val="TableContents"/>
              <w:bidi w:val="0"/>
              <w:spacing w:before="0" w:after="283"/>
              <w:jc w:val="left"/>
              <w:rPr/>
            </w:pPr>
            <w:r>
              <w:rPr/>
              <w:t> </w:t>
            </w:r>
          </w:p>
        </w:tc>
        <w:tc>
          <w:tcPr>
            <w:tcW w:w="76" w:type="dxa"/>
            <w:tcBorders>
              <w:bottom w:val="single" w:sz="2" w:space="0" w:color="000000"/>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vAlign w:val="center"/>
          </w:tcPr>
          <w:p>
            <w:pPr>
              <w:pStyle w:val="TableContents"/>
              <w:bidi w:val="0"/>
              <w:spacing w:before="0" w:after="283"/>
              <w:jc w:val="left"/>
              <w:rPr/>
            </w:pPr>
            <w:r>
              <w:rPr/>
              <w:t> </w:t>
            </w:r>
          </w:p>
        </w:tc>
        <w:tc>
          <w:tcPr>
            <w:tcW w:w="543"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7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172" w:type="dxa"/>
            <w:gridSpan w:val="10"/>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Six Months Ended June 30,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353" w:type="dxa"/>
            <w:gridSpan w:val="10"/>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Three Months Ended June 30,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79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4"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2026</w:t>
            </w:r>
          </w:p>
        </w:tc>
        <w:tc>
          <w:tcPr>
            <w:tcW w:w="66" w:type="dxa"/>
            <w:tcBorders>
              <w:bottom w:val="single" w:sz="2" w:space="0" w:color="000000"/>
            </w:tcBorders>
            <w:shd w:fill="FFFFFF" w:val="clear"/>
            <w:vAlign w:val="center"/>
          </w:tcPr>
          <w:p>
            <w:pPr>
              <w:pStyle w:val="TableContents"/>
              <w:bidi w:val="0"/>
              <w:spacing w:before="0" w:after="283"/>
              <w:jc w:val="left"/>
              <w:rPr/>
            </w:pPr>
            <w:r>
              <w:rPr/>
              <w:t> </w:t>
            </w:r>
          </w:p>
        </w:tc>
        <w:tc>
          <w:tcPr>
            <w:tcW w:w="6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4"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2025</w:t>
            </w:r>
          </w:p>
        </w:tc>
        <w:tc>
          <w:tcPr>
            <w:tcW w:w="66" w:type="dxa"/>
            <w:tcBorders>
              <w:bottom w:val="single" w:sz="2" w:space="0" w:color="000000"/>
            </w:tcBorders>
            <w:shd w:fill="FFFFFF" w:val="clear"/>
            <w:vAlign w:val="center"/>
          </w:tcPr>
          <w:p>
            <w:pPr>
              <w:pStyle w:val="TableContents"/>
              <w:bidi w:val="0"/>
              <w:spacing w:before="0" w:after="283"/>
              <w:jc w:val="left"/>
              <w:rPr/>
            </w:pPr>
            <w:r>
              <w:rPr/>
              <w:t> </w:t>
            </w:r>
          </w:p>
        </w:tc>
        <w:tc>
          <w:tcPr>
            <w:tcW w:w="6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Change</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83"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2026</w:t>
            </w:r>
          </w:p>
        </w:tc>
        <w:tc>
          <w:tcPr>
            <w:tcW w:w="76" w:type="dxa"/>
            <w:tcBorders>
              <w:bottom w:val="single" w:sz="2" w:space="0" w:color="000000"/>
            </w:tcBorders>
            <w:shd w:fill="FFFFFF" w:val="clear"/>
            <w:vAlign w:val="center"/>
          </w:tcPr>
          <w:p>
            <w:pPr>
              <w:pStyle w:val="TableContents"/>
              <w:bidi w:val="0"/>
              <w:spacing w:before="0" w:after="283"/>
              <w:jc w:val="left"/>
              <w:rPr/>
            </w:pPr>
            <w:r>
              <w:rPr/>
              <w:t> </w:t>
            </w:r>
          </w:p>
        </w:tc>
        <w:tc>
          <w:tcPr>
            <w:tcW w:w="7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83"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2025</w:t>
            </w:r>
          </w:p>
        </w:tc>
        <w:tc>
          <w:tcPr>
            <w:tcW w:w="76" w:type="dxa"/>
            <w:tcBorders>
              <w:bottom w:val="single" w:sz="2" w:space="0" w:color="000000"/>
            </w:tcBorders>
            <w:shd w:fill="FFFFFF" w:val="clear"/>
            <w:vAlign w:val="center"/>
          </w:tcPr>
          <w:p>
            <w:pPr>
              <w:pStyle w:val="TableContents"/>
              <w:bidi w:val="0"/>
              <w:spacing w:before="0" w:after="283"/>
              <w:jc w:val="left"/>
              <w:rPr/>
            </w:pPr>
            <w:r>
              <w:rPr/>
              <w:t> </w:t>
            </w:r>
          </w:p>
        </w:tc>
        <w:tc>
          <w:tcPr>
            <w:tcW w:w="7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83"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Change</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79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Management fees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8,111</w:t>
            </w:r>
          </w:p>
        </w:tc>
        <w:tc>
          <w:tcPr>
            <w:tcW w:w="66"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ind w:left="0" w:right="0" w:hanging="0"/>
              <w:jc w:val="left"/>
              <w:rPr/>
            </w:pPr>
            <w:r>
              <w:rPr/>
              <w:t> </w:t>
            </w:r>
          </w:p>
        </w:tc>
        <w:tc>
          <w:tcPr>
            <w:tcW w:w="12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7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5,729</w:t>
            </w:r>
          </w:p>
        </w:tc>
        <w:tc>
          <w:tcPr>
            <w:tcW w:w="66"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ind w:left="0" w:right="0" w:hanging="0"/>
              <w:jc w:val="left"/>
              <w:rPr/>
            </w:pPr>
            <w:r>
              <w:rPr/>
              <w:t> </w:t>
            </w:r>
          </w:p>
        </w:tc>
        <w:tc>
          <w:tcPr>
            <w:tcW w:w="127"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9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2,382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4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4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4,123</w:t>
            </w:r>
          </w:p>
        </w:tc>
        <w:tc>
          <w:tcPr>
            <w:tcW w:w="76"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ind w:left="0" w:right="0" w:hanging="0"/>
              <w:jc w:val="left"/>
              <w:rPr/>
            </w:pPr>
            <w:r>
              <w:rPr/>
              <w:t> </w:t>
            </w:r>
          </w:p>
        </w:tc>
        <w:tc>
          <w:tcPr>
            <w:tcW w:w="14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4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2,982</w:t>
            </w:r>
          </w:p>
        </w:tc>
        <w:tc>
          <w:tcPr>
            <w:tcW w:w="76"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ind w:left="0" w:right="0" w:hanging="0"/>
              <w:jc w:val="left"/>
              <w:rPr/>
            </w:pPr>
            <w:r>
              <w:rPr/>
              <w:t> </w:t>
            </w:r>
          </w:p>
        </w:tc>
        <w:tc>
          <w:tcPr>
            <w:tcW w:w="14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4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1,141</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79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Allocated overhead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ind w:left="0" w:right="0" w:hanging="0"/>
              <w:jc w:val="left"/>
              <w:rPr/>
            </w:pPr>
            <w:r>
              <w:rPr/>
              <w:t> </w:t>
            </w:r>
          </w:p>
        </w:tc>
        <w:tc>
          <w:tcPr>
            <w:tcW w:w="57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1,371</w:t>
            </w:r>
          </w:p>
        </w:tc>
        <w:tc>
          <w:tcPr>
            <w:tcW w:w="66"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ind w:left="0" w:right="0" w:hanging="0"/>
              <w:jc w:val="left"/>
              <w:rPr/>
            </w:pPr>
            <w:r>
              <w:rPr/>
              <w:t> </w:t>
            </w:r>
          </w:p>
        </w:tc>
        <w:tc>
          <w:tcPr>
            <w:tcW w:w="47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1,190</w:t>
            </w:r>
          </w:p>
        </w:tc>
        <w:tc>
          <w:tcPr>
            <w:tcW w:w="66"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127" w:type="dxa"/>
            <w:tcBorders/>
            <w:shd w:fill="FFFFFF" w:val="clear"/>
            <w:tcMar>
              <w:bottom w:w="0" w:type="dxa"/>
            </w:tcMar>
            <w:vAlign w:val="center"/>
          </w:tcPr>
          <w:p>
            <w:pPr>
              <w:pStyle w:val="TableContents"/>
              <w:bidi w:val="0"/>
              <w:spacing w:before="0" w:after="283"/>
              <w:ind w:left="0" w:right="0" w:hanging="0"/>
              <w:jc w:val="left"/>
              <w:rPr/>
            </w:pPr>
            <w:r>
              <w:rPr/>
              <w:t> </w:t>
            </w:r>
          </w:p>
        </w:tc>
        <w:tc>
          <w:tcPr>
            <w:tcW w:w="49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ind w:left="0" w:right="0" w:hanging="0"/>
              <w:jc w:val="left"/>
              <w:rPr/>
            </w:pPr>
            <w:r>
              <w:rPr/>
              <w:t> </w:t>
            </w:r>
          </w:p>
        </w:tc>
        <w:tc>
          <w:tcPr>
            <w:tcW w:w="54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585</w:t>
            </w:r>
          </w:p>
        </w:tc>
        <w:tc>
          <w:tcPr>
            <w:tcW w:w="76"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ind w:left="0" w:right="0" w:hanging="0"/>
              <w:jc w:val="left"/>
              <w:rPr/>
            </w:pPr>
            <w:r>
              <w:rPr/>
              <w:t> </w:t>
            </w:r>
          </w:p>
        </w:tc>
        <w:tc>
          <w:tcPr>
            <w:tcW w:w="54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582</w:t>
            </w:r>
          </w:p>
        </w:tc>
        <w:tc>
          <w:tcPr>
            <w:tcW w:w="76"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ind w:left="0" w:right="0" w:hanging="0"/>
              <w:jc w:val="left"/>
              <w:rPr/>
            </w:pPr>
            <w:r>
              <w:rPr/>
              <w:t> </w:t>
            </w:r>
          </w:p>
        </w:tc>
        <w:tc>
          <w:tcPr>
            <w:tcW w:w="54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79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Incentive compensation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ind w:left="0" w:right="0" w:hanging="0"/>
              <w:jc w:val="left"/>
              <w:rPr/>
            </w:pPr>
            <w:r>
              <w:rPr/>
              <w:t> </w:t>
            </w:r>
          </w:p>
        </w:tc>
        <w:tc>
          <w:tcPr>
            <w:tcW w:w="57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1,830</w:t>
            </w:r>
          </w:p>
        </w:tc>
        <w:tc>
          <w:tcPr>
            <w:tcW w:w="66"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ind w:left="0" w:right="0" w:hanging="0"/>
              <w:jc w:val="left"/>
              <w:rPr/>
            </w:pPr>
            <w:r>
              <w:rPr/>
              <w:t> </w:t>
            </w:r>
          </w:p>
        </w:tc>
        <w:tc>
          <w:tcPr>
            <w:tcW w:w="47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w:t>
            </w:r>
          </w:p>
        </w:tc>
        <w:tc>
          <w:tcPr>
            <w:tcW w:w="66"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ind w:left="0" w:right="0" w:hanging="0"/>
              <w:jc w:val="left"/>
              <w:rPr/>
            </w:pPr>
            <w:r>
              <w:rPr/>
              <w:t> </w:t>
            </w:r>
          </w:p>
        </w:tc>
        <w:tc>
          <w:tcPr>
            <w:tcW w:w="49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1,809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ind w:left="0" w:right="0" w:hanging="0"/>
              <w:jc w:val="left"/>
              <w:rPr/>
            </w:pPr>
            <w:r>
              <w:rPr/>
              <w:t> </w:t>
            </w:r>
          </w:p>
        </w:tc>
        <w:tc>
          <w:tcPr>
            <w:tcW w:w="54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415</w:t>
            </w:r>
          </w:p>
        </w:tc>
        <w:tc>
          <w:tcPr>
            <w:tcW w:w="76"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ind w:left="0" w:right="0" w:hanging="0"/>
              <w:jc w:val="left"/>
              <w:rPr/>
            </w:pPr>
            <w:r>
              <w:rPr/>
              <w:t> </w:t>
            </w:r>
          </w:p>
        </w:tc>
        <w:tc>
          <w:tcPr>
            <w:tcW w:w="54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228</w:t>
            </w:r>
          </w:p>
        </w:tc>
        <w:tc>
          <w:tcPr>
            <w:tcW w:w="76"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ind w:left="0" w:right="0" w:hanging="0"/>
              <w:jc w:val="left"/>
              <w:rPr/>
            </w:pPr>
            <w:r>
              <w:rPr/>
              <w:t> </w:t>
            </w:r>
          </w:p>
        </w:tc>
        <w:tc>
          <w:tcPr>
            <w:tcW w:w="54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187</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79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Directors fees and liability insurance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ind w:left="0" w:right="0" w:hanging="0"/>
              <w:jc w:val="left"/>
              <w:rPr/>
            </w:pPr>
            <w:r>
              <w:rPr/>
              <w:t> </w:t>
            </w:r>
          </w:p>
        </w:tc>
        <w:tc>
          <w:tcPr>
            <w:tcW w:w="57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635</w:t>
            </w:r>
          </w:p>
        </w:tc>
        <w:tc>
          <w:tcPr>
            <w:tcW w:w="66"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ind w:left="0" w:right="0" w:hanging="0"/>
              <w:jc w:val="left"/>
              <w:rPr/>
            </w:pPr>
            <w:r>
              <w:rPr/>
              <w:t> </w:t>
            </w:r>
          </w:p>
        </w:tc>
        <w:tc>
          <w:tcPr>
            <w:tcW w:w="47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672</w:t>
            </w:r>
          </w:p>
        </w:tc>
        <w:tc>
          <w:tcPr>
            <w:tcW w:w="66"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127" w:type="dxa"/>
            <w:tcBorders/>
            <w:shd w:fill="FFFFFF" w:val="clear"/>
            <w:tcMar>
              <w:bottom w:w="0" w:type="dxa"/>
            </w:tcMar>
            <w:vAlign w:val="center"/>
          </w:tcPr>
          <w:p>
            <w:pPr>
              <w:pStyle w:val="TableContents"/>
              <w:bidi w:val="0"/>
              <w:spacing w:before="0" w:after="283"/>
              <w:ind w:left="0" w:right="0" w:hanging="0"/>
              <w:jc w:val="left"/>
              <w:rPr/>
            </w:pPr>
            <w:r>
              <w:rPr/>
              <w:t> </w:t>
            </w:r>
          </w:p>
        </w:tc>
        <w:tc>
          <w:tcPr>
            <w:tcW w:w="49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ind w:left="0" w:right="0" w:hanging="0"/>
              <w:jc w:val="left"/>
              <w:rPr/>
            </w:pPr>
            <w:r>
              <w:rPr/>
              <w:t> </w:t>
            </w:r>
          </w:p>
        </w:tc>
        <w:tc>
          <w:tcPr>
            <w:tcW w:w="54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323</w:t>
            </w:r>
          </w:p>
        </w:tc>
        <w:tc>
          <w:tcPr>
            <w:tcW w:w="76"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ind w:left="0" w:right="0" w:hanging="0"/>
              <w:jc w:val="left"/>
              <w:rPr/>
            </w:pPr>
            <w:r>
              <w:rPr/>
              <w:t> </w:t>
            </w:r>
          </w:p>
        </w:tc>
        <w:tc>
          <w:tcPr>
            <w:tcW w:w="54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334</w:t>
            </w:r>
          </w:p>
        </w:tc>
        <w:tc>
          <w:tcPr>
            <w:tcW w:w="76"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ind w:left="0" w:right="0" w:hanging="0"/>
              <w:jc w:val="left"/>
              <w:rPr/>
            </w:pPr>
            <w:r>
              <w:rPr/>
              <w:t> </w:t>
            </w:r>
          </w:p>
        </w:tc>
        <w:tc>
          <w:tcPr>
            <w:tcW w:w="54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79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Audit, legal and other professional fees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ind w:left="0" w:right="0" w:hanging="0"/>
              <w:jc w:val="left"/>
              <w:rPr/>
            </w:pPr>
            <w:r>
              <w:rPr/>
              <w:t> </w:t>
            </w:r>
          </w:p>
        </w:tc>
        <w:tc>
          <w:tcPr>
            <w:tcW w:w="57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712</w:t>
            </w:r>
          </w:p>
        </w:tc>
        <w:tc>
          <w:tcPr>
            <w:tcW w:w="66"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ind w:left="0" w:right="0" w:hanging="0"/>
              <w:jc w:val="left"/>
              <w:rPr/>
            </w:pPr>
            <w:r>
              <w:rPr/>
              <w:t> </w:t>
            </w:r>
          </w:p>
        </w:tc>
        <w:tc>
          <w:tcPr>
            <w:tcW w:w="47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753</w:t>
            </w:r>
          </w:p>
        </w:tc>
        <w:tc>
          <w:tcPr>
            <w:tcW w:w="66"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ind w:left="0" w:right="0" w:hanging="0"/>
              <w:jc w:val="left"/>
              <w:rPr/>
            </w:pPr>
            <w:r>
              <w:rPr/>
              <w:t> </w:t>
            </w:r>
          </w:p>
        </w:tc>
        <w:tc>
          <w:tcPr>
            <w:tcW w:w="49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(41</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ind w:left="0" w:right="0" w:hanging="0"/>
              <w:jc w:val="left"/>
              <w:rPr/>
            </w:pPr>
            <w:r>
              <w:rPr/>
              <w:t> </w:t>
            </w:r>
          </w:p>
        </w:tc>
        <w:tc>
          <w:tcPr>
            <w:tcW w:w="54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400</w:t>
            </w:r>
          </w:p>
        </w:tc>
        <w:tc>
          <w:tcPr>
            <w:tcW w:w="76"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ind w:left="0" w:right="0" w:hanging="0"/>
              <w:jc w:val="left"/>
              <w:rPr/>
            </w:pPr>
            <w:r>
              <w:rPr/>
              <w:t> </w:t>
            </w:r>
          </w:p>
        </w:tc>
        <w:tc>
          <w:tcPr>
            <w:tcW w:w="54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360</w:t>
            </w:r>
          </w:p>
        </w:tc>
        <w:tc>
          <w:tcPr>
            <w:tcW w:w="76"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ind w:left="0" w:right="0" w:hanging="0"/>
              <w:jc w:val="left"/>
              <w:rPr/>
            </w:pPr>
            <w:r>
              <w:rPr/>
              <w:t> </w:t>
            </w:r>
          </w:p>
        </w:tc>
        <w:tc>
          <w:tcPr>
            <w:tcW w:w="54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79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Direct REIT operating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ind w:left="0" w:right="0" w:hanging="0"/>
              <w:jc w:val="left"/>
              <w:rPr/>
            </w:pPr>
            <w:r>
              <w:rPr/>
              <w:t> </w:t>
            </w:r>
          </w:p>
        </w:tc>
        <w:tc>
          <w:tcPr>
            <w:tcW w:w="57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981</w:t>
            </w:r>
          </w:p>
        </w:tc>
        <w:tc>
          <w:tcPr>
            <w:tcW w:w="66"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ind w:left="0" w:right="0" w:hanging="0"/>
              <w:jc w:val="left"/>
              <w:rPr/>
            </w:pPr>
            <w:r>
              <w:rPr/>
              <w:t> </w:t>
            </w:r>
          </w:p>
        </w:tc>
        <w:tc>
          <w:tcPr>
            <w:tcW w:w="47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474</w:t>
            </w:r>
          </w:p>
        </w:tc>
        <w:tc>
          <w:tcPr>
            <w:tcW w:w="66"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127" w:type="dxa"/>
            <w:tcBorders/>
            <w:shd w:fill="FFFFFF" w:val="clear"/>
            <w:tcMar>
              <w:bottom w:w="0" w:type="dxa"/>
            </w:tcMar>
            <w:vAlign w:val="center"/>
          </w:tcPr>
          <w:p>
            <w:pPr>
              <w:pStyle w:val="TableContents"/>
              <w:bidi w:val="0"/>
              <w:spacing w:before="0" w:after="283"/>
              <w:ind w:left="0" w:right="0" w:hanging="0"/>
              <w:jc w:val="left"/>
              <w:rPr/>
            </w:pPr>
            <w:r>
              <w:rPr/>
              <w:t> </w:t>
            </w:r>
          </w:p>
        </w:tc>
        <w:tc>
          <w:tcPr>
            <w:tcW w:w="49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ind w:left="0" w:right="0" w:hanging="0"/>
              <w:jc w:val="left"/>
              <w:rPr/>
            </w:pPr>
            <w:r>
              <w:rPr/>
              <w:t> </w:t>
            </w:r>
          </w:p>
        </w:tc>
        <w:tc>
          <w:tcPr>
            <w:tcW w:w="54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509</w:t>
            </w:r>
          </w:p>
        </w:tc>
        <w:tc>
          <w:tcPr>
            <w:tcW w:w="76"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ind w:left="0" w:right="0" w:hanging="0"/>
              <w:jc w:val="left"/>
              <w:rPr/>
            </w:pPr>
            <w:r>
              <w:rPr/>
              <w:t> </w:t>
            </w:r>
          </w:p>
        </w:tc>
        <w:tc>
          <w:tcPr>
            <w:tcW w:w="54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247</w:t>
            </w:r>
          </w:p>
        </w:tc>
        <w:tc>
          <w:tcPr>
            <w:tcW w:w="76"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ind w:left="0" w:right="0" w:hanging="0"/>
              <w:jc w:val="left"/>
              <w:rPr/>
            </w:pPr>
            <w:r>
              <w:rPr/>
              <w:t> </w:t>
            </w:r>
          </w:p>
        </w:tc>
        <w:tc>
          <w:tcPr>
            <w:tcW w:w="54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262</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795"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Other administrative</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72"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520</w:t>
            </w:r>
          </w:p>
        </w:tc>
        <w:tc>
          <w:tcPr>
            <w:tcW w:w="66" w:type="dxa"/>
            <w:tcBorders>
              <w:bottom w:val="single" w:sz="2" w:space="0" w:color="000000"/>
            </w:tcBorders>
            <w:shd w:fill="CCEEFF" w:val="clear"/>
            <w:vAlign w:val="center"/>
          </w:tcPr>
          <w:p>
            <w:pPr>
              <w:pStyle w:val="TableContents"/>
              <w:bidi w:val="0"/>
              <w:spacing w:before="0" w:after="283"/>
              <w:jc w:val="left"/>
              <w:rPr/>
            </w:pPr>
            <w:r>
              <w:rPr/>
              <w:t> </w:t>
            </w:r>
          </w:p>
        </w:tc>
        <w:tc>
          <w:tcPr>
            <w:tcW w:w="66" w:type="dxa"/>
            <w:tcBorders>
              <w:bottom w:val="single" w:sz="2" w:space="0" w:color="000000"/>
            </w:tcBorders>
            <w:shd w:fill="CCEEFF" w:val="clear"/>
            <w:vAlign w:val="center"/>
          </w:tcPr>
          <w:p>
            <w:pPr>
              <w:pStyle w:val="TableContents"/>
              <w:bidi w:val="0"/>
              <w:spacing w:before="0" w:after="283"/>
              <w:jc w:val="left"/>
              <w:rPr/>
            </w:pPr>
            <w:r>
              <w:rPr/>
              <w:t> </w:t>
            </w:r>
          </w:p>
        </w:tc>
        <w:tc>
          <w:tcPr>
            <w:tcW w:w="12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72"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383</w:t>
            </w:r>
          </w:p>
        </w:tc>
        <w:tc>
          <w:tcPr>
            <w:tcW w:w="66" w:type="dxa"/>
            <w:tcBorders>
              <w:bottom w:val="single" w:sz="2" w:space="0" w:color="000000"/>
            </w:tcBorders>
            <w:shd w:fill="CCEEFF" w:val="clear"/>
            <w:vAlign w:val="center"/>
          </w:tcPr>
          <w:p>
            <w:pPr>
              <w:pStyle w:val="TableContents"/>
              <w:bidi w:val="0"/>
              <w:spacing w:before="0" w:after="283"/>
              <w:jc w:val="left"/>
              <w:rPr/>
            </w:pPr>
            <w:r>
              <w:rPr/>
              <w:t> </w:t>
            </w:r>
          </w:p>
        </w:tc>
        <w:tc>
          <w:tcPr>
            <w:tcW w:w="66" w:type="dxa"/>
            <w:tcBorders>
              <w:bottom w:val="single" w:sz="2" w:space="0" w:color="000000"/>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93"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137</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43"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408</w:t>
            </w:r>
          </w:p>
        </w:tc>
        <w:tc>
          <w:tcPr>
            <w:tcW w:w="76" w:type="dxa"/>
            <w:tcBorders>
              <w:bottom w:val="single" w:sz="2" w:space="0" w:color="000000"/>
            </w:tcBorders>
            <w:shd w:fill="CCEEFF" w:val="clear"/>
            <w:vAlign w:val="center"/>
          </w:tcPr>
          <w:p>
            <w:pPr>
              <w:pStyle w:val="TableContents"/>
              <w:bidi w:val="0"/>
              <w:spacing w:before="0" w:after="283"/>
              <w:jc w:val="left"/>
              <w:rPr/>
            </w:pPr>
            <w:r>
              <w:rPr/>
              <w:t> </w:t>
            </w:r>
          </w:p>
        </w:tc>
        <w:tc>
          <w:tcPr>
            <w:tcW w:w="76" w:type="dxa"/>
            <w:tcBorders>
              <w:bottom w:val="single" w:sz="2" w:space="0" w:color="000000"/>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43"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263</w:t>
            </w:r>
          </w:p>
        </w:tc>
        <w:tc>
          <w:tcPr>
            <w:tcW w:w="76" w:type="dxa"/>
            <w:tcBorders>
              <w:bottom w:val="single" w:sz="2" w:space="0" w:color="000000"/>
            </w:tcBorders>
            <w:shd w:fill="CCEEFF" w:val="clear"/>
            <w:vAlign w:val="center"/>
          </w:tcPr>
          <w:p>
            <w:pPr>
              <w:pStyle w:val="TableContents"/>
              <w:bidi w:val="0"/>
              <w:spacing w:before="0" w:after="283"/>
              <w:jc w:val="left"/>
              <w:rPr/>
            </w:pPr>
            <w:r>
              <w:rPr/>
              <w:t> </w:t>
            </w:r>
          </w:p>
        </w:tc>
        <w:tc>
          <w:tcPr>
            <w:tcW w:w="76" w:type="dxa"/>
            <w:tcBorders>
              <w:bottom w:val="single" w:sz="2" w:space="0" w:color="000000"/>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43"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145</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2795" w:type="dxa"/>
            <w:tcBorders>
              <w:bottom w:val="double" w:sz="6"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expenses</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2"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2"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14,160</w:t>
            </w:r>
          </w:p>
        </w:tc>
        <w:tc>
          <w:tcPr>
            <w:tcW w:w="66" w:type="dxa"/>
            <w:tcBorders>
              <w:bottom w:val="double" w:sz="6" w:space="0" w:color="000000"/>
            </w:tcBorders>
            <w:shd w:fill="FFFFFF" w:val="clear"/>
            <w:vAlign w:val="center"/>
          </w:tcPr>
          <w:p>
            <w:pPr>
              <w:pStyle w:val="TableContents"/>
              <w:bidi w:val="0"/>
              <w:spacing w:before="0" w:after="283"/>
              <w:jc w:val="left"/>
              <w:rPr/>
            </w:pPr>
            <w:r>
              <w:rPr/>
              <w:t> </w:t>
            </w:r>
          </w:p>
        </w:tc>
        <w:tc>
          <w:tcPr>
            <w:tcW w:w="66"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2"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72"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9,222</w:t>
            </w:r>
          </w:p>
        </w:tc>
        <w:tc>
          <w:tcPr>
            <w:tcW w:w="66" w:type="dxa"/>
            <w:tcBorders>
              <w:bottom w:val="double" w:sz="6" w:space="0" w:color="000000"/>
            </w:tcBorders>
            <w:shd w:fill="FFFFFF" w:val="clear"/>
            <w:vAlign w:val="center"/>
          </w:tcPr>
          <w:p>
            <w:pPr>
              <w:pStyle w:val="TableContents"/>
              <w:bidi w:val="0"/>
              <w:spacing w:before="0" w:after="283"/>
              <w:jc w:val="left"/>
              <w:rPr/>
            </w:pPr>
            <w:r>
              <w:rPr/>
              <w:t> </w:t>
            </w:r>
          </w:p>
        </w:tc>
        <w:tc>
          <w:tcPr>
            <w:tcW w:w="66"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93"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4,938</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43"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6,763</w:t>
            </w:r>
          </w:p>
        </w:tc>
        <w:tc>
          <w:tcPr>
            <w:tcW w:w="76" w:type="dxa"/>
            <w:tcBorders>
              <w:bottom w:val="double" w:sz="6" w:space="0" w:color="000000"/>
            </w:tcBorders>
            <w:shd w:fill="FFFFFF" w:val="clear"/>
            <w:vAlign w:val="center"/>
          </w:tcPr>
          <w:p>
            <w:pPr>
              <w:pStyle w:val="TableContents"/>
              <w:bidi w:val="0"/>
              <w:spacing w:before="0" w:after="283"/>
              <w:jc w:val="left"/>
              <w:rPr/>
            </w:pPr>
            <w:r>
              <w:rPr/>
              <w:t> </w:t>
            </w:r>
          </w:p>
        </w:tc>
        <w:tc>
          <w:tcPr>
            <w:tcW w:w="76"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43"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4,996</w:t>
            </w:r>
          </w:p>
        </w:tc>
        <w:tc>
          <w:tcPr>
            <w:tcW w:w="76" w:type="dxa"/>
            <w:tcBorders>
              <w:bottom w:val="double" w:sz="6" w:space="0" w:color="000000"/>
            </w:tcBorders>
            <w:shd w:fill="FFFFFF" w:val="clear"/>
            <w:vAlign w:val="center"/>
          </w:tcPr>
          <w:p>
            <w:pPr>
              <w:pStyle w:val="TableContents"/>
              <w:bidi w:val="0"/>
              <w:spacing w:before="0" w:after="283"/>
              <w:jc w:val="left"/>
              <w:rPr/>
            </w:pPr>
            <w:r>
              <w:rPr/>
              <w:t> </w:t>
            </w:r>
          </w:p>
        </w:tc>
        <w:tc>
          <w:tcPr>
            <w:tcW w:w="76"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43"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1,767</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As of December 31, 2025 and 2024, the Company had accrued a liability of $0.6 million for bonuses to be paid to the Manager's employees. During the six months ended June 30, 2026 and 2025, the Company awarded shares of Company common stock with a fair value of $1.7 million and $0.3 million, respectively. Accrued incentive compensation for the six months ended June 30, 2026 includes a reversal of a $1.1 million under accrual of the December 31, 2025 liability. Incentive compensation for the six months ended June 30, 2025 includes a reversal of a $0.4 million over accrual of the December 31, 2024 liability.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are externally managed and advised by Bimini Advisors, LLC (the “Manager”) pursuant to the terms of a management agreement. The management agreement has been renewed through February 20, 2027 and provides for automatic one-year extension options thereafter and is subject to certain termination rights. Under the terms of the management agreement, the Manager is responsible for administering the business activities and day-to-day operations of the Company. The Manager receives a monthly management fee in the amount of:</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One-twelfth of 1.5% of the first $250 million of the Company’s month-end equity, as defined in the management agreement,</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One-twelfth of 1.25% of the Company’s month-end equity that is greater than $250 million and less than or equal to $500 million, and</w:t>
            </w:r>
          </w:p>
        </w:tc>
      </w:tr>
    </w:tbl>
    <w:tbl>
      <w:tblPr>
        <w:tblW w:w="7675" w:type="dxa"/>
        <w:jc w:val="left"/>
        <w:tblInd w:w="0" w:type="dxa"/>
        <w:tblLayout w:type="fixed"/>
        <w:tblCellMar>
          <w:top w:w="0" w:type="dxa"/>
          <w:left w:w="0" w:type="dxa"/>
          <w:bottom w:w="0" w:type="dxa"/>
          <w:right w:w="0" w:type="dxa"/>
        </w:tblCellMar>
      </w:tblPr>
      <w:tblGrid>
        <w:gridCol w:w="60"/>
        <w:gridCol w:w="170"/>
        <w:gridCol w:w="74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4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One-twelfth of 1.00% of the Company’s month-end equity that is greater than $500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Manager also provides certain repurchase agreement trading, clearing and administrative services to the Company. In consideration for such services, the Company pays the following fees to the Manager:</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daily fee equal to the outstanding principal balance of repurchase agreement funding in place as of the end of such day multiplied by 1.5 basis points for the amount of aggregate outstanding principal balance less than or equal to $5 billion, and multiplied by 1.0 basis point for any amount of aggregate outstanding principal balance in excess of $5 billion, and</w:t>
            </w:r>
          </w:p>
        </w:tc>
      </w:tr>
    </w:tbl>
    <w:tbl>
      <w:tblPr>
        <w:tblW w:w="9445" w:type="dxa"/>
        <w:jc w:val="left"/>
        <w:tblInd w:w="0" w:type="dxa"/>
        <w:tblLayout w:type="fixed"/>
        <w:tblCellMar>
          <w:top w:w="0" w:type="dxa"/>
          <w:left w:w="0" w:type="dxa"/>
          <w:bottom w:w="0" w:type="dxa"/>
          <w:right w:w="0" w:type="dxa"/>
        </w:tblCellMar>
      </w:tblPr>
      <w:tblGrid>
        <w:gridCol w:w="60"/>
        <w:gridCol w:w="170"/>
        <w:gridCol w:w="92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2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fee for the clearing and operational services provided by personnel of the Manager equal to $10,000 per month.</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Company is obligated to reimburse the Manager for any direct expenses incurred on its behalf and to pay the Manager the Company’s pro rata portion of certain overhead costs set forth in the management agreement. Should the Company terminate the management agreement without cause, it will pay the Manager a termination fee equal to three times the average annual management fee, as defined in the management agreement, before or on the last day of the term of the agreement.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following table summarizes the management fee and overhead allocation expenses for six months ended June 30, 2026 and 2025, and for each quarter in 2026 to date and 2025.</w:t>
      </w:r>
    </w:p>
    <w:p>
      <w:pPr>
        <w:pStyle w:val="TextBody"/>
        <w:bidi w:val="0"/>
        <w:spacing w:before="0" w:after="0"/>
        <w:ind w:left="0" w:right="0" w:firstLine="360"/>
        <w:jc w:val="left"/>
        <w:rPr>
          <w:caps w:val="false"/>
          <w:smallCaps w:val="false"/>
        </w:rPr>
      </w:pPr>
      <w:r>
        <w:rPr>
          <w:caps w:val="false"/>
          <w:smallCaps w:val="false"/>
        </w:rPr>
        <w:t> </w:t>
      </w:r>
    </w:p>
    <w:tbl>
      <w:tblPr>
        <w:tblW w:w="8865" w:type="dxa"/>
        <w:jc w:val="left"/>
        <w:tblInd w:w="0" w:type="dxa"/>
        <w:tblLayout w:type="fixed"/>
        <w:tblCellMar>
          <w:top w:w="0" w:type="dxa"/>
          <w:left w:w="0" w:type="dxa"/>
          <w:bottom w:w="28" w:type="dxa"/>
          <w:right w:w="0" w:type="dxa"/>
        </w:tblCellMar>
      </w:tblPr>
      <w:tblGrid>
        <w:gridCol w:w="1670"/>
        <w:gridCol w:w="60"/>
        <w:gridCol w:w="110"/>
        <w:gridCol w:w="830"/>
        <w:gridCol w:w="60"/>
        <w:gridCol w:w="60"/>
        <w:gridCol w:w="110"/>
        <w:gridCol w:w="740"/>
        <w:gridCol w:w="60"/>
        <w:gridCol w:w="60"/>
        <w:gridCol w:w="110"/>
        <w:gridCol w:w="830"/>
        <w:gridCol w:w="60"/>
        <w:gridCol w:w="60"/>
        <w:gridCol w:w="210"/>
        <w:gridCol w:w="815"/>
        <w:gridCol w:w="60"/>
        <w:gridCol w:w="60"/>
        <w:gridCol w:w="164"/>
        <w:gridCol w:w="636"/>
        <w:gridCol w:w="60"/>
        <w:gridCol w:w="60"/>
        <w:gridCol w:w="322"/>
        <w:gridCol w:w="853"/>
        <w:gridCol w:w="60"/>
        <w:gridCol w:w="60"/>
        <w:gridCol w:w="110"/>
        <w:gridCol w:w="515"/>
        <w:gridCol w:w="60"/>
      </w:tblGrid>
      <w:tr>
        <w:trPr/>
        <w:tc>
          <w:tcPr>
            <w:tcW w:w="167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 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74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10" w:type="dxa"/>
            <w:tcBorders>
              <w:bottom w:val="single" w:sz="2" w:space="0" w:color="000000"/>
            </w:tcBorders>
            <w:shd w:fill="FFFFFF" w:val="clear"/>
            <w:vAlign w:val="center"/>
          </w:tcPr>
          <w:p>
            <w:pPr>
              <w:pStyle w:val="TableContents"/>
              <w:bidi w:val="0"/>
              <w:spacing w:before="0" w:after="283"/>
              <w:jc w:val="left"/>
              <w:rPr/>
            </w:pPr>
            <w:r>
              <w:rPr/>
              <w:t> </w:t>
            </w:r>
          </w:p>
        </w:tc>
        <w:tc>
          <w:tcPr>
            <w:tcW w:w="81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vAlign w:val="center"/>
          </w:tcPr>
          <w:p>
            <w:pPr>
              <w:pStyle w:val="TableContents"/>
              <w:bidi w:val="0"/>
              <w:spacing w:before="0" w:after="283"/>
              <w:jc w:val="left"/>
              <w:rPr/>
            </w:pPr>
            <w:r>
              <w:rPr/>
              <w:t> </w:t>
            </w:r>
          </w:p>
        </w:tc>
        <w:tc>
          <w:tcPr>
            <w:tcW w:w="636"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322" w:type="dxa"/>
            <w:tcBorders>
              <w:bottom w:val="single" w:sz="2" w:space="0" w:color="000000"/>
            </w:tcBorders>
            <w:shd w:fill="FFFFFF" w:val="clear"/>
            <w:vAlign w:val="center"/>
          </w:tcPr>
          <w:p>
            <w:pPr>
              <w:pStyle w:val="TableContents"/>
              <w:bidi w:val="0"/>
              <w:spacing w:before="0" w:after="283"/>
              <w:jc w:val="left"/>
              <w:rPr/>
            </w:pPr>
            <w:r>
              <w:rPr/>
              <w:t> </w:t>
            </w:r>
          </w:p>
        </w:tc>
        <w:tc>
          <w:tcPr>
            <w:tcW w:w="853"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51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6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center"/>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740" w:type="dxa"/>
            <w:tcBorders>
              <w:bottom w:val="single" w:sz="2" w:space="0" w:color="000000"/>
            </w:tcBorders>
            <w:shd w:fill="FFFFFF" w:val="clear"/>
            <w:vAlign w:val="center"/>
          </w:tcPr>
          <w:p>
            <w:pPr>
              <w:pStyle w:val="TableContents"/>
              <w:bidi w:val="0"/>
              <w:spacing w:before="0" w:after="283"/>
              <w:jc w:val="center"/>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center"/>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985" w:type="dxa"/>
            <w:gridSpan w:val="14"/>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Advisory Services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6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4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Average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5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Average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4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Average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 w:type="dxa"/>
            <w:tcBorders/>
            <w:shd w:fill="FFFFFF" w:val="clear"/>
            <w:tcMar>
              <w:bottom w:w="0" w:type="dxa"/>
            </w:tcMar>
            <w:vAlign w:val="center"/>
          </w:tcPr>
          <w:p>
            <w:pPr>
              <w:pStyle w:val="TableContents"/>
              <w:bidi w:val="0"/>
              <w:spacing w:before="0" w:after="283"/>
              <w:jc w:val="left"/>
              <w:rPr/>
            </w:pPr>
            <w:r>
              <w:rPr/>
              <w:t> </w:t>
            </w:r>
          </w:p>
        </w:tc>
        <w:tc>
          <w:tcPr>
            <w:tcW w:w="81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63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7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Repurchase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51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6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4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Orchid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5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Orchid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4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Repurchase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2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Management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0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Overhead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7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Clearing and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51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67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Three Months Ended</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4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MBS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Equity</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4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Agreements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2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Fee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Allocation</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17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Administrative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Total</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67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June 30, 2026</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11,439,353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1,442,960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10,975,819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4,123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64"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2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5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369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5,077</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67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March 31,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10,983,600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74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1,365,471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10,490,095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 w:type="dxa"/>
            <w:tcBorders/>
            <w:shd w:fill="FFFFFF" w:val="clear"/>
            <w:tcMar>
              <w:bottom w:w="0" w:type="dxa"/>
            </w:tcMar>
            <w:vAlign w:val="center"/>
          </w:tcPr>
          <w:p>
            <w:pPr>
              <w:pStyle w:val="TableContents"/>
              <w:bidi w:val="0"/>
              <w:spacing w:before="0" w:after="283"/>
              <w:ind w:left="0" w:right="0" w:hanging="0"/>
              <w:jc w:val="left"/>
              <w:rPr/>
            </w:pPr>
            <w:r>
              <w:rPr/>
              <w:t> </w:t>
            </w:r>
          </w:p>
        </w:tc>
        <w:tc>
          <w:tcPr>
            <w:tcW w:w="8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ind w:left="0" w:right="0" w:hanging="0"/>
              <w:jc w:val="left"/>
              <w:rPr/>
            </w:pPr>
            <w:r>
              <w:rPr/>
              <w:t> </w:t>
            </w:r>
          </w:p>
        </w:tc>
        <w:tc>
          <w:tcPr>
            <w:tcW w:w="63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786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2" w:type="dxa"/>
            <w:tcBorders/>
            <w:shd w:fill="FFFFFF" w:val="clear"/>
            <w:tcMar>
              <w:bottom w:w="0" w:type="dxa"/>
            </w:tcMar>
            <w:vAlign w:val="center"/>
          </w:tcPr>
          <w:p>
            <w:pPr>
              <w:pStyle w:val="TableContents"/>
              <w:bidi w:val="0"/>
              <w:spacing w:before="0" w:after="283"/>
              <w:ind w:left="0" w:right="0" w:hanging="0"/>
              <w:jc w:val="left"/>
              <w:rPr/>
            </w:pPr>
            <w:r>
              <w:rPr/>
              <w:t> </w:t>
            </w:r>
          </w:p>
        </w:tc>
        <w:tc>
          <w:tcPr>
            <w:tcW w:w="85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5,127</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67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December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9,492,369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74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1,233,957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9,061,222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ind w:left="0" w:right="0" w:hanging="0"/>
              <w:jc w:val="left"/>
              <w:rPr/>
            </w:pPr>
            <w:r>
              <w:rPr/>
              <w:t> </w:t>
            </w:r>
          </w:p>
        </w:tc>
        <w:tc>
          <w:tcPr>
            <w:tcW w:w="8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ind w:left="0" w:right="0" w:hanging="0"/>
              <w:jc w:val="left"/>
              <w:rPr/>
            </w:pPr>
            <w:r>
              <w:rPr/>
              <w:t> </w:t>
            </w:r>
          </w:p>
        </w:tc>
        <w:tc>
          <w:tcPr>
            <w:tcW w:w="63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2" w:type="dxa"/>
            <w:tcBorders/>
            <w:shd w:fill="CCEEFF" w:val="clear"/>
            <w:tcMar>
              <w:bottom w:w="0" w:type="dxa"/>
            </w:tcMar>
            <w:vAlign w:val="center"/>
          </w:tcPr>
          <w:p>
            <w:pPr>
              <w:pStyle w:val="TableContents"/>
              <w:bidi w:val="0"/>
              <w:spacing w:before="0" w:after="283"/>
              <w:ind w:left="0" w:right="0" w:hanging="0"/>
              <w:jc w:val="left"/>
              <w:rPr/>
            </w:pPr>
            <w:r>
              <w:rPr/>
              <w:t> </w:t>
            </w:r>
          </w:p>
        </w:tc>
        <w:tc>
          <w:tcPr>
            <w:tcW w:w="85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4,724</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67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September 30,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7,674,720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74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1,108,307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7,331,428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 w:type="dxa"/>
            <w:tcBorders/>
            <w:shd w:fill="FFFFFF" w:val="clear"/>
            <w:tcMar>
              <w:bottom w:w="0" w:type="dxa"/>
            </w:tcMar>
            <w:vAlign w:val="center"/>
          </w:tcPr>
          <w:p>
            <w:pPr>
              <w:pStyle w:val="TableContents"/>
              <w:bidi w:val="0"/>
              <w:spacing w:before="0" w:after="283"/>
              <w:ind w:left="0" w:right="0" w:hanging="0"/>
              <w:jc w:val="left"/>
              <w:rPr/>
            </w:pPr>
            <w:r>
              <w:rPr/>
              <w:t> </w:t>
            </w:r>
          </w:p>
        </w:tc>
        <w:tc>
          <w:tcPr>
            <w:tcW w:w="8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3,294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ind w:left="0" w:right="0" w:hanging="0"/>
              <w:jc w:val="left"/>
              <w:rPr/>
            </w:pPr>
            <w:r>
              <w:rPr/>
              <w:t> </w:t>
            </w:r>
          </w:p>
        </w:tc>
        <w:tc>
          <w:tcPr>
            <w:tcW w:w="63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887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2" w:type="dxa"/>
            <w:tcBorders/>
            <w:shd w:fill="FFFFFF" w:val="clear"/>
            <w:tcMar>
              <w:bottom w:w="0" w:type="dxa"/>
            </w:tcMar>
            <w:vAlign w:val="center"/>
          </w:tcPr>
          <w:p>
            <w:pPr>
              <w:pStyle w:val="TableContents"/>
              <w:bidi w:val="0"/>
              <w:spacing w:before="0" w:after="283"/>
              <w:ind w:left="0" w:right="0" w:hanging="0"/>
              <w:jc w:val="left"/>
              <w:rPr/>
            </w:pPr>
            <w:r>
              <w:rPr/>
              <w:t> </w:t>
            </w:r>
          </w:p>
        </w:tc>
        <w:tc>
          <w:tcPr>
            <w:tcW w:w="85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4,458</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67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June 30,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6,865,727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74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1,012,986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6,537,260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ind w:left="0" w:right="0" w:hanging="0"/>
              <w:jc w:val="left"/>
              <w:rPr/>
            </w:pPr>
            <w:r>
              <w:rPr/>
              <w:t> </w:t>
            </w:r>
          </w:p>
        </w:tc>
        <w:tc>
          <w:tcPr>
            <w:tcW w:w="8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2,982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ind w:left="0" w:right="0" w:hanging="0"/>
              <w:jc w:val="left"/>
              <w:rPr/>
            </w:pPr>
            <w:r>
              <w:rPr/>
              <w:t> </w:t>
            </w:r>
          </w:p>
        </w:tc>
        <w:tc>
          <w:tcPr>
            <w:tcW w:w="63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582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2" w:type="dxa"/>
            <w:tcBorders/>
            <w:shd w:fill="CCEEFF" w:val="clear"/>
            <w:tcMar>
              <w:bottom w:w="0" w:type="dxa"/>
            </w:tcMar>
            <w:vAlign w:val="center"/>
          </w:tcPr>
          <w:p>
            <w:pPr>
              <w:pStyle w:val="TableContents"/>
              <w:bidi w:val="0"/>
              <w:spacing w:before="0" w:after="283"/>
              <w:ind w:left="0" w:right="0" w:hanging="0"/>
              <w:jc w:val="left"/>
              <w:rPr/>
            </w:pPr>
            <w:r>
              <w:rPr/>
              <w:t> </w:t>
            </w:r>
          </w:p>
        </w:tc>
        <w:tc>
          <w:tcPr>
            <w:tcW w:w="85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3,811</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67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March 31,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5,995,702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74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902,590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5,722,092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 w:type="dxa"/>
            <w:tcBorders/>
            <w:shd w:fill="FFFFFF" w:val="clear"/>
            <w:tcMar>
              <w:bottom w:w="0" w:type="dxa"/>
            </w:tcMar>
            <w:vAlign w:val="center"/>
          </w:tcPr>
          <w:p>
            <w:pPr>
              <w:pStyle w:val="TableContents"/>
              <w:bidi w:val="0"/>
              <w:spacing w:before="0" w:after="283"/>
              <w:ind w:left="0" w:right="0" w:hanging="0"/>
              <w:jc w:val="left"/>
              <w:rPr/>
            </w:pPr>
            <w:r>
              <w:rPr/>
              <w:t> </w:t>
            </w:r>
          </w:p>
        </w:tc>
        <w:tc>
          <w:tcPr>
            <w:tcW w:w="8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2,747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ind w:left="0" w:right="0" w:hanging="0"/>
              <w:jc w:val="left"/>
              <w:rPr/>
            </w:pPr>
            <w:r>
              <w:rPr/>
              <w:t> </w:t>
            </w:r>
          </w:p>
        </w:tc>
        <w:tc>
          <w:tcPr>
            <w:tcW w:w="63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2" w:type="dxa"/>
            <w:tcBorders/>
            <w:shd w:fill="FFFFFF" w:val="clear"/>
            <w:tcMar>
              <w:bottom w:w="0" w:type="dxa"/>
            </w:tcMar>
            <w:vAlign w:val="center"/>
          </w:tcPr>
          <w:p>
            <w:pPr>
              <w:pStyle w:val="TableContents"/>
              <w:bidi w:val="0"/>
              <w:spacing w:before="0" w:after="283"/>
              <w:ind w:left="0" w:right="0" w:hanging="0"/>
              <w:jc w:val="left"/>
              <w:rPr/>
            </w:pPr>
            <w:r>
              <w:rPr/>
              <w:t> </w:t>
            </w:r>
          </w:p>
        </w:tc>
        <w:tc>
          <w:tcPr>
            <w:tcW w:w="85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3,582</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67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Six Months Ended</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jc w:val="left"/>
              <w:rPr/>
            </w:pPr>
            <w:r>
              <w:rPr/>
              <w:t> </w:t>
            </w:r>
          </w:p>
        </w:tc>
        <w:tc>
          <w:tcPr>
            <w:tcW w:w="83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jc w:val="left"/>
              <w:rPr/>
            </w:pPr>
            <w:r>
              <w:rPr/>
              <w:t> </w:t>
            </w:r>
          </w:p>
        </w:tc>
        <w:tc>
          <w:tcPr>
            <w:tcW w:w="74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jc w:val="left"/>
              <w:rPr/>
            </w:pPr>
            <w:r>
              <w:rPr/>
              <w:t> </w:t>
            </w:r>
          </w:p>
        </w:tc>
        <w:tc>
          <w:tcPr>
            <w:tcW w:w="83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10" w:type="dxa"/>
            <w:tcBorders>
              <w:bottom w:val="single" w:sz="2" w:space="0" w:color="000000"/>
            </w:tcBorders>
            <w:shd w:fill="CCEEFF" w:val="clear"/>
            <w:vAlign w:val="center"/>
          </w:tcPr>
          <w:p>
            <w:pPr>
              <w:pStyle w:val="TableContents"/>
              <w:bidi w:val="0"/>
              <w:spacing w:before="0" w:after="283"/>
              <w:jc w:val="left"/>
              <w:rPr/>
            </w:pPr>
            <w:r>
              <w:rPr/>
              <w:t> </w:t>
            </w:r>
          </w:p>
        </w:tc>
        <w:tc>
          <w:tcPr>
            <w:tcW w:w="815"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64" w:type="dxa"/>
            <w:tcBorders>
              <w:bottom w:val="single" w:sz="2" w:space="0" w:color="000000"/>
            </w:tcBorders>
            <w:shd w:fill="CCEEFF" w:val="clear"/>
            <w:vAlign w:val="center"/>
          </w:tcPr>
          <w:p>
            <w:pPr>
              <w:pStyle w:val="TableContents"/>
              <w:bidi w:val="0"/>
              <w:spacing w:before="0" w:after="283"/>
              <w:jc w:val="left"/>
              <w:rPr/>
            </w:pPr>
            <w:r>
              <w:rPr/>
              <w:t> </w:t>
            </w:r>
          </w:p>
        </w:tc>
        <w:tc>
          <w:tcPr>
            <w:tcW w:w="636"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322" w:type="dxa"/>
            <w:tcBorders>
              <w:bottom w:val="single" w:sz="2" w:space="0" w:color="000000"/>
            </w:tcBorders>
            <w:shd w:fill="CCEEFF" w:val="clear"/>
            <w:vAlign w:val="center"/>
          </w:tcPr>
          <w:p>
            <w:pPr>
              <w:pStyle w:val="TableContents"/>
              <w:bidi w:val="0"/>
              <w:spacing w:before="0" w:after="283"/>
              <w:jc w:val="left"/>
              <w:rPr/>
            </w:pPr>
            <w:r>
              <w:rPr/>
              <w:t> </w:t>
            </w:r>
          </w:p>
        </w:tc>
        <w:tc>
          <w:tcPr>
            <w:tcW w:w="853"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jc w:val="left"/>
              <w:rPr/>
            </w:pPr>
            <w:r>
              <w:rPr/>
              <w:t> </w:t>
            </w:r>
          </w:p>
        </w:tc>
        <w:tc>
          <w:tcPr>
            <w:tcW w:w="515"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167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June 30, 2026</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3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11,211,476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1,404,216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3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10,732,957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1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8,111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4"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2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5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10,204</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67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June 30, 2025</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6,430,715</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957,788</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6,129,676</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1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5,729</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6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3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1,190</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32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53"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474</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7,393</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Mortgage-Backed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As of June 30, 2026, our RMBS portfolio consisted of $11.5 billion of Agency RMBS at fair value and had a weighted average coupon on assets of 5.52%. During the six months ended June 30, 2026, we received principal repayments of $863.5 million, compared to $332.2 million for the six months ended June 30, 2025. The average three month prepayment speeds for the quarters ended June 30, 2026 and 2025 were 10.9% and 10.1%, respectively.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following table presents the 3-month constant prepayment rate (“CPR”) experienced on our RMBS portfolio, on an annualized basis, for the quarterly periods presented. CPR is a method of expressing the prepayment rate for a mortgage pool that assumes that a constant fraction of the remaining principal is prepaid each month or year. Specifically, the CPR in the chart below represents the three month prepayment rate of the securities in the respective asset category.</w:t>
      </w:r>
    </w:p>
    <w:p>
      <w:pPr>
        <w:pStyle w:val="TextBody"/>
        <w:bidi w:val="0"/>
        <w:spacing w:before="0" w:after="0"/>
        <w:ind w:left="0" w:right="0" w:firstLine="360"/>
        <w:jc w:val="left"/>
        <w:rPr>
          <w:caps w:val="false"/>
          <w:smallCaps w:val="false"/>
        </w:rPr>
      </w:pPr>
      <w:r>
        <w:rPr>
          <w:caps w:val="false"/>
          <w:smallCaps w:val="false"/>
        </w:rPr>
        <w:t> </w:t>
      </w:r>
    </w:p>
    <w:tbl>
      <w:tblPr>
        <w:tblW w:w="2814" w:type="dxa"/>
        <w:jc w:val="left"/>
        <w:tblInd w:w="0" w:type="dxa"/>
        <w:tblLayout w:type="fixed"/>
        <w:tblCellMar>
          <w:top w:w="0" w:type="dxa"/>
          <w:left w:w="0" w:type="dxa"/>
          <w:bottom w:w="0" w:type="dxa"/>
          <w:right w:w="0" w:type="dxa"/>
        </w:tblCellMar>
      </w:tblPr>
      <w:tblGrid>
        <w:gridCol w:w="1670"/>
        <w:gridCol w:w="60"/>
        <w:gridCol w:w="153"/>
        <w:gridCol w:w="871"/>
        <w:gridCol w:w="60"/>
      </w:tblGrid>
      <w:tr>
        <w:trPr/>
        <w:tc>
          <w:tcPr>
            <w:tcW w:w="1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Total</w:t>
            </w:r>
          </w:p>
        </w:tc>
        <w:tc>
          <w:tcPr>
            <w:tcW w:w="60" w:type="dxa"/>
            <w:tcBorders/>
            <w:shd w:fill="FFFFFF" w:val="clear"/>
            <w:vAlign w:val="center"/>
          </w:tcPr>
          <w:p>
            <w:pPr>
              <w:pStyle w:val="TableContents"/>
              <w:bidi w:val="0"/>
              <w:spacing w:before="0" w:after="283"/>
              <w:jc w:val="left"/>
              <w:rPr/>
            </w:pPr>
            <w:r>
              <w:rPr/>
              <w:t> </w:t>
            </w:r>
          </w:p>
        </w:tc>
      </w:tr>
      <w:tr>
        <w:trPr/>
        <w:tc>
          <w:tcPr>
            <w:tcW w:w="16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Three Months Ended</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Portfolio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June 30, 2026</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10.9</w:t>
            </w:r>
          </w:p>
        </w:tc>
        <w:tc>
          <w:tcPr>
            <w:tcW w:w="60" w:type="dxa"/>
            <w:tcBorders/>
            <w:shd w:fill="CCEE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March 31, 2026</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7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14.7</w:t>
            </w:r>
          </w:p>
        </w:tc>
        <w:tc>
          <w:tcPr>
            <w:tcW w:w="60" w:type="dxa"/>
            <w:tcBorders/>
            <w:shd w:fill="FFFFFF" w:val="clear"/>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December 31, 2025</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7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15.7</w:t>
            </w:r>
          </w:p>
        </w:tc>
        <w:tc>
          <w:tcPr>
            <w:tcW w:w="60" w:type="dxa"/>
            <w:tcBorders/>
            <w:shd w:fill="CCEE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September 30, 2025</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7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10.1</w:t>
            </w:r>
          </w:p>
        </w:tc>
        <w:tc>
          <w:tcPr>
            <w:tcW w:w="60" w:type="dxa"/>
            <w:tcBorders/>
            <w:shd w:fill="FFFFFF" w:val="clear"/>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June 30, 2025</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7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10.1</w:t>
            </w:r>
          </w:p>
        </w:tc>
        <w:tc>
          <w:tcPr>
            <w:tcW w:w="60" w:type="dxa"/>
            <w:tcBorders/>
            <w:shd w:fill="CCEEFF" w:val="clear"/>
            <w:vAlign w:val="center"/>
          </w:tcPr>
          <w:p>
            <w:pPr>
              <w:pStyle w:val="TableContents"/>
              <w:bidi w:val="0"/>
              <w:spacing w:before="0" w:after="283"/>
              <w:jc w:val="left"/>
              <w:rPr/>
            </w:pPr>
            <w:r>
              <w:rPr/>
              <w:t> </w:t>
            </w:r>
          </w:p>
        </w:tc>
      </w:tr>
      <w:tr>
        <w:trPr/>
        <w:tc>
          <w:tcPr>
            <w:tcW w:w="16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March 31, 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following tables summarize certain characteristics of the Company’s RMBS portfolio as of June 30, 2026 and December 31, 2025:</w:t>
      </w:r>
    </w:p>
    <w:p>
      <w:pPr>
        <w:pStyle w:val="TextBody"/>
        <w:bidi w:val="0"/>
        <w:spacing w:before="0" w:after="0"/>
        <w:ind w:left="0" w:right="0" w:hanging="0"/>
        <w:jc w:val="left"/>
        <w:rPr>
          <w:caps w:val="false"/>
          <w:smallCaps w:val="false"/>
        </w:rPr>
      </w:pPr>
      <w:r>
        <w:rPr>
          <w:caps w:val="false"/>
          <w:smallCaps w:val="false"/>
        </w:rPr>
        <w:t> </w:t>
      </w:r>
    </w:p>
    <w:tbl>
      <w:tblPr>
        <w:tblW w:w="6345" w:type="dxa"/>
        <w:jc w:val="left"/>
        <w:tblInd w:w="0" w:type="dxa"/>
        <w:tblLayout w:type="fixed"/>
        <w:tblCellMar>
          <w:top w:w="0" w:type="dxa"/>
          <w:left w:w="0" w:type="dxa"/>
          <w:bottom w:w="28" w:type="dxa"/>
          <w:right w:w="0" w:type="dxa"/>
        </w:tblCellMar>
      </w:tblPr>
      <w:tblGrid>
        <w:gridCol w:w="1640"/>
        <w:gridCol w:w="60"/>
        <w:gridCol w:w="110"/>
        <w:gridCol w:w="830"/>
        <w:gridCol w:w="60"/>
        <w:gridCol w:w="60"/>
        <w:gridCol w:w="104"/>
        <w:gridCol w:w="741"/>
        <w:gridCol w:w="170"/>
        <w:gridCol w:w="60"/>
        <w:gridCol w:w="114"/>
        <w:gridCol w:w="641"/>
        <w:gridCol w:w="170"/>
        <w:gridCol w:w="60"/>
        <w:gridCol w:w="129"/>
        <w:gridCol w:w="626"/>
        <w:gridCol w:w="60"/>
        <w:gridCol w:w="710"/>
      </w:tblGrid>
      <w:tr>
        <w:trPr/>
        <w:tc>
          <w:tcPr>
            <w:tcW w:w="164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 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4" w:type="dxa"/>
            <w:tcBorders>
              <w:bottom w:val="single" w:sz="2" w:space="0" w:color="000000"/>
            </w:tcBorders>
            <w:shd w:fill="FFFFFF" w:val="clear"/>
            <w:vAlign w:val="center"/>
          </w:tcPr>
          <w:p>
            <w:pPr>
              <w:pStyle w:val="TableContents"/>
              <w:bidi w:val="0"/>
              <w:spacing w:before="0" w:after="283"/>
              <w:jc w:val="left"/>
              <w:rPr/>
            </w:pPr>
            <w:r>
              <w:rPr/>
              <w:t> </w:t>
            </w:r>
          </w:p>
        </w:tc>
        <w:tc>
          <w:tcPr>
            <w:tcW w:w="741"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4" w:type="dxa"/>
            <w:tcBorders>
              <w:bottom w:val="single" w:sz="2" w:space="0" w:color="000000"/>
            </w:tcBorders>
            <w:shd w:fill="FFFFFF" w:val="clear"/>
            <w:vAlign w:val="center"/>
          </w:tcPr>
          <w:p>
            <w:pPr>
              <w:pStyle w:val="TableContents"/>
              <w:bidi w:val="0"/>
              <w:spacing w:before="0" w:after="283"/>
              <w:jc w:val="left"/>
              <w:rPr/>
            </w:pPr>
            <w:r>
              <w:rPr/>
              <w:t> </w:t>
            </w:r>
          </w:p>
        </w:tc>
        <w:tc>
          <w:tcPr>
            <w:tcW w:w="641"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vAlign w:val="center"/>
          </w:tcPr>
          <w:p>
            <w:pPr>
              <w:pStyle w:val="TableContents"/>
              <w:bidi w:val="0"/>
              <w:spacing w:before="0" w:after="283"/>
              <w:jc w:val="left"/>
              <w:rPr/>
            </w:pPr>
            <w:r>
              <w:rPr/>
              <w:t> </w:t>
            </w:r>
          </w:p>
        </w:tc>
        <w:tc>
          <w:tcPr>
            <w:tcW w:w="626"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71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6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741" w:type="dxa"/>
            <w:tcBorders/>
            <w:shd w:fill="FFFFFF" w:val="clear"/>
            <w:tcMar>
              <w:bottom w:w="0" w:type="dxa"/>
            </w:tcMar>
            <w:vAlign w:val="center"/>
          </w:tcPr>
          <w:p>
            <w:pPr>
              <w:pStyle w:val="TableContents"/>
              <w:bidi w:val="0"/>
              <w:spacing w:before="0" w:after="283"/>
              <w:jc w:val="center"/>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641" w:type="dxa"/>
            <w:tcBorders/>
            <w:shd w:fill="FFFFFF" w:val="clear"/>
            <w:tcMar>
              <w:bottom w:w="0" w:type="dxa"/>
            </w:tcMar>
            <w:vAlign w:val="center"/>
          </w:tcPr>
          <w:p>
            <w:pPr>
              <w:pStyle w:val="TableContents"/>
              <w:bidi w:val="0"/>
              <w:spacing w:before="0" w:after="283"/>
              <w:jc w:val="center"/>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Weighted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283"/>
              <w:jc w:val="left"/>
              <w:rPr/>
            </w:pPr>
            <w:r>
              <w:rPr/>
              <w:t> </w:t>
            </w:r>
          </w:p>
        </w:tc>
      </w:tr>
      <w:tr>
        <w:trPr/>
        <w:tc>
          <w:tcPr>
            <w:tcW w:w="16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Percentage</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641" w:type="dxa"/>
            <w:tcBorders/>
            <w:shd w:fill="FFFFFF" w:val="clear"/>
            <w:tcMar>
              <w:bottom w:w="0" w:type="dxa"/>
            </w:tcMar>
            <w:vAlign w:val="center"/>
          </w:tcPr>
          <w:p>
            <w:pPr>
              <w:pStyle w:val="TableContents"/>
              <w:bidi w:val="0"/>
              <w:spacing w:before="0" w:after="283"/>
              <w:jc w:val="center"/>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Average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283"/>
              <w:jc w:val="left"/>
              <w:rPr/>
            </w:pPr>
            <w:r>
              <w:rPr/>
              <w:t> </w:t>
            </w:r>
          </w:p>
        </w:tc>
      </w:tr>
      <w:tr>
        <w:trPr/>
        <w:tc>
          <w:tcPr>
            <w:tcW w:w="16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of</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Weighted</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Maturity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283"/>
              <w:jc w:val="left"/>
              <w:rPr/>
            </w:pPr>
            <w:r>
              <w:rPr/>
              <w:t> </w:t>
            </w:r>
          </w:p>
        </w:tc>
      </w:tr>
      <w:tr>
        <w:trPr/>
        <w:tc>
          <w:tcPr>
            <w:tcW w:w="16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40"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Fair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Entire</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Average</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in</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Longest</w:t>
            </w:r>
          </w:p>
        </w:tc>
      </w:tr>
      <w:tr>
        <w:trPr/>
        <w:tc>
          <w:tcPr>
            <w:tcW w:w="164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Asset Category</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4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Value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4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Portfolio</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Coupon</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Months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Maturity</w:t>
            </w:r>
          </w:p>
        </w:tc>
      </w:tr>
      <w:tr>
        <w:trPr/>
        <w:tc>
          <w:tcPr>
            <w:tcW w:w="164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June 30, 2026</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4" w:type="dxa"/>
            <w:tcBorders>
              <w:bottom w:val="single" w:sz="2" w:space="0" w:color="000000"/>
            </w:tcBorders>
            <w:shd w:fill="FFFFFF" w:val="clear"/>
            <w:vAlign w:val="center"/>
          </w:tcPr>
          <w:p>
            <w:pPr>
              <w:pStyle w:val="TableContents"/>
              <w:bidi w:val="0"/>
              <w:spacing w:before="0" w:after="283"/>
              <w:jc w:val="left"/>
              <w:rPr/>
            </w:pPr>
            <w:r>
              <w:rPr/>
              <w:t> </w:t>
            </w:r>
          </w:p>
        </w:tc>
        <w:tc>
          <w:tcPr>
            <w:tcW w:w="741"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4" w:type="dxa"/>
            <w:tcBorders>
              <w:bottom w:val="single" w:sz="2" w:space="0" w:color="000000"/>
            </w:tcBorders>
            <w:shd w:fill="FFFFFF" w:val="clear"/>
            <w:vAlign w:val="center"/>
          </w:tcPr>
          <w:p>
            <w:pPr>
              <w:pStyle w:val="TableContents"/>
              <w:bidi w:val="0"/>
              <w:spacing w:before="0" w:after="283"/>
              <w:jc w:val="left"/>
              <w:rPr/>
            </w:pPr>
            <w:r>
              <w:rPr/>
              <w:t> </w:t>
            </w:r>
          </w:p>
        </w:tc>
        <w:tc>
          <w:tcPr>
            <w:tcW w:w="641"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vAlign w:val="center"/>
          </w:tcPr>
          <w:p>
            <w:pPr>
              <w:pStyle w:val="TableContents"/>
              <w:bidi w:val="0"/>
              <w:spacing w:before="0" w:after="283"/>
              <w:jc w:val="left"/>
              <w:rPr/>
            </w:pPr>
            <w:r>
              <w:rPr/>
              <w:t> </w:t>
            </w:r>
          </w:p>
        </w:tc>
        <w:tc>
          <w:tcPr>
            <w:tcW w:w="626"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71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64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Fixed Rate RMBS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11,528,198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ind w:left="0" w:right="0" w:hanging="0"/>
              <w:jc w:val="left"/>
              <w:rPr/>
            </w:pPr>
            <w:r>
              <w:rPr/>
              <w:t> </w:t>
            </w:r>
          </w:p>
        </w:tc>
        <w:tc>
          <w:tcPr>
            <w:tcW w:w="741"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99.9</w:t>
            </w:r>
          </w:p>
        </w:tc>
        <w:tc>
          <w:tcPr>
            <w:tcW w:w="17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ind w:left="0" w:right="0" w:hanging="0"/>
              <w:jc w:val="left"/>
              <w:rPr/>
            </w:pPr>
            <w:r>
              <w:rPr/>
              <w:t> </w:t>
            </w:r>
          </w:p>
        </w:tc>
        <w:tc>
          <w:tcPr>
            <w:tcW w:w="641"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5.54</w:t>
            </w:r>
          </w:p>
        </w:tc>
        <w:tc>
          <w:tcPr>
            <w:tcW w:w="17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ind w:left="0" w:right="0" w:hanging="0"/>
              <w:jc w:val="left"/>
              <w:rPr/>
            </w:pPr>
            <w:r>
              <w:rPr/>
              <w:t> </w:t>
            </w:r>
          </w:p>
        </w:tc>
        <w:tc>
          <w:tcPr>
            <w:tcW w:w="62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338</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10"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18"/>
              </w:rPr>
            </w:pPr>
            <w:r>
              <w:rPr>
                <w:rFonts w:ascii="Times New Roman" w:hAnsi="Times New Roman"/>
                <w:caps w:val="false"/>
                <w:smallCaps w:val="false"/>
                <w:sz w:val="18"/>
              </w:rPr>
              <w:t>1-Jun-56</w:t>
            </w:r>
          </w:p>
        </w:tc>
      </w:tr>
      <w:tr>
        <w:trPr/>
        <w:tc>
          <w:tcPr>
            <w:tcW w:w="164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Other</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11,966</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4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0.1</w:t>
            </w:r>
          </w:p>
        </w:tc>
        <w:tc>
          <w:tcPr>
            <w:tcW w:w="170" w:type="dxa"/>
            <w:tcBorders>
              <w:bottom w:val="single" w:sz="2" w:space="0" w:color="000000"/>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4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3.39</w:t>
            </w:r>
          </w:p>
        </w:tc>
        <w:tc>
          <w:tcPr>
            <w:tcW w:w="170" w:type="dxa"/>
            <w:tcBorders>
              <w:bottom w:val="single" w:sz="2" w:space="0" w:color="000000"/>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204</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18"/>
              </w:rPr>
            </w:pPr>
            <w:r>
              <w:rPr>
                <w:rFonts w:ascii="Times New Roman" w:hAnsi="Times New Roman"/>
                <w:caps w:val="false"/>
                <w:smallCaps w:val="false"/>
                <w:sz w:val="18"/>
              </w:rPr>
              <w:t>25-Jul-48</w:t>
            </w:r>
          </w:p>
        </w:tc>
      </w:tr>
      <w:tr>
        <w:trPr/>
        <w:tc>
          <w:tcPr>
            <w:tcW w:w="1640" w:type="dxa"/>
            <w:tcBorders>
              <w:bottom w:val="double" w:sz="6"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Total Mortgage Assets</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3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11,540,164</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104"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741"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100.0</w:t>
            </w:r>
          </w:p>
        </w:tc>
        <w:tc>
          <w:tcPr>
            <w:tcW w:w="170" w:type="dxa"/>
            <w:tcBorders>
              <w:bottom w:val="double" w:sz="6" w:space="0" w:color="000000"/>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114"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641"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5.52</w:t>
            </w:r>
          </w:p>
        </w:tc>
        <w:tc>
          <w:tcPr>
            <w:tcW w:w="170" w:type="dxa"/>
            <w:tcBorders>
              <w:bottom w:val="double" w:sz="6" w:space="0" w:color="000000"/>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129"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626"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337</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710" w:type="dxa"/>
            <w:tcBorders>
              <w:bottom w:val="double" w:sz="6" w:space="0" w:color="000000"/>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18"/>
              </w:rPr>
            </w:pPr>
            <w:r>
              <w:rPr>
                <w:rFonts w:ascii="Times New Roman" w:hAnsi="Times New Roman"/>
                <w:caps w:val="false"/>
                <w:smallCaps w:val="false"/>
                <w:sz w:val="18"/>
              </w:rPr>
              <w:t>1-Jun-56</w:t>
            </w:r>
          </w:p>
        </w:tc>
      </w:tr>
      <w:tr>
        <w:trPr/>
        <w:tc>
          <w:tcPr>
            <w:tcW w:w="164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December 31, 2025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4" w:type="dxa"/>
            <w:tcBorders>
              <w:bottom w:val="single" w:sz="2" w:space="0" w:color="000000"/>
            </w:tcBorders>
            <w:shd w:fill="FFFFFF" w:val="clear"/>
            <w:vAlign w:val="center"/>
          </w:tcPr>
          <w:p>
            <w:pPr>
              <w:pStyle w:val="TableContents"/>
              <w:bidi w:val="0"/>
              <w:spacing w:before="0" w:after="283"/>
              <w:jc w:val="left"/>
              <w:rPr/>
            </w:pPr>
            <w:r>
              <w:rPr/>
              <w:t> </w:t>
            </w:r>
          </w:p>
        </w:tc>
        <w:tc>
          <w:tcPr>
            <w:tcW w:w="741"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4" w:type="dxa"/>
            <w:tcBorders>
              <w:bottom w:val="single" w:sz="2" w:space="0" w:color="000000"/>
            </w:tcBorders>
            <w:shd w:fill="FFFFFF" w:val="clear"/>
            <w:vAlign w:val="center"/>
          </w:tcPr>
          <w:p>
            <w:pPr>
              <w:pStyle w:val="TableContents"/>
              <w:bidi w:val="0"/>
              <w:spacing w:before="0" w:after="283"/>
              <w:jc w:val="left"/>
              <w:rPr/>
            </w:pPr>
            <w:r>
              <w:rPr/>
              <w:t> </w:t>
            </w:r>
          </w:p>
        </w:tc>
        <w:tc>
          <w:tcPr>
            <w:tcW w:w="641"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vAlign w:val="center"/>
          </w:tcPr>
          <w:p>
            <w:pPr>
              <w:pStyle w:val="TableContents"/>
              <w:bidi w:val="0"/>
              <w:spacing w:before="0" w:after="283"/>
              <w:jc w:val="left"/>
              <w:rPr/>
            </w:pPr>
            <w:r>
              <w:rPr/>
              <w:t> </w:t>
            </w:r>
          </w:p>
        </w:tc>
        <w:tc>
          <w:tcPr>
            <w:tcW w:w="626"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71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64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Fixed Rate RMBS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10,615,570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ind w:left="0" w:right="0" w:hanging="0"/>
              <w:jc w:val="left"/>
              <w:rPr/>
            </w:pPr>
            <w:r>
              <w:rPr/>
              <w:t> </w:t>
            </w:r>
          </w:p>
        </w:tc>
        <w:tc>
          <w:tcPr>
            <w:tcW w:w="741"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99.9</w:t>
            </w:r>
          </w:p>
        </w:tc>
        <w:tc>
          <w:tcPr>
            <w:tcW w:w="17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ind w:left="0" w:right="0" w:hanging="0"/>
              <w:jc w:val="left"/>
              <w:rPr/>
            </w:pPr>
            <w:r>
              <w:rPr/>
              <w:t> </w:t>
            </w:r>
          </w:p>
        </w:tc>
        <w:tc>
          <w:tcPr>
            <w:tcW w:w="641"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5.67</w:t>
            </w:r>
          </w:p>
        </w:tc>
        <w:tc>
          <w:tcPr>
            <w:tcW w:w="17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ind w:left="0" w:right="0" w:hanging="0"/>
              <w:jc w:val="left"/>
              <w:rPr/>
            </w:pPr>
            <w:r>
              <w:rPr/>
              <w:t> </w:t>
            </w:r>
          </w:p>
        </w:tc>
        <w:tc>
          <w:tcPr>
            <w:tcW w:w="62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341</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10"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18"/>
              </w:rPr>
            </w:pPr>
            <w:r>
              <w:rPr>
                <w:rFonts w:ascii="Times New Roman" w:hAnsi="Times New Roman"/>
                <w:caps w:val="false"/>
                <w:smallCaps w:val="false"/>
                <w:sz w:val="18"/>
              </w:rPr>
              <w:t>1-Jan-56</w:t>
            </w:r>
          </w:p>
        </w:tc>
      </w:tr>
      <w:tr>
        <w:trPr/>
        <w:tc>
          <w:tcPr>
            <w:tcW w:w="164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Other</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13,088</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4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0.1</w:t>
            </w:r>
          </w:p>
        </w:tc>
        <w:tc>
          <w:tcPr>
            <w:tcW w:w="170" w:type="dxa"/>
            <w:tcBorders>
              <w:bottom w:val="single" w:sz="2" w:space="0" w:color="000000"/>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4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3.25</w:t>
            </w:r>
          </w:p>
        </w:tc>
        <w:tc>
          <w:tcPr>
            <w:tcW w:w="170" w:type="dxa"/>
            <w:tcBorders>
              <w:bottom w:val="single" w:sz="2" w:space="0" w:color="000000"/>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210</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18"/>
              </w:rPr>
            </w:pPr>
            <w:r>
              <w:rPr>
                <w:rFonts w:ascii="Times New Roman" w:hAnsi="Times New Roman"/>
                <w:caps w:val="false"/>
                <w:smallCaps w:val="false"/>
                <w:sz w:val="18"/>
              </w:rPr>
              <w:t>25-Jul-48</w:t>
            </w:r>
          </w:p>
        </w:tc>
      </w:tr>
      <w:tr>
        <w:trPr/>
        <w:tc>
          <w:tcPr>
            <w:tcW w:w="1640" w:type="dxa"/>
            <w:tcBorders>
              <w:bottom w:val="double" w:sz="6"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Total Mortgage Assets</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3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10,628,658</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104"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741"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100.0</w:t>
            </w:r>
          </w:p>
        </w:tc>
        <w:tc>
          <w:tcPr>
            <w:tcW w:w="170" w:type="dxa"/>
            <w:tcBorders>
              <w:bottom w:val="double" w:sz="6" w:space="0" w:color="000000"/>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114"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641"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5.64</w:t>
            </w:r>
          </w:p>
        </w:tc>
        <w:tc>
          <w:tcPr>
            <w:tcW w:w="170" w:type="dxa"/>
            <w:tcBorders>
              <w:bottom w:val="double" w:sz="6" w:space="0" w:color="000000"/>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129"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626"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340</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710" w:type="dxa"/>
            <w:tcBorders>
              <w:bottom w:val="double" w:sz="6" w:space="0" w:color="000000"/>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18"/>
              </w:rPr>
            </w:pPr>
            <w:r>
              <w:rPr>
                <w:rFonts w:ascii="Times New Roman" w:hAnsi="Times New Roman"/>
                <w:caps w:val="false"/>
                <w:smallCaps w:val="false"/>
                <w:sz w:val="18"/>
              </w:rPr>
              <w:t>1-Jan-56</w:t>
            </w:r>
          </w:p>
        </w:tc>
      </w:tr>
    </w:tbl>
    <w:p>
      <w:pPr>
        <w:pStyle w:val="TextBody"/>
        <w:bidi w:val="0"/>
        <w:spacing w:before="0" w:after="0"/>
        <w:ind w:left="0" w:right="0" w:hanging="0"/>
        <w:jc w:val="left"/>
        <w:rPr>
          <w:caps w:val="false"/>
          <w:smallCaps w:val="false"/>
        </w:rPr>
      </w:pPr>
      <w:r>
        <w:rPr>
          <w:caps w:val="false"/>
          <w:smallCaps w:val="false"/>
        </w:rPr>
        <w:t> </w:t>
      </w:r>
    </w:p>
    <w:tbl>
      <w:tblPr>
        <w:tblW w:w="6178" w:type="dxa"/>
        <w:jc w:val="left"/>
        <w:tblInd w:w="0" w:type="dxa"/>
        <w:tblLayout w:type="fixed"/>
        <w:tblCellMar>
          <w:top w:w="0" w:type="dxa"/>
          <w:left w:w="0" w:type="dxa"/>
          <w:bottom w:w="28" w:type="dxa"/>
          <w:right w:w="0" w:type="dxa"/>
        </w:tblCellMar>
      </w:tblPr>
      <w:tblGrid>
        <w:gridCol w:w="1190"/>
        <w:gridCol w:w="60"/>
        <w:gridCol w:w="110"/>
        <w:gridCol w:w="830"/>
        <w:gridCol w:w="60"/>
        <w:gridCol w:w="60"/>
        <w:gridCol w:w="148"/>
        <w:gridCol w:w="1056"/>
        <w:gridCol w:w="170"/>
        <w:gridCol w:w="60"/>
        <w:gridCol w:w="110"/>
        <w:gridCol w:w="830"/>
        <w:gridCol w:w="60"/>
        <w:gridCol w:w="60"/>
        <w:gridCol w:w="148"/>
        <w:gridCol w:w="1056"/>
        <w:gridCol w:w="170"/>
      </w:tblGrid>
      <w:tr>
        <w:trPr/>
        <w:tc>
          <w:tcPr>
            <w:tcW w:w="119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 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vAlign w:val="center"/>
          </w:tcPr>
          <w:p>
            <w:pPr>
              <w:pStyle w:val="TableContents"/>
              <w:bidi w:val="0"/>
              <w:spacing w:before="0" w:after="283"/>
              <w:jc w:val="left"/>
              <w:rPr/>
            </w:pPr>
            <w:r>
              <w:rPr/>
              <w:t> </w:t>
            </w:r>
          </w:p>
        </w:tc>
        <w:tc>
          <w:tcPr>
            <w:tcW w:w="1056"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vAlign w:val="center"/>
          </w:tcPr>
          <w:p>
            <w:pPr>
              <w:pStyle w:val="TableContents"/>
              <w:bidi w:val="0"/>
              <w:spacing w:before="0" w:after="283"/>
              <w:jc w:val="left"/>
              <w:rPr/>
            </w:pPr>
            <w:r>
              <w:rPr/>
              <w:t> </w:t>
            </w:r>
          </w:p>
        </w:tc>
        <w:tc>
          <w:tcPr>
            <w:tcW w:w="1056"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19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264"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June 30, 2026</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264"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December 31, 2025</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1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04"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Percentage of</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04"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Percentage of</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119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Agency</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4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Fair Value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204"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Entire Portfolio</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4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Fair Value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204"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Entire Portfolio</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19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Fannie Mae</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6,022,655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ind w:left="0" w:right="0" w:hanging="0"/>
              <w:jc w:val="left"/>
              <w:rPr/>
            </w:pPr>
            <w:r>
              <w:rPr/>
              <w:t> </w:t>
            </w:r>
          </w:p>
        </w:tc>
        <w:tc>
          <w:tcPr>
            <w:tcW w:w="105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52.2</w:t>
            </w:r>
          </w:p>
        </w:tc>
        <w:tc>
          <w:tcPr>
            <w:tcW w:w="17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5,675,461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ind w:left="0" w:right="0" w:hanging="0"/>
              <w:jc w:val="left"/>
              <w:rPr/>
            </w:pPr>
            <w:r>
              <w:rPr/>
              <w:t> </w:t>
            </w:r>
          </w:p>
        </w:tc>
        <w:tc>
          <w:tcPr>
            <w:tcW w:w="105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53.4</w:t>
            </w:r>
          </w:p>
        </w:tc>
        <w:tc>
          <w:tcPr>
            <w:tcW w:w="17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19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Freddie Mac</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5,517,509</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5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47.8</w:t>
            </w:r>
          </w:p>
        </w:tc>
        <w:tc>
          <w:tcPr>
            <w:tcW w:w="170" w:type="dxa"/>
            <w:tcBorders>
              <w:bottom w:val="single" w:sz="2" w:space="0" w:color="000000"/>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4,953,197</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5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46.6</w:t>
            </w:r>
          </w:p>
        </w:tc>
        <w:tc>
          <w:tcPr>
            <w:tcW w:w="170" w:type="dxa"/>
            <w:tcBorders>
              <w:bottom w:val="single" w:sz="2" w:space="0" w:color="000000"/>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190" w:type="dxa"/>
            <w:tcBorders>
              <w:bottom w:val="double" w:sz="6"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Total Portfolio</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3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11,540,164</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056"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100.0</w:t>
            </w:r>
          </w:p>
        </w:tc>
        <w:tc>
          <w:tcPr>
            <w:tcW w:w="170" w:type="dxa"/>
            <w:tcBorders>
              <w:bottom w:val="double" w:sz="6" w:space="0" w:color="000000"/>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3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10,628,658</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056"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100.0</w:t>
            </w:r>
          </w:p>
        </w:tc>
        <w:tc>
          <w:tcPr>
            <w:tcW w:w="170" w:type="dxa"/>
            <w:tcBorders>
              <w:bottom w:val="double" w:sz="6" w:space="0" w:color="000000"/>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As of June 30, 2026, the Company's portfolio had an effective duration of 3.180, indicating that an interest rate increase of 1.0% would be expected to cause a 3.180% decrease in the value of the RMBS in the Company’s investment portfolio. As of December 31, 2025, the Company's portfolio had an effective duration of 2.513, indicating that an interest rate increase of 1.0% would be expected to cause a 2.513% decrease in the value of the RMBS in the Company’s investment portfolio. These figures do not include the effect of the Company’s funding cost hedges. Effective duration quotes for individual investments are obtained from The Yield Book,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following table presents a summary of portfolio assets acquired during the six months ended June 30, 2026 and 2025, including securities purchased during the period that settled after the end of the period, if any.</w:t>
      </w:r>
    </w:p>
    <w:p>
      <w:pPr>
        <w:pStyle w:val="TextBody"/>
        <w:bidi w:val="0"/>
        <w:spacing w:before="0" w:after="0"/>
        <w:ind w:left="0" w:right="0" w:hanging="0"/>
        <w:jc w:val="left"/>
        <w:rPr>
          <w:caps w:val="false"/>
          <w:smallCaps w:val="false"/>
        </w:rPr>
      </w:pPr>
      <w:r>
        <w:rPr>
          <w:caps w:val="false"/>
          <w:smallCaps w:val="false"/>
        </w:rPr>
        <w:t> </w:t>
      </w:r>
    </w:p>
    <w:tbl>
      <w:tblPr>
        <w:tblW w:w="9726" w:type="dxa"/>
        <w:jc w:val="left"/>
        <w:tblInd w:w="0" w:type="dxa"/>
        <w:tblLayout w:type="fixed"/>
        <w:tblCellMar>
          <w:top w:w="0" w:type="dxa"/>
          <w:left w:w="0" w:type="dxa"/>
          <w:bottom w:w="28" w:type="dxa"/>
          <w:right w:w="0" w:type="dxa"/>
        </w:tblCellMar>
      </w:tblPr>
      <w:tblGrid>
        <w:gridCol w:w="1190"/>
        <w:gridCol w:w="60"/>
        <w:gridCol w:w="110"/>
        <w:gridCol w:w="740"/>
        <w:gridCol w:w="60"/>
        <w:gridCol w:w="60"/>
        <w:gridCol w:w="187"/>
        <w:gridCol w:w="882"/>
        <w:gridCol w:w="60"/>
        <w:gridCol w:w="60"/>
        <w:gridCol w:w="283"/>
        <w:gridCol w:w="1596"/>
        <w:gridCol w:w="170"/>
        <w:gridCol w:w="60"/>
        <w:gridCol w:w="110"/>
        <w:gridCol w:w="740"/>
        <w:gridCol w:w="60"/>
        <w:gridCol w:w="60"/>
        <w:gridCol w:w="187"/>
        <w:gridCol w:w="882"/>
        <w:gridCol w:w="60"/>
        <w:gridCol w:w="60"/>
        <w:gridCol w:w="283"/>
        <w:gridCol w:w="1596"/>
        <w:gridCol w:w="170"/>
      </w:tblGrid>
      <w:tr>
        <w:trPr/>
        <w:tc>
          <w:tcPr>
            <w:tcW w:w="119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 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74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87" w:type="dxa"/>
            <w:tcBorders>
              <w:bottom w:val="single" w:sz="2" w:space="0" w:color="000000"/>
            </w:tcBorders>
            <w:shd w:fill="FFFFFF" w:val="clear"/>
            <w:vAlign w:val="center"/>
          </w:tcPr>
          <w:p>
            <w:pPr>
              <w:pStyle w:val="TableContents"/>
              <w:bidi w:val="0"/>
              <w:spacing w:before="0" w:after="283"/>
              <w:jc w:val="left"/>
              <w:rPr/>
            </w:pPr>
            <w:r>
              <w:rPr/>
              <w:t> </w:t>
            </w:r>
          </w:p>
        </w:tc>
        <w:tc>
          <w:tcPr>
            <w:tcW w:w="882"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83" w:type="dxa"/>
            <w:tcBorders>
              <w:bottom w:val="single" w:sz="2" w:space="0" w:color="000000"/>
            </w:tcBorders>
            <w:shd w:fill="FFFFFF" w:val="clear"/>
            <w:vAlign w:val="center"/>
          </w:tcPr>
          <w:p>
            <w:pPr>
              <w:pStyle w:val="TableContents"/>
              <w:bidi w:val="0"/>
              <w:spacing w:before="0" w:after="283"/>
              <w:jc w:val="left"/>
              <w:rPr/>
            </w:pPr>
            <w:r>
              <w:rPr/>
              <w:t> </w:t>
            </w:r>
          </w:p>
        </w:tc>
        <w:tc>
          <w:tcPr>
            <w:tcW w:w="1596"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74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87" w:type="dxa"/>
            <w:tcBorders>
              <w:bottom w:val="single" w:sz="2" w:space="0" w:color="000000"/>
            </w:tcBorders>
            <w:shd w:fill="FFFFFF" w:val="clear"/>
            <w:vAlign w:val="center"/>
          </w:tcPr>
          <w:p>
            <w:pPr>
              <w:pStyle w:val="TableContents"/>
              <w:bidi w:val="0"/>
              <w:spacing w:before="0" w:after="283"/>
              <w:jc w:val="left"/>
              <w:rPr/>
            </w:pPr>
            <w:r>
              <w:rPr/>
              <w:t> </w:t>
            </w:r>
          </w:p>
        </w:tc>
        <w:tc>
          <w:tcPr>
            <w:tcW w:w="882"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83" w:type="dxa"/>
            <w:tcBorders>
              <w:bottom w:val="single" w:sz="2" w:space="0" w:color="000000"/>
            </w:tcBorders>
            <w:shd w:fill="FFFFFF" w:val="clear"/>
            <w:vAlign w:val="center"/>
          </w:tcPr>
          <w:p>
            <w:pPr>
              <w:pStyle w:val="TableContents"/>
              <w:bidi w:val="0"/>
              <w:spacing w:before="0" w:after="283"/>
              <w:jc w:val="left"/>
              <w:rPr/>
            </w:pPr>
            <w:r>
              <w:rPr/>
              <w:t> </w:t>
            </w:r>
          </w:p>
        </w:tc>
        <w:tc>
          <w:tcPr>
            <w:tcW w:w="1596"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1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038" w:type="dxa"/>
            <w:gridSpan w:val="10"/>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2026</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038" w:type="dxa"/>
            <w:gridSpan w:val="10"/>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2025</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19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Total Cost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69"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Average Price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879"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Weighted Average Yield</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Total Cost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69"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Average Price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879"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Weighted Average Yield</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19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PT RMBS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74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2,273,827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87"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82"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100.85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shd w:fill="CCEEFF" w:val="clear"/>
            <w:tcMar>
              <w:bottom w:w="0" w:type="dxa"/>
            </w:tcMar>
            <w:vAlign w:val="center"/>
          </w:tcPr>
          <w:p>
            <w:pPr>
              <w:pStyle w:val="TableContents"/>
              <w:bidi w:val="0"/>
              <w:spacing w:before="0" w:after="283"/>
              <w:ind w:left="0" w:right="0" w:hanging="0"/>
              <w:jc w:val="left"/>
              <w:rPr/>
            </w:pPr>
            <w:r>
              <w:rPr/>
              <w:t> </w:t>
            </w:r>
          </w:p>
        </w:tc>
        <w:tc>
          <w:tcPr>
            <w:tcW w:w="159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5.04</w:t>
            </w:r>
          </w:p>
        </w:tc>
        <w:tc>
          <w:tcPr>
            <w:tcW w:w="17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74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2,728,263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87"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82"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101.84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shd w:fill="CCEEFF" w:val="clear"/>
            <w:tcMar>
              <w:bottom w:w="0" w:type="dxa"/>
            </w:tcMar>
            <w:vAlign w:val="center"/>
          </w:tcPr>
          <w:p>
            <w:pPr>
              <w:pStyle w:val="TableContents"/>
              <w:bidi w:val="0"/>
              <w:spacing w:before="0" w:after="283"/>
              <w:ind w:left="0" w:right="0" w:hanging="0"/>
              <w:jc w:val="left"/>
              <w:rPr/>
            </w:pPr>
            <w:r>
              <w:rPr/>
              <w:t> </w:t>
            </w:r>
          </w:p>
        </w:tc>
        <w:tc>
          <w:tcPr>
            <w:tcW w:w="159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5.52</w:t>
            </w:r>
          </w:p>
        </w:tc>
        <w:tc>
          <w:tcPr>
            <w:tcW w:w="17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Borrowings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As of June 30, 2026, we had established borrowing facilities in the repurchase agreement market with a number of commercial banks and other financial institutions and had borrowings in place with 33 of these counterparties. None of these lenders are affiliated with the Company. These borrowings are secured by the Company’s RMBS and cash, and bear interest at prevailing market rates. We believe our established repurchase agreement borrowing facilities provide borrowing capacity in excess of our needs.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As of June 30, 2026, we had obligations outstanding under the repurchase agreements of approximately $11.1 billion with a net weighted average borrowing cost of 3.77%. The remaining maturity of our outstanding repurchase agreement obligations ranged from 2 to 136 days, with a weighted average remaining maturity of 33 days. Securing the repurchase agreement obligations as of June 30, 2026 are RMBS with an estimated fair value, including accrued interest, of approximately $11.5 billion, and cash pledged to counterparties of approximately $111.5 million. Through July 24, 2026, we have been able to maintain our repurchase facilities with comparable terms to those that existed at June 30, 2026, with maturities through November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table below presents information about our period end, maximum and average balances of borrowings for each quarter in 2026 to date and 2025.</w:t>
      </w:r>
    </w:p>
    <w:p>
      <w:pPr>
        <w:pStyle w:val="TextBody"/>
        <w:bidi w:val="0"/>
        <w:spacing w:before="0" w:after="0"/>
        <w:ind w:left="0" w:right="0" w:firstLine="360"/>
        <w:jc w:val="left"/>
        <w:rPr>
          <w:caps w:val="false"/>
          <w:smallCaps w:val="false"/>
        </w:rPr>
      </w:pPr>
      <w:r>
        <w:rPr>
          <w:caps w:val="false"/>
          <w:smallCaps w:val="false"/>
        </w:rPr>
        <w:t> </w:t>
      </w:r>
    </w:p>
    <w:tbl>
      <w:tblPr>
        <w:tblW w:w="7181" w:type="dxa"/>
        <w:jc w:val="left"/>
        <w:tblInd w:w="0" w:type="dxa"/>
        <w:tblLayout w:type="fixed"/>
        <w:tblCellMar>
          <w:top w:w="0" w:type="dxa"/>
          <w:left w:w="0" w:type="dxa"/>
          <w:bottom w:w="28" w:type="dxa"/>
          <w:right w:w="0" w:type="dxa"/>
        </w:tblCellMar>
      </w:tblPr>
      <w:tblGrid>
        <w:gridCol w:w="1670"/>
        <w:gridCol w:w="60"/>
        <w:gridCol w:w="110"/>
        <w:gridCol w:w="830"/>
        <w:gridCol w:w="60"/>
        <w:gridCol w:w="60"/>
        <w:gridCol w:w="110"/>
        <w:gridCol w:w="830"/>
        <w:gridCol w:w="60"/>
        <w:gridCol w:w="60"/>
        <w:gridCol w:w="110"/>
        <w:gridCol w:w="830"/>
        <w:gridCol w:w="60"/>
        <w:gridCol w:w="60"/>
        <w:gridCol w:w="159"/>
        <w:gridCol w:w="1070"/>
        <w:gridCol w:w="86"/>
        <w:gridCol w:w="86"/>
        <w:gridCol w:w="86"/>
        <w:gridCol w:w="614"/>
        <w:gridCol w:w="170"/>
      </w:tblGrid>
      <w:tr>
        <w:trPr/>
        <w:tc>
          <w:tcPr>
            <w:tcW w:w="167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 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vAlign w:val="center"/>
          </w:tcPr>
          <w:p>
            <w:pPr>
              <w:pStyle w:val="TableContents"/>
              <w:bidi w:val="0"/>
              <w:spacing w:before="0" w:after="283"/>
              <w:jc w:val="left"/>
              <w:rPr/>
            </w:pPr>
            <w:r>
              <w:rPr/>
              <w:t> </w:t>
            </w:r>
          </w:p>
        </w:tc>
        <w:tc>
          <w:tcPr>
            <w:tcW w:w="1070" w:type="dxa"/>
            <w:tcBorders>
              <w:bottom w:val="single" w:sz="2" w:space="0" w:color="000000"/>
            </w:tcBorders>
            <w:shd w:fill="FFFFFF" w:val="clear"/>
            <w:vAlign w:val="center"/>
          </w:tcPr>
          <w:p>
            <w:pPr>
              <w:pStyle w:val="TableContents"/>
              <w:bidi w:val="0"/>
              <w:spacing w:before="0" w:after="283"/>
              <w:jc w:val="left"/>
              <w:rPr/>
            </w:pPr>
            <w:r>
              <w:rPr/>
              <w:t> </w:t>
            </w:r>
          </w:p>
        </w:tc>
        <w:tc>
          <w:tcPr>
            <w:tcW w:w="86" w:type="dxa"/>
            <w:tcBorders>
              <w:bottom w:val="single" w:sz="2" w:space="0" w:color="000000"/>
            </w:tcBorders>
            <w:shd w:fill="FFFFFF" w:val="clear"/>
            <w:vAlign w:val="center"/>
          </w:tcPr>
          <w:p>
            <w:pPr>
              <w:pStyle w:val="TableContents"/>
              <w:bidi w:val="0"/>
              <w:spacing w:before="0" w:after="283"/>
              <w:jc w:val="left"/>
              <w:rPr/>
            </w:pPr>
            <w:r>
              <w:rPr/>
              <w:t> </w:t>
            </w:r>
          </w:p>
        </w:tc>
        <w:tc>
          <w:tcPr>
            <w:tcW w:w="86" w:type="dxa"/>
            <w:tcBorders>
              <w:bottom w:val="single" w:sz="2" w:space="0" w:color="000000"/>
            </w:tcBorders>
            <w:shd w:fill="FFFFFF" w:val="clear"/>
            <w:vAlign w:val="center"/>
          </w:tcPr>
          <w:p>
            <w:pPr>
              <w:pStyle w:val="TableContents"/>
              <w:bidi w:val="0"/>
              <w:spacing w:before="0" w:after="283"/>
              <w:jc w:val="left"/>
              <w:rPr/>
            </w:pPr>
            <w:r>
              <w:rPr/>
              <w:t> </w:t>
            </w:r>
          </w:p>
        </w:tc>
        <w:tc>
          <w:tcPr>
            <w:tcW w:w="86" w:type="dxa"/>
            <w:tcBorders>
              <w:bottom w:val="single" w:sz="2" w:space="0" w:color="000000"/>
            </w:tcBorders>
            <w:shd w:fill="FFFFFF" w:val="clear"/>
            <w:vAlign w:val="center"/>
          </w:tcPr>
          <w:p>
            <w:pPr>
              <w:pStyle w:val="TableContents"/>
              <w:bidi w:val="0"/>
              <w:spacing w:before="0" w:after="283"/>
              <w:jc w:val="left"/>
              <w:rPr/>
            </w:pPr>
            <w:r>
              <w:rPr/>
              <w:t> </w:t>
            </w:r>
          </w:p>
        </w:tc>
        <w:tc>
          <w:tcPr>
            <w:tcW w:w="614"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6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101" w:type="dxa"/>
            <w:gridSpan w:val="6"/>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Difference Between Ending</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16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4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Ending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4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Maximum</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4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Average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101" w:type="dxa"/>
            <w:gridSpan w:val="6"/>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Borrowings and</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16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4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Balance of</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4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Balance of</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4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Balance of</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101"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Average Borrowings</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67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Three Months Ended</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4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Borrowings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4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Borrowings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4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Borrowings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229"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Amount</w:t>
            </w:r>
          </w:p>
        </w:tc>
        <w:tc>
          <w:tcPr>
            <w:tcW w:w="86" w:type="dxa"/>
            <w:tcBorders>
              <w:bottom w:val="single" w:sz="2" w:space="0" w:color="000000"/>
            </w:tcBorders>
            <w:shd w:fill="FFFFFF" w:val="clear"/>
            <w:vAlign w:val="center"/>
          </w:tcPr>
          <w:p>
            <w:pPr>
              <w:pStyle w:val="TableContents"/>
              <w:bidi w:val="0"/>
              <w:spacing w:before="0" w:after="283"/>
              <w:jc w:val="left"/>
              <w:rPr/>
            </w:pPr>
            <w:r>
              <w:rPr/>
              <w:t> </w:t>
            </w:r>
          </w:p>
        </w:tc>
        <w:tc>
          <w:tcPr>
            <w:tcW w:w="8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0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Percent</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67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June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83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11,086,915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83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11,139,168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83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10,975,819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107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111,096</w:t>
            </w:r>
          </w:p>
        </w:tc>
        <w:tc>
          <w:tcPr>
            <w:tcW w:w="86"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61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1.01</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67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March 31, 2026</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10,864,723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11,023,983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10,490,095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59" w:type="dxa"/>
            <w:tcBorders/>
            <w:shd w:fill="FFFFFF" w:val="clear"/>
            <w:tcMar>
              <w:bottom w:w="0" w:type="dxa"/>
            </w:tcMar>
            <w:vAlign w:val="center"/>
          </w:tcPr>
          <w:p>
            <w:pPr>
              <w:pStyle w:val="TableContents"/>
              <w:bidi w:val="0"/>
              <w:spacing w:before="0" w:after="283"/>
              <w:ind w:left="0" w:right="0" w:hanging="0"/>
              <w:jc w:val="left"/>
              <w:rPr/>
            </w:pPr>
            <w:r>
              <w:rPr/>
              <w:t> </w:t>
            </w:r>
          </w:p>
        </w:tc>
        <w:tc>
          <w:tcPr>
            <w:tcW w:w="107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374,628</w:t>
            </w:r>
          </w:p>
        </w:tc>
        <w:tc>
          <w:tcPr>
            <w:tcW w:w="86"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ind w:left="0" w:right="0" w:hanging="0"/>
              <w:jc w:val="left"/>
              <w:rPr/>
            </w:pPr>
            <w:r>
              <w:rPr/>
              <w:t> </w:t>
            </w:r>
          </w:p>
        </w:tc>
        <w:tc>
          <w:tcPr>
            <w:tcW w:w="61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3.57</w:t>
            </w:r>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67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December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10,115,466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10,119,839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9,061,222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1,054,244</w:t>
            </w:r>
          </w:p>
        </w:tc>
        <w:tc>
          <w:tcPr>
            <w:tcW w:w="86"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61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11.63</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67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September 30,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8,006,978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8,024,512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7,331,428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675,550</w:t>
            </w:r>
          </w:p>
        </w:tc>
        <w:tc>
          <w:tcPr>
            <w:tcW w:w="86"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61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9.21</w:t>
            </w:r>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67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June 30,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6,655,879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6,655,879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6,537,260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118,619</w:t>
            </w:r>
          </w:p>
        </w:tc>
        <w:tc>
          <w:tcPr>
            <w:tcW w:w="86"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61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1.81</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67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March 31, 2025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6,418,641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6,453,905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5,722,092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7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696,549</w:t>
            </w:r>
          </w:p>
        </w:tc>
        <w:tc>
          <w:tcPr>
            <w:tcW w:w="86" w:type="dxa"/>
            <w:tcBorders>
              <w:bottom w:val="single" w:sz="2" w:space="0" w:color="000000"/>
            </w:tcBorders>
            <w:shd w:fill="FFFFFF" w:val="clear"/>
            <w:vAlign w:val="center"/>
          </w:tcPr>
          <w:p>
            <w:pPr>
              <w:pStyle w:val="TableContents"/>
              <w:bidi w:val="0"/>
              <w:spacing w:before="0" w:after="283"/>
              <w:jc w:val="left"/>
              <w:rPr/>
            </w:pPr>
            <w:r>
              <w:rPr/>
              <w:t> </w:t>
            </w:r>
          </w:p>
        </w:tc>
        <w:tc>
          <w:tcPr>
            <w:tcW w:w="86" w:type="dxa"/>
            <w:tcBorders>
              <w:bottom w:val="single" w:sz="2" w:space="0" w:color="000000"/>
            </w:tcBorders>
            <w:shd w:fill="FFFFFF" w:val="clear"/>
            <w:vAlign w:val="center"/>
          </w:tcPr>
          <w:p>
            <w:pPr>
              <w:pStyle w:val="TableContents"/>
              <w:bidi w:val="0"/>
              <w:spacing w:before="0" w:after="283"/>
              <w:jc w:val="left"/>
              <w:rPr/>
            </w:pPr>
            <w:r>
              <w:rPr/>
              <w:t> </w:t>
            </w:r>
          </w:p>
        </w:tc>
        <w:tc>
          <w:tcPr>
            <w:tcW w:w="8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1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12.17</w:t>
            </w:r>
          </w:p>
        </w:tc>
        <w:tc>
          <w:tcPr>
            <w:tcW w:w="17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Leverage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use two primary measures of leverage. Economic leverage is calculated by dividing total liabilities, adjusted for our net notional TBA position and securities borrowed, by stockholders' equity. We include our net TBA position in our calculation of economic leverage because a forward contract to purchase or sell an Agency RMBS in the TBA market carries similar risks to an Agency RMBS purchased or sold in the cash market and funded with repurchase agreement liabilities. Adjusted leverage is calculated by dividing our repurchase agreements by stockholders' equity. Our economic leverage as of June 30, 2026 and December 31, 2025 was 7.3 to 1. Our adjusted leverage as of June 30, 2026 was 7.7 to 1, compared to 7.4 to 1 as of December 31, 2025.  The following table presents information related to our historical leverage.</w:t>
      </w:r>
    </w:p>
    <w:p>
      <w:pPr>
        <w:pStyle w:val="TextBody"/>
        <w:bidi w:val="0"/>
        <w:spacing w:before="0" w:after="0"/>
        <w:ind w:left="160" w:right="0" w:hanging="0"/>
        <w:jc w:val="left"/>
        <w:rPr>
          <w:caps w:val="false"/>
          <w:smallCaps w:val="false"/>
        </w:rPr>
      </w:pPr>
      <w:r>
        <w:rPr>
          <w:caps w:val="false"/>
          <w:smallCaps w:val="false"/>
        </w:rPr>
        <w:t> </w:t>
      </w:r>
    </w:p>
    <w:tbl>
      <w:tblPr>
        <w:tblW w:w="8354" w:type="dxa"/>
        <w:jc w:val="left"/>
        <w:tblInd w:w="0" w:type="dxa"/>
        <w:tblLayout w:type="fixed"/>
        <w:tblCellMar>
          <w:top w:w="0" w:type="dxa"/>
          <w:left w:w="0" w:type="dxa"/>
          <w:bottom w:w="28" w:type="dxa"/>
          <w:right w:w="0" w:type="dxa"/>
        </w:tblCellMar>
      </w:tblPr>
      <w:tblGrid>
        <w:gridCol w:w="1460"/>
        <w:gridCol w:w="60"/>
        <w:gridCol w:w="110"/>
        <w:gridCol w:w="830"/>
        <w:gridCol w:w="60"/>
        <w:gridCol w:w="60"/>
        <w:gridCol w:w="110"/>
        <w:gridCol w:w="830"/>
        <w:gridCol w:w="60"/>
        <w:gridCol w:w="60"/>
        <w:gridCol w:w="110"/>
        <w:gridCol w:w="665"/>
        <w:gridCol w:w="80"/>
        <w:gridCol w:w="60"/>
        <w:gridCol w:w="120"/>
        <w:gridCol w:w="665"/>
        <w:gridCol w:w="60"/>
        <w:gridCol w:w="60"/>
        <w:gridCol w:w="137"/>
        <w:gridCol w:w="932"/>
        <w:gridCol w:w="60"/>
        <w:gridCol w:w="60"/>
        <w:gridCol w:w="740"/>
        <w:gridCol w:w="60"/>
        <w:gridCol w:w="60"/>
        <w:gridCol w:w="770"/>
        <w:gridCol w:w="75"/>
      </w:tblGrid>
      <w:tr>
        <w:trPr/>
        <w:tc>
          <w:tcPr>
            <w:tcW w:w="146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 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665"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0" w:type="dxa"/>
            <w:tcBorders>
              <w:bottom w:val="single" w:sz="2" w:space="0" w:color="000000"/>
            </w:tcBorders>
            <w:shd w:fill="FFFFFF" w:val="clear"/>
            <w:vAlign w:val="center"/>
          </w:tcPr>
          <w:p>
            <w:pPr>
              <w:pStyle w:val="TableContents"/>
              <w:bidi w:val="0"/>
              <w:spacing w:before="0" w:after="283"/>
              <w:jc w:val="left"/>
              <w:rPr/>
            </w:pPr>
            <w:r>
              <w:rPr/>
              <w:t> </w:t>
            </w:r>
          </w:p>
        </w:tc>
        <w:tc>
          <w:tcPr>
            <w:tcW w:w="66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vAlign w:val="center"/>
          </w:tcPr>
          <w:p>
            <w:pPr>
              <w:pStyle w:val="TableContents"/>
              <w:bidi w:val="0"/>
              <w:spacing w:before="0" w:after="283"/>
              <w:jc w:val="left"/>
              <w:rPr/>
            </w:pPr>
            <w:r>
              <w:rPr/>
              <w:t> </w:t>
            </w:r>
          </w:p>
        </w:tc>
        <w:tc>
          <w:tcPr>
            <w:tcW w:w="932"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74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770" w:type="dxa"/>
            <w:tcBorders>
              <w:bottom w:val="single" w:sz="2" w:space="0" w:color="000000"/>
            </w:tcBorders>
            <w:shd w:fill="FFFFFF" w:val="clear"/>
            <w:vAlign w:val="center"/>
          </w:tcPr>
          <w:p>
            <w:pPr>
              <w:pStyle w:val="TableContents"/>
              <w:bidi w:val="0"/>
              <w:spacing w:before="0" w:after="283"/>
              <w:jc w:val="left"/>
              <w:rPr/>
            </w:pPr>
            <w:r>
              <w:rPr/>
              <w:t> </w:t>
            </w:r>
          </w:p>
        </w:tc>
        <w:tc>
          <w:tcPr>
            <w:tcW w:w="7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4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 w:type="dxa"/>
            <w:tcBorders/>
            <w:shd w:fill="FFFFFF" w:val="clear"/>
            <w:tcMar>
              <w:bottom w:w="0" w:type="dxa"/>
            </w:tcMar>
            <w:vAlign w:val="center"/>
          </w:tcPr>
          <w:p>
            <w:pPr>
              <w:pStyle w:val="TableContents"/>
              <w:bidi w:val="0"/>
              <w:spacing w:before="0" w:after="283"/>
              <w:jc w:val="left"/>
              <w:rPr/>
            </w:pPr>
            <w:r>
              <w:rPr/>
              <w:t> </w:t>
            </w:r>
          </w:p>
        </w:tc>
        <w:tc>
          <w:tcPr>
            <w:tcW w:w="93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4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4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Ending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4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Ending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7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Ending</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8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Ending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69"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Ending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4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4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Repurchase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4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7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Net TBA</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8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Securities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69"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Stockholders'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4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Adjusted</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77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Economic</w:t>
            </w:r>
          </w:p>
        </w:tc>
        <w:tc>
          <w:tcPr>
            <w:tcW w:w="75" w:type="dxa"/>
            <w:tcBorders/>
            <w:shd w:fill="FFFFFF" w:val="clear"/>
            <w:tcMar>
              <w:bottom w:w="0" w:type="dxa"/>
            </w:tcMar>
            <w:vAlign w:val="center"/>
          </w:tcPr>
          <w:p>
            <w:pPr>
              <w:pStyle w:val="TableContents"/>
              <w:bidi w:val="0"/>
              <w:spacing w:before="0" w:after="283"/>
              <w:jc w:val="center"/>
              <w:rPr/>
            </w:pPr>
            <w:r>
              <w:rPr/>
              <w:t> </w:t>
            </w:r>
          </w:p>
        </w:tc>
      </w:tr>
      <w:tr>
        <w:trPr/>
        <w:tc>
          <w:tcPr>
            <w:tcW w:w="14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4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Agreements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4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Liabilities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Positions</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Borrowed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69"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Equity</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Leverage</w:t>
            </w:r>
          </w:p>
        </w:tc>
        <w:tc>
          <w:tcPr>
            <w:tcW w:w="60"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77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Leverage</w:t>
            </w:r>
          </w:p>
        </w:tc>
        <w:tc>
          <w:tcPr>
            <w:tcW w:w="75" w:type="dxa"/>
            <w:tcBorders>
              <w:bottom w:val="single" w:sz="2" w:space="0" w:color="000000"/>
            </w:tcBorders>
            <w:shd w:fill="FFFFFF" w:val="clear"/>
            <w:vAlign w:val="center"/>
          </w:tcPr>
          <w:p>
            <w:pPr>
              <w:pStyle w:val="TableContents"/>
              <w:bidi w:val="0"/>
              <w:spacing w:before="0" w:after="283"/>
              <w:jc w:val="center"/>
              <w:rPr/>
            </w:pPr>
            <w:r>
              <w:rPr/>
              <w:t> </w:t>
            </w:r>
          </w:p>
        </w:tc>
      </w:tr>
      <w:tr>
        <w:trPr/>
        <w:tc>
          <w:tcPr>
            <w:tcW w:w="146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June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83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11,086,915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83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11,662,854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6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(594,900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6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496,036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3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1,441,258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0"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7.7:1</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right"/>
              <w:rPr/>
            </w:pPr>
            <w:r>
              <w:rPr/>
              <w:t> </w:t>
            </w:r>
          </w:p>
        </w:tc>
        <w:tc>
          <w:tcPr>
            <w:tcW w:w="770"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7.3:1</w:t>
            </w:r>
          </w:p>
        </w:tc>
        <w:tc>
          <w:tcPr>
            <w:tcW w:w="75" w:type="dxa"/>
            <w:tcBorders/>
            <w:shd w:fill="CCEEFF" w:val="clear"/>
            <w:tcMar>
              <w:bottom w:w="0" w:type="dxa"/>
            </w:tcMar>
            <w:vAlign w:val="center"/>
          </w:tcPr>
          <w:p>
            <w:pPr>
              <w:pStyle w:val="TableContents"/>
              <w:bidi w:val="0"/>
              <w:spacing w:before="0" w:after="283"/>
              <w:jc w:val="right"/>
              <w:rPr/>
            </w:pPr>
            <w:r>
              <w:rPr/>
              <w:t> </w:t>
            </w:r>
          </w:p>
        </w:tc>
      </w:tr>
      <w:tr>
        <w:trPr/>
        <w:tc>
          <w:tcPr>
            <w:tcW w:w="146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March 31, 2026</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10,864,723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11,279,585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6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95,000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0" w:type="dxa"/>
            <w:tcBorders/>
            <w:shd w:fill="FFFFFF" w:val="clear"/>
            <w:tcMar>
              <w:bottom w:w="0" w:type="dxa"/>
            </w:tcMar>
            <w:vAlign w:val="center"/>
          </w:tcPr>
          <w:p>
            <w:pPr>
              <w:pStyle w:val="TableContents"/>
              <w:bidi w:val="0"/>
              <w:spacing w:before="0" w:after="283"/>
              <w:ind w:left="0" w:right="0" w:hanging="0"/>
              <w:jc w:val="left"/>
              <w:rPr/>
            </w:pPr>
            <w:r>
              <w:rPr/>
              <w:t> </w:t>
            </w:r>
          </w:p>
        </w:tc>
        <w:tc>
          <w:tcPr>
            <w:tcW w:w="66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359,202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7" w:type="dxa"/>
            <w:tcBorders/>
            <w:shd w:fill="FFFFFF" w:val="clear"/>
            <w:tcMar>
              <w:bottom w:w="0" w:type="dxa"/>
            </w:tcMar>
            <w:vAlign w:val="center"/>
          </w:tcPr>
          <w:p>
            <w:pPr>
              <w:pStyle w:val="TableContents"/>
              <w:bidi w:val="0"/>
              <w:spacing w:before="0" w:after="283"/>
              <w:ind w:left="0" w:right="0" w:hanging="0"/>
              <w:jc w:val="left"/>
              <w:rPr/>
            </w:pPr>
            <w:r>
              <w:rPr/>
              <w:t> </w:t>
            </w:r>
          </w:p>
        </w:tc>
        <w:tc>
          <w:tcPr>
            <w:tcW w:w="93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1,391,808</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40" w:type="dxa"/>
            <w:tcBorders/>
            <w:shd w:fill="FFFF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7.8:1</w:t>
            </w:r>
          </w:p>
        </w:tc>
        <w:tc>
          <w:tcPr>
            <w:tcW w:w="60" w:type="dxa"/>
            <w:tcBorders/>
            <w:shd w:fill="FFFFFF" w:val="clear"/>
            <w:tcMar>
              <w:bottom w:w="0" w:type="dxa"/>
            </w:tcMar>
            <w:vAlign w:val="center"/>
          </w:tcPr>
          <w:p>
            <w:pPr>
              <w:pStyle w:val="TableContents"/>
              <w:bidi w:val="0"/>
              <w:spacing w:before="0" w:after="283"/>
              <w:ind w:left="0" w:right="0" w:hanging="0"/>
              <w:jc w:val="right"/>
              <w:rPr/>
            </w:pPr>
            <w:r>
              <w:rPr/>
              <w:t> </w:t>
            </w:r>
          </w:p>
        </w:tc>
        <w:tc>
          <w:tcPr>
            <w:tcW w:w="60" w:type="dxa"/>
            <w:tcBorders/>
            <w:shd w:fill="FFFFFF" w:val="clear"/>
            <w:tcMar>
              <w:bottom w:w="0" w:type="dxa"/>
            </w:tcMar>
            <w:vAlign w:val="center"/>
          </w:tcPr>
          <w:p>
            <w:pPr>
              <w:pStyle w:val="TableContents"/>
              <w:bidi w:val="0"/>
              <w:spacing w:before="0" w:after="283"/>
              <w:ind w:left="0" w:right="0" w:hanging="0"/>
              <w:jc w:val="right"/>
              <w:rPr/>
            </w:pPr>
            <w:r>
              <w:rPr/>
              <w:t> </w:t>
            </w:r>
          </w:p>
        </w:tc>
        <w:tc>
          <w:tcPr>
            <w:tcW w:w="770" w:type="dxa"/>
            <w:tcBorders/>
            <w:shd w:fill="FFFF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7.9:1</w:t>
            </w:r>
          </w:p>
        </w:tc>
        <w:tc>
          <w:tcPr>
            <w:tcW w:w="75" w:type="dxa"/>
            <w:tcBorders/>
            <w:shd w:fill="FFFFFF" w:val="clear"/>
            <w:tcMar>
              <w:bottom w:w="0" w:type="dxa"/>
            </w:tcMar>
            <w:vAlign w:val="center"/>
          </w:tcPr>
          <w:p>
            <w:pPr>
              <w:pStyle w:val="TableContents"/>
              <w:bidi w:val="0"/>
              <w:spacing w:before="0" w:after="283"/>
              <w:jc w:val="right"/>
              <w:rPr/>
            </w:pPr>
            <w:r>
              <w:rPr/>
              <w:t> </w:t>
            </w:r>
          </w:p>
        </w:tc>
      </w:tr>
      <w:tr>
        <w:trPr/>
        <w:tc>
          <w:tcPr>
            <w:tcW w:w="146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December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10,115,466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10,304,045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6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(180,000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ind w:left="0" w:right="0" w:hanging="0"/>
              <w:jc w:val="left"/>
              <w:rPr/>
            </w:pPr>
            <w:r>
              <w:rPr/>
              <w:t> </w:t>
            </w:r>
          </w:p>
        </w:tc>
        <w:tc>
          <w:tcPr>
            <w:tcW w:w="66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128,754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ind w:left="0" w:right="0" w:hanging="0"/>
              <w:jc w:val="left"/>
              <w:rPr/>
            </w:pPr>
            <w:r>
              <w:rPr/>
              <w:t> </w:t>
            </w:r>
          </w:p>
        </w:tc>
        <w:tc>
          <w:tcPr>
            <w:tcW w:w="93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1,371,948</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40"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7.4:1</w:t>
            </w:r>
          </w:p>
        </w:tc>
        <w:tc>
          <w:tcPr>
            <w:tcW w:w="60" w:type="dxa"/>
            <w:tcBorders/>
            <w:shd w:fill="CCEEFF" w:val="clear"/>
            <w:tcMar>
              <w:bottom w:w="0" w:type="dxa"/>
            </w:tcMar>
            <w:vAlign w:val="center"/>
          </w:tcPr>
          <w:p>
            <w:pPr>
              <w:pStyle w:val="TableContents"/>
              <w:bidi w:val="0"/>
              <w:spacing w:before="0" w:after="283"/>
              <w:ind w:left="0" w:right="0" w:hanging="0"/>
              <w:jc w:val="right"/>
              <w:rPr/>
            </w:pPr>
            <w:r>
              <w:rPr/>
              <w:t> </w:t>
            </w:r>
          </w:p>
        </w:tc>
        <w:tc>
          <w:tcPr>
            <w:tcW w:w="60" w:type="dxa"/>
            <w:tcBorders/>
            <w:shd w:fill="CCEEFF" w:val="clear"/>
            <w:tcMar>
              <w:bottom w:w="0" w:type="dxa"/>
            </w:tcMar>
            <w:vAlign w:val="center"/>
          </w:tcPr>
          <w:p>
            <w:pPr>
              <w:pStyle w:val="TableContents"/>
              <w:bidi w:val="0"/>
              <w:spacing w:before="0" w:after="283"/>
              <w:ind w:left="0" w:right="0" w:hanging="0"/>
              <w:jc w:val="right"/>
              <w:rPr/>
            </w:pPr>
            <w:r>
              <w:rPr/>
              <w:t> </w:t>
            </w:r>
          </w:p>
        </w:tc>
        <w:tc>
          <w:tcPr>
            <w:tcW w:w="770"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7.3:1</w:t>
            </w:r>
          </w:p>
        </w:tc>
        <w:tc>
          <w:tcPr>
            <w:tcW w:w="75" w:type="dxa"/>
            <w:tcBorders/>
            <w:shd w:fill="CCEEFF" w:val="clear"/>
            <w:tcMar>
              <w:bottom w:w="0" w:type="dxa"/>
            </w:tcMar>
            <w:vAlign w:val="center"/>
          </w:tcPr>
          <w:p>
            <w:pPr>
              <w:pStyle w:val="TableContents"/>
              <w:bidi w:val="0"/>
              <w:spacing w:before="0" w:after="283"/>
              <w:jc w:val="right"/>
              <w:rPr/>
            </w:pPr>
            <w:r>
              <w:rPr/>
              <w:t> </w:t>
            </w:r>
          </w:p>
        </w:tc>
      </w:tr>
      <w:tr>
        <w:trPr/>
        <w:tc>
          <w:tcPr>
            <w:tcW w:w="146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September 30,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8,006,978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8,052,945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6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(32,000</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ind w:left="0" w:right="0" w:hanging="0"/>
              <w:jc w:val="left"/>
              <w:rPr/>
            </w:pPr>
            <w:r>
              <w:rPr/>
              <w:t> </w:t>
            </w:r>
          </w:p>
        </w:tc>
        <w:tc>
          <w:tcPr>
            <w:tcW w:w="66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 w:type="dxa"/>
            <w:tcBorders/>
            <w:shd w:fill="FFFFFF" w:val="clear"/>
            <w:tcMar>
              <w:bottom w:w="0" w:type="dxa"/>
            </w:tcMar>
            <w:vAlign w:val="center"/>
          </w:tcPr>
          <w:p>
            <w:pPr>
              <w:pStyle w:val="TableContents"/>
              <w:bidi w:val="0"/>
              <w:spacing w:before="0" w:after="283"/>
              <w:ind w:left="0" w:right="0" w:hanging="0"/>
              <w:jc w:val="left"/>
              <w:rPr/>
            </w:pPr>
            <w:r>
              <w:rPr/>
              <w:t> </w:t>
            </w:r>
          </w:p>
        </w:tc>
        <w:tc>
          <w:tcPr>
            <w:tcW w:w="93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1,086,090</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40" w:type="dxa"/>
            <w:tcBorders/>
            <w:shd w:fill="FFFF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7.4:1</w:t>
            </w:r>
          </w:p>
        </w:tc>
        <w:tc>
          <w:tcPr>
            <w:tcW w:w="60" w:type="dxa"/>
            <w:tcBorders/>
            <w:shd w:fill="FFFFFF" w:val="clear"/>
            <w:tcMar>
              <w:bottom w:w="0" w:type="dxa"/>
            </w:tcMar>
            <w:vAlign w:val="center"/>
          </w:tcPr>
          <w:p>
            <w:pPr>
              <w:pStyle w:val="TableContents"/>
              <w:bidi w:val="0"/>
              <w:spacing w:before="0" w:after="283"/>
              <w:ind w:left="0" w:right="0" w:hanging="0"/>
              <w:jc w:val="right"/>
              <w:rPr/>
            </w:pPr>
            <w:r>
              <w:rPr/>
              <w:t> </w:t>
            </w:r>
          </w:p>
        </w:tc>
        <w:tc>
          <w:tcPr>
            <w:tcW w:w="60" w:type="dxa"/>
            <w:tcBorders/>
            <w:shd w:fill="FFFFFF" w:val="clear"/>
            <w:tcMar>
              <w:bottom w:w="0" w:type="dxa"/>
            </w:tcMar>
            <w:vAlign w:val="center"/>
          </w:tcPr>
          <w:p>
            <w:pPr>
              <w:pStyle w:val="TableContents"/>
              <w:bidi w:val="0"/>
              <w:spacing w:before="0" w:after="283"/>
              <w:ind w:left="0" w:right="0" w:hanging="0"/>
              <w:jc w:val="right"/>
              <w:rPr/>
            </w:pPr>
            <w:r>
              <w:rPr/>
              <w:t> </w:t>
            </w:r>
          </w:p>
        </w:tc>
        <w:tc>
          <w:tcPr>
            <w:tcW w:w="770" w:type="dxa"/>
            <w:tcBorders/>
            <w:shd w:fill="FFFF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7.4:1</w:t>
            </w:r>
          </w:p>
        </w:tc>
        <w:tc>
          <w:tcPr>
            <w:tcW w:w="75" w:type="dxa"/>
            <w:tcBorders/>
            <w:shd w:fill="FFFFFF" w:val="clear"/>
            <w:tcMar>
              <w:bottom w:w="0" w:type="dxa"/>
            </w:tcMar>
            <w:vAlign w:val="center"/>
          </w:tcPr>
          <w:p>
            <w:pPr>
              <w:pStyle w:val="TableContents"/>
              <w:bidi w:val="0"/>
              <w:spacing w:before="0" w:after="283"/>
              <w:jc w:val="right"/>
              <w:rPr/>
            </w:pPr>
            <w:r>
              <w:rPr/>
              <w:t> </w:t>
            </w:r>
          </w:p>
        </w:tc>
      </w:tr>
      <w:tr>
        <w:trPr/>
        <w:tc>
          <w:tcPr>
            <w:tcW w:w="146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June 30,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6,655,879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6,698,673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6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ind w:left="0" w:right="0" w:hanging="0"/>
              <w:jc w:val="left"/>
              <w:rPr/>
            </w:pPr>
            <w:r>
              <w:rPr/>
              <w:t> </w:t>
            </w:r>
          </w:p>
        </w:tc>
        <w:tc>
          <w:tcPr>
            <w:tcW w:w="66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ind w:left="0" w:right="0" w:hanging="0"/>
              <w:jc w:val="left"/>
              <w:rPr/>
            </w:pPr>
            <w:r>
              <w:rPr/>
              <w:t> </w:t>
            </w:r>
          </w:p>
        </w:tc>
        <w:tc>
          <w:tcPr>
            <w:tcW w:w="93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911,959</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40"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7.3:1</w:t>
            </w:r>
          </w:p>
        </w:tc>
        <w:tc>
          <w:tcPr>
            <w:tcW w:w="60" w:type="dxa"/>
            <w:tcBorders/>
            <w:shd w:fill="CCEEFF" w:val="clear"/>
            <w:tcMar>
              <w:bottom w:w="0" w:type="dxa"/>
            </w:tcMar>
            <w:vAlign w:val="center"/>
          </w:tcPr>
          <w:p>
            <w:pPr>
              <w:pStyle w:val="TableContents"/>
              <w:bidi w:val="0"/>
              <w:spacing w:before="0" w:after="283"/>
              <w:ind w:left="0" w:right="0" w:hanging="0"/>
              <w:jc w:val="right"/>
              <w:rPr/>
            </w:pPr>
            <w:r>
              <w:rPr/>
              <w:t> </w:t>
            </w:r>
          </w:p>
        </w:tc>
        <w:tc>
          <w:tcPr>
            <w:tcW w:w="60" w:type="dxa"/>
            <w:tcBorders/>
            <w:shd w:fill="CCEEFF" w:val="clear"/>
            <w:tcMar>
              <w:bottom w:w="0" w:type="dxa"/>
            </w:tcMar>
            <w:vAlign w:val="center"/>
          </w:tcPr>
          <w:p>
            <w:pPr>
              <w:pStyle w:val="TableContents"/>
              <w:bidi w:val="0"/>
              <w:spacing w:before="0" w:after="283"/>
              <w:ind w:left="0" w:right="0" w:hanging="0"/>
              <w:jc w:val="right"/>
              <w:rPr/>
            </w:pPr>
            <w:r>
              <w:rPr/>
              <w:t> </w:t>
            </w:r>
          </w:p>
        </w:tc>
        <w:tc>
          <w:tcPr>
            <w:tcW w:w="770"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7.3:1</w:t>
            </w:r>
          </w:p>
        </w:tc>
        <w:tc>
          <w:tcPr>
            <w:tcW w:w="75" w:type="dxa"/>
            <w:tcBorders/>
            <w:shd w:fill="CCEEFF" w:val="clear"/>
            <w:tcMar>
              <w:bottom w:w="0" w:type="dxa"/>
            </w:tcMar>
            <w:vAlign w:val="center"/>
          </w:tcPr>
          <w:p>
            <w:pPr>
              <w:pStyle w:val="TableContents"/>
              <w:bidi w:val="0"/>
              <w:spacing w:before="0" w:after="283"/>
              <w:jc w:val="right"/>
              <w:rPr/>
            </w:pPr>
            <w:r>
              <w:rPr/>
              <w:t> </w:t>
            </w:r>
          </w:p>
        </w:tc>
      </w:tr>
      <w:tr>
        <w:trPr/>
        <w:tc>
          <w:tcPr>
            <w:tcW w:w="146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March 31, 2025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6,418,641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6,448,407</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200,000</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855,879</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7.5:1</w:t>
            </w:r>
          </w:p>
        </w:tc>
        <w:tc>
          <w:tcPr>
            <w:tcW w:w="60" w:type="dxa"/>
            <w:tcBorders>
              <w:bottom w:val="single" w:sz="2" w:space="0" w:color="000000"/>
            </w:tcBorders>
            <w:shd w:fill="FFFFFF" w:val="clear"/>
            <w:vAlign w:val="center"/>
          </w:tcPr>
          <w:p>
            <w:pPr>
              <w:pStyle w:val="TableContents"/>
              <w:bidi w:val="0"/>
              <w:spacing w:before="0" w:after="283"/>
              <w:ind w:left="0" w:right="0" w:hanging="0"/>
              <w:jc w:val="righ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right"/>
              <w:rPr/>
            </w:pPr>
            <w:r>
              <w:rPr/>
              <w:t> </w:t>
            </w:r>
          </w:p>
        </w:tc>
        <w:tc>
          <w:tcPr>
            <w:tcW w:w="770"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7.8:1</w:t>
            </w:r>
          </w:p>
        </w:tc>
        <w:tc>
          <w:tcPr>
            <w:tcW w:w="75" w:type="dxa"/>
            <w:tcBorders>
              <w:bottom w:val="single" w:sz="2" w:space="0" w:color="000000"/>
            </w:tcBorders>
            <w:shd w:fill="FFFFFF" w:val="clear"/>
            <w:vAlign w:val="center"/>
          </w:tcPr>
          <w:p>
            <w:pPr>
              <w:pStyle w:val="TableContents"/>
              <w:bidi w:val="0"/>
              <w:spacing w:before="0" w:after="283"/>
              <w:jc w:val="right"/>
              <w:rPr/>
            </w:pPr>
            <w:r>
              <w:rPr/>
              <w:t> </w:t>
            </w:r>
          </w:p>
        </w:tc>
      </w:tr>
    </w:tbl>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Liquidity is our ability to turn non-cash assets into cash, purchase additional investments, repay principal and interest on borrowings, fund overhead, fulfill margin calls and pay dividends. We have both internal and external sources of liquidity. However, our material unused sources of liquidity include cash balances, unencumbered assets and our ability to sell encumbered assets to raise cash. Our balance sheet also generates liquidity on an on-going basis through payments of principal and interest we receive on our RMBS portfolio. Management believes that we currently have sufficient short-term and long-term liquidity and capital resources available for (a) the acquisition of additional investments consistent with the size and nature of our existing RMBS portfolio, (b) the repayments on borrowings and (c) the payment of dividends to the extent required for our continued qualification as a REIT. We may also generate liquidity from time to time by selling our equity or debt securities in public offerings or private placements.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i/>
          <w:caps w:val="false"/>
          <w:smallCaps w:val="false"/>
          <w:sz w:val="20"/>
        </w:rPr>
      </w:pPr>
      <w:r>
        <w:rPr>
          <w:rFonts w:ascii="Times New Roman" w:hAnsi="Times New Roman"/>
          <w:i/>
          <w:caps w:val="false"/>
          <w:smallCaps w:val="false"/>
          <w:sz w:val="20"/>
        </w:rPr>
        <w:t>Internal Sources of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internal sources of liquidity include our cash balances, unencumbered assets and our ability to liquidate our encumbered security holdings. Our balance sheet also generates liquidity on an on-going basis through payments of principal and interest we receive on our RMBS portfolio. Because our PT RMBS portfolio consists entirely of government and agency securities, we do not anticipate having difficulty converting our assets to cash should our liquidity needs ever exceed our immediately available sources of cash. Our structured RMBS portfolio also consists entirely of governmental agency securities, although they typically do not trade with comparable bid / ask spreads as PT RMBS. However, we anticipate that we would be able to liquidate such securities readily, even in distressed markets, although we would likely do so at prices below where such securities could be sold in a more stable market.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strategy for hedging our funding costs typically involves taking short positions in interest rate futures, interest rate swaps, interest rate swaptions or other instruments. When the market causes these short positions to decline in value we are required to meet margin calls with cash. This can reduce our liquidity position to the extent other securities in our portfolio move in price in such a way that we do not receive enough cash via margin calls to offset the derivative related margin calls. If this were to occur in sufficient magnitude, the loss of liquidity might force us to reduce the size of the levered portfolio, pledge additional structured securities to raise funds or risk operating the portfolio with less liquidity.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i/>
          <w:caps w:val="false"/>
          <w:smallCaps w:val="false"/>
          <w:sz w:val="20"/>
        </w:rPr>
      </w:pPr>
      <w:r>
        <w:rPr>
          <w:rFonts w:ascii="Times New Roman" w:hAnsi="Times New Roman"/>
          <w:i/>
          <w:caps w:val="false"/>
          <w:smallCaps w:val="false"/>
          <w:sz w:val="20"/>
        </w:rPr>
        <w:t>External Sources of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primary external sources of liquidity are our ability to (i) borrow under master repurchase agreements, (ii) use the TBA security market and (iii) sell our equity or debt securities in public offerings or private placements. Our borrowing capacity will vary over time as the market value of our interest earning assets varies. Our master repurchase agreements have no stated expiration but can be terminated at any time at our option or at the option of the counterparty. However, once a definitive repurchase agreement under a master repurchase agreement has been entered into, it generally may not be terminated by either party. A negotiated termination can occur but may involve a fee to be paid by the party seeking to terminate the repurchase agreement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Under our repurchase agreement funding arrangements, we are required to post margin at the initiation of the borrowing. The margin posted represents the haircut, which is a percentage of the market value of the collateral pledged. To the extent the market value of the asset collateralizing the financing transaction declines, the market value of our posted margin will be insufficient, and we will be required to post additional collateral. Conversely, if the market value of the asset pledged increases in value, we would be over collateralized and we would be entitled to have excess margin returned to us by the counterparty. Our lenders typically value our pledged securities daily to ensure the adequacy of our margin and make margin calls as needed, as do we. Typically, but not always, the parties agree to a minimum threshold amount for margin calls so as to avoid the need for nuisance margin calls on a daily basis. Our master repurchase agreements do not specify the haircut; rather haircuts are determined on an individual repo transaction basis. Throughout the six months ended June 30, 2026, haircuts on our pledged collateral remained stable and as of June 30, 2026, our weighted average haircut was approximately 4.1% of the value of our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TBAs represent a form of off-balance sheet financing and are accounted for as derivative instruments. (See Note 5 to our Financial Statements in this Form 10-Q for additional details on our TBAs). Under certain market conditions, it may be uneconomical for us to roll our TBAs into future months and we may need to take or make physical delivery of the underlying securities. If we were required to take physical delivery to settle a long TBA, we would have to fund our total purchase commitment with cash or other financing sources and our liquidity position could be negatively impacted.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TBAs are also subject to margin requirements governed by the Mortgage-Backed Securities Division ("MBSD") of the FICC and by our Master Securities Forward Transaction Agreements (“MSFTAs”), which may establish margin levels in excess of the MBSD. Such provisions require that we establish an initial margin based on the notional value of the TBA, which is subject to increase if the estimated fair value of our TBAs or the estimated fair value of our pledged collateral declines. The MBSD has the sole discretion to determine the value of our TBAs and of the pledged collateral securing such contracts. In the event of a margin call, we must generally provide additional collateral on the same business day.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Settlement of our TBA obligations by taking delivery of the underlying securities as well as satisfying margin requirements could negatively impact our liquidity position. However, since we do not use TBA dollar roll transactions as our primary source of financing, we believe that we will have adequate sources of liquidity to meet such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 future periods, we expect to continue to finance our activities in a manner that is consistent with our current operations through repurchase agreements. As of June 30, 2026, we had cash and cash equivalents of $682.6 million. We generated cash flows of $1,163.4 million from principal and interest payments on our RMBS and had average repurchase agreements outstanding of $10.7 billion during the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As described more fully below, we may also access liquidity by selling our equity or debt securities in public offerings or private placements.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i/>
          <w:sz w:val="20"/>
        </w:rPr>
      </w:pPr>
      <w:r>
        <w:rPr>
          <w:rFonts w:ascii="Times New Roman;Times;serif" w:hAnsi="Times New Roman;Times;serif"/>
          <w:i/>
          <w:sz w:val="20"/>
        </w:rPr>
        <w:t>Capital Expenditures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At June 30, 2026, we had no material commitments for capital expenditures.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Stockholders</w:t>
      </w:r>
      <w:r>
        <w:rPr>
          <w:rFonts w:ascii="Times New Roman" w:hAnsi="Times New Roman"/>
          <w:caps w:val="false"/>
          <w:smallCaps w:val="false"/>
          <w:sz w:val="20"/>
        </w:rPr>
        <w:t xml:space="preserve">’ </w:t>
      </w:r>
      <w:r>
        <w:rPr>
          <w:rFonts w:ascii="Times New Roman" w:hAnsi="Times New Roman"/>
          <w:b/>
          <w:i/>
          <w:caps w:val="false"/>
          <w:smallCaps w:val="false"/>
          <w:sz w:val="20"/>
        </w:rPr>
        <w:t>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On June 11, 2024, we entered into an equity distribution agreement (the “June 2024 Equity Distribution Agreement”) with three sales agents pursuant to which we could offer and sell, from time to time, up to an aggregate amount of $250,000,000 of gross proceeds from the sales of shares of our common stock in transactions that were deemed to be “at the market” offerings and privately negotiated transactions. We issued a total of 30,513,253 shares under the June 2024 Equity Distribution Agreement for aggregate gross proceeds of approximately $250.0 million and net proceeds of approximately $245.8 million, after commissions and fees, prior to its termination in February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On February 24, 2025, we entered into an equity distribution agreement (the “February 2025 Equity Distribution Agreement”) with four sales agents pursuant to which we could offer and sell, from time to time, up to an aggregate amount of $350,000,000 of gross proceeds from the sales of shares of our common stock in transactions that were deemed to be “at the market” offerings and privately negotiated transactions. On July 28, 2025, the February 2025 Equity Distribution Agreement was amended to increase the aggregate amount of gross proceeds from the sales of shares that may be offered by $150,000,000 to a total of $500,000,000. We issued a total of 59,492,504 shares under the February 2025 Equity Distribution Agreement for aggregate gross proceeds of approximately $445.1 million and net proceeds of approximately $438.0 million, after commissions and fees, prior to its termination in October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shd w:fill="FFFFFF" w:val="clear"/>
        </w:rPr>
        <w:t xml:space="preserve">On October 27, 2025, we entered into an equity distribution agreement (the “October 2025 Equity Distribution Agreement”) with four sales agents pursuant to which we may offer and sell, from time to time, up to an aggregate amount of $500,000,000 of gross proceeds from the sales of shares of our common stock in transactions that are deemed to be “at the market” offerings and privately negotiated transactions. From inception through </w:t>
      </w:r>
      <w:r>
        <w:rPr>
          <w:rFonts w:ascii="Times New Roman" w:hAnsi="Times New Roman"/>
          <w:caps w:val="false"/>
          <w:smallCaps w:val="false"/>
          <w:sz w:val="20"/>
        </w:rPr>
        <w:t>June 30, 2026, we</w:t>
      </w:r>
      <w:r>
        <w:rPr>
          <w:rFonts w:ascii="Times New Roman" w:hAnsi="Times New Roman"/>
          <w:caps w:val="false"/>
          <w:smallCaps w:val="false"/>
          <w:sz w:val="20"/>
          <w:shd w:fill="FFFFFF" w:val="clear"/>
        </w:rPr>
        <w:t xml:space="preserve"> issued a total of 48,824,644 shares under the October 2025 Equity Distribution Agreement for aggregate gross proceeds of approximately $360.9 million, and net proceeds of approximately $355.2 million, after commissions and fees. For the six months ended </w:t>
      </w:r>
      <w:r>
        <w:rPr>
          <w:rFonts w:ascii="Times New Roman" w:hAnsi="Times New Roman"/>
          <w:caps w:val="false"/>
          <w:smallCaps w:val="false"/>
          <w:sz w:val="20"/>
        </w:rPr>
        <w:t>June 30, 2026, we</w:t>
      </w:r>
      <w:r>
        <w:rPr>
          <w:rFonts w:ascii="Times New Roman" w:hAnsi="Times New Roman"/>
          <w:caps w:val="false"/>
          <w:smallCaps w:val="false"/>
          <w:sz w:val="20"/>
          <w:shd w:fill="FFFFFF" w:val="clear"/>
        </w:rPr>
        <w:t> issued a total of 18,558,681 shares under the October 2025 Equity Distribution Agreement for aggregate gross proceeds of approximately $137.7 million, and net proceeds of approximately $135.5 million, after commissions and fees.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Outlook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Economic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second quarter of 2026 was pivotal in many ways.  The Federal Reserve (“Fed”) transitioned from an easing bias to a hiking bias and a new Fed Chairman with a strong anti-inflation disposition was seated. Meanwhile, the war between the United States, Israel and Iran (the “Iran War”) appeared to be on course to wind down by June before conditions deteriorated materially. A near-term resolution now appears unlikely, allowing energy related inflationary pressures to persist.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On May 22, 2026, Kevin Warsh became the new Chairman of the Fed, replacing Jerome Powell as Chairman. The new Chairman brings an elevated level of vigor in addressing the persistently high inflation that has exceeded the Fed’s 2% target for approximately 5 years.  Even before Chairman Warsh assumed his new role, the FOMC appeared to be shifting its bias away from additional easing toward hiking.  At the Fed’s meeting on April 29, 2026, there were three votes in favor of signaling a more two-side characterization of the Fed’s future interest rate decisions.  At Chairman Warsh’s first press conference on June 17, 2026, all doubt regarding the bias of the FOMC was put to rest.  The new Chairman was very stern in declaring his highest priority was bringing inflation back to the Fed’s target.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Iran War appeared to be nearing conclusion when a ceasefire was announced on April 8, 2026, and a formal Memorandum of Understanding (“MOU”) was signed by the parties on June 17, 2026.  Shipping traffic through the Strait of Hormuz (“SOH”) was slowly returning to pre-war levels, and market volatility materially subsided. However, shortly after the MOU was signed, hostilities between the parties began to escalate and shipping traffic through the SOH has slowed significantly again.  Commodity prices have rebounded in turn and are slowly heading back toward the peak levels reached in the early days of the war. At this point, there is no obvious path to an end to the war, as the two crucial points of disagreement – control over the SOH and the status of Iran’s nuclear capability – seem unlikely to be resolved diplomatically.  Unless and until the war pivots again toward a peaceful resolution, upward pressure on commodity prices seems likely to persist, adding to already elevated levels of inflation in the United States and globally.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Developments in the Iran War have only exacerbated problems for the new Fed Chair and the FOMC.  The economy in the United States has proven to be very resilient in the face of inflation, particularly elevated commodity prices and disruptions to critical supply channels.  At the beginning of 2026, the labor market appeared to be stable, yet at low levels of job growth.  During the second quarter of 2026, the labor market appeared to pivot as job growth rebounded.  Consumer spending has also remained robust. If the war remains unresolved for an extended period, the Fed will likely need to act and increase the Fed Funds rate. Data for June 2026 released in July – namely the jobs report and the consumer price index and producer price index – were all weak.  As a result, market pricing of Fed hikes over the balance of 2026 and into 2027 has subsided.  Unless this data remains weak, the market is likely to see higher funding levels.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Interest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Consistent with the pivot in the outlook for Fed policy during the quarter, the nominal rates curve moved higher and flatter during the second quarter of 2026.  Specifically, the yield on the 2-year U.S. Treasury note increased from 3.796% at March 31, 2026 to 4.175% at June 30, 2026, while the yield on the 10-year U.S. Treasury note increased from 4.319% at March 31, 2026 to 4.466% at June 30, 2026. As a result, the curve between these two points flattened by approximately 9 basis points. Most proxies for the shape of the rates curve show comparable – or greater – levels of flattening during the second quarter of 2026. The primary impetus for the movements in the nominal U.S. Treasury curve and the swap curve was the pivot in market expectations for Fed Funds rate going forward.  At March 31, 2026, market expectations for the Fed Funds rate (based on Fed Funds futures contracts) were for slightly more than one rate cut by year end and two cuts by mid-2027.  By the end of the second quarter of 2026, Fed Funds futures implied nearly two hikes by year-end and in excess of three hikes by the end of first quarter of 2027.  Current pricing, reflecting the soft June 2026 data released in early July, is unchanged in terms of year-end levels but now reflects very modest cuts in early 2027.</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Fed ended its quantitative tightening program, which reduced its balance sheet via the maturation of its holdings, and began reinvesting them into additional U.S. Treasury holdings on December 1, 2025.  Run-off from the Agency RMBS holdings is now directed toward purchasing U.S. Treasuries.  The Fed also announced its intention, via Reserve Management Purchases (“RMPs”), to grow its balance sheet over time to maintain a stable relationship between the size of its balance sheet and the economy. These steps resulted in increased purchases of U.S. Treasuries by the Fed. When the RMP program was first introduced, U.S. Treasury purchases were $40 billion per month, although they have declined since and are currently $10 billion per month. However, even at the lower level of purchases the program has been successful at taking pressure off of the overnight funding markets, as market participants such as money-market funds had fewer options to deploy their liquidity and therefore increased the pool of available funds for the overnight repurchase agreement (“repo”) funding markets.  As a result, funding levels available to the Company in the repo markets – typically expressed as a spread over SOFR – have remained stable during the second quarter, continuing the trend we saw during the first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The Agency RMBS Market</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Interest rate volatility spiked meaningfully after the outbreak of the Iran War, consistent with the increase in interest rates across the curve.  Volatility peaked just before the first quarter of 2026 ended, with the Merrill Lynch Option Volatility Estimate Index reaching 115.02.  Following the announcement of a ceasefire on April 8, 2026, rate volatility dropped nearly to pre-war levels by mid-April and remained relatively stable throughout the balance of the second quarter. Implied interest rate volatility has remained range bound at low levels since the end of the second quarter. As is typically the case, subdued levels of implied interest rate volatility and range-bound interest rates are conducive to Agency RMBS market performance, and the sector had a positive quarter in both absolute and excess returns. For the second quarter of 2026, the Agency RMBS sector generated a total return of 0.6% and 0.5% versus comparable duration swaps. By comparison, the high-yield and investment-grade corporate bond sectors produced returns of 2.5% and 1.4%, respectively, and excess returns of 2.4% and 1.5%, respectively, versus comparable duration swaps over the same period.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Within Agency RMBS for the second quarter of 2026, conventional 30-year mortgages generated a total return of 0.6%, 15-year mortgages generated a total return of 0.1% and Ginnie Mae 30-year mortgages generated a total return of 0.7%.  Versus comparable duration swaps, the returns were 0.6%, 0.0% and 0.6% for 30-year conventional, 15-year conventional and Ginnie Mae 30-year mortgages, respectively.  The Company invests predominantly in 30-year conventional mortgages.  Returns with the 30-year stack were lowest for lower coupons and increased for progressively higher coupons, with returns for coupons 4% and lower between 0.2% and 0.5%, and above 1.0% for coupons of 5% and higher. This is consistent with higher interest rates, lower prepayment expectations and the durations of the various coupons inversely related to coupon – the lower the coupon the higher the duration, and visa-versa. Conversely, excess returns were best for middle coupons – between the 4.5% and 6.0% coupons, with lower and higher coupons lagging. Excess returns for middle coupons were between 0.7% and 1.2%, while the lower and higher coupons ranged between 0.3% and 0.8%.</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i/>
          <w:caps w:val="false"/>
          <w:smallCaps w:val="false"/>
          <w:sz w:val="20"/>
        </w:rPr>
      </w:pPr>
      <w:r>
        <w:rPr>
          <w:rFonts w:ascii="Times New Roman" w:hAnsi="Times New Roman"/>
          <w:i/>
          <w:caps w:val="false"/>
          <w:smallCaps w:val="false"/>
          <w:sz w:val="20"/>
        </w:rPr>
        <w:t>Recent Legislative and Regulatory Developments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 response to the deterioration in the markets for U.S. Treasuries, Agency RMBS and other mortgage and fixed income markets resulting from the impacts of the COVID-19 pandemic, the Fed implemented a program of quantitative easing. Through November of 2021, the Fed was committed to purchasing $80 billion of U.S. Treasuries and $40 billion of Agency RMBS each month. In November of 2021, it began tapering its net asset purchases each month, ended net asset purchases by early March of 2022, and ended asset purchases entirely in September of 2022. On May 4, 2022, the FOMC announced a plan for reducing the Fed’s balance sheet. In June of 2022, in accordance with this plan, the Fed began reducing its balance sheet by a maximum of $30 billion of U.S. Treasuries and $17.5 billion of Agency RMBS each month. On September 21, 2022, the FOMC announced the Fed’s decision to continue reducing its balance sheet by a maximum of $60 billion of U.S. Treasuries and $35 billion of Agency RMBS per month. On May 1, 2024, the FOMC announced the Fed’s decision to reduce its balance sheet by a maximum of $25 billion of U.S. Treasury securities and remove the cap on Agency RMBS reduction, with any amounts in excess of $35 billion per month being reinvested in U.S. Treasury securities.  On March 19, 2025, the FOMC announced the Fed’s decision to reduce its balance sheet by a maximum of $5 billion of U.S. Treasury securities beginning April 1, 2025. Relatively high interest rates and slow prepayment speeds kept the balance sheet reduction for Agency RMBS below $20 billion per month throughout 2024 and 2025. On December 1, 2025, the Fed ended quantitative tightening and began reinvesting all proceeds from maturing Agency RMBS up to a $35 billion per month cap in U.S. Treasuries and announced that it would begin buying an additional $40 billion per month of U.S. Treasuries via RMPs in order to maintain an ample level of reserves on an ongoing basis. RMPs were reduced to $25 billion per month in April 2026, and further reduced to $10 billion per month in May 2026, As of June 30, 2026, the Fed had reduced its balance sheet for Agency RMBS by approximately $792 billion from the peak of approximately $2.7 trillion to approximately $1.9 trillion, shedding approximately 58% of the Agency RMBS added during pandemic quantitative easing and representing the lowest level since August 2020.</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On September 14, 2021, the U.S. Treasury and the FHFA suspended certain policy provisions in the Enterprise capital framework established in December 2020, including limits on loans acquired for cash consideration, multifamily loans, loans with higher risk characteristics and second homes and investment properties (the "September 2021 Provisions"). Effective April 26, 2022, the FHFA further amended this framework by, among other things, replacing the fixed leverage buffer equal to 1.5% of an Enterprise’s adjusted total assets with a dynamic leverage buffer equal to 50% of an Enterprise’s stability capital buffer, reducing the risk weight floor from 10% to 5%, and removing the requirement that the Enterprises must apply an overall effectiveness adjustment to their credit risk transfer exposures. On June 14, 2022, the Enterprises announced that they would each charge a 50 bps fee for commingled securities issued on or after July 1, 2022 to cover the additional capital required for such securities under the Enterprise capital framework, which was subsequently reduced on January 19, 2023 to 9.375 bps for commingled securities issued on or after April 1, 2023 to address industry concern that the fee posed a risk to the fungibility of the Uniform Mortgage-Backed Security and negatively impacted liquidity and pricing in the market for TBA securities. On November 30, 2023, the FHFA published a final rule, which became effective April 1, 2024, which reduced the risk weight and credit conversion factor for guarantees on commingled securities to 5% and 50%, respectively; replaced the current exposure methodology with the standardized approach for counterparty credit risk as the method for computing exposure and risk-weighted asset amounts for derivatives and cleared transactions; updated the credit score assumption to 680 for single-family mortgage exposures originated without a representative credit score; and introduced a risk weight of 20% for guarantee assets. On January 2, 2025, the U.S. Treasury and FHFA entered into a letter agreement deleting the September 2021 Provisions entirely, as well as providing additional guidance on the process for a potential end to the conservatorship of the Enterprises. Throughout 2025 and early 2026, there was some speculation in the market regarding progress towards an end to the conservatorship, including through an initial public offering, but no definitive action has been taken and many analysts believe additional capital is needed before the Enterprises can safely exit conservatorship.</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On July 27, 2023, the federal banking regulators, including the Office of the Comptroller of the Currency, (the “OCC”) the FDIC and the Fed, jointly issued a proposed rule that would revise large bank capital requirements (the “2023 Basel III Endgame”).  The 2023 Basel III Endgame, if implemented as originally proposed, would have significantly increased the credit weight risk for balance-sheet mortgages and for Agency RMBS sold to the GSEs, which could have disincentivized banks from originating mortgages for sale to the GSEs and impacted pricing in the Agency RMBS markets. The comment period for the 2023 Basel III Endgame closed on January 16, 2024, and the proposed rule was met with strong objections from the banking industry.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On November 25, 2025, the Fed, OCC and FDIC jointly adopted a final rule to revise the enhanced supplementary leverage ratio for globally systemically important bank holding companies (“GSIBs”). The rule, which became effective April 1, 2026 and may be adopted by banks subject to the rule as early as January 1, 2026, seeks to promote effective GSIB capital management and remove disincentives for banks to engage in low-risk activities, particularly in the U.S. Treasury market. This shift is expected to free up significant capital, allowing GSIBs greater discretion in asset allocation and potentially fostering increased lending and economic activity.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On March 19, 2026, the OCC, FDIC and the Fed rescinded the 2023 Basel III Endgame proposal and concurrently issued three revised notices of proposed rulemaking. The three proposals include (i) a revised Basel III Endgame proposal that would apply an expanded risk-based approach to Category I and Category II banking organizations, thus narrowing the mandatory scope from the 2023 proposal, with all other banking organizations permitted to opt in; (ii) a revised standardized approach proposal that would reduce risk weights for traditional lending activities for banking organizations not subject to the expanded risk-based approach; and (iii) a revised GSIB capital surcharge proposal. The OCC, FDIC, and the Fed estimate that the revised proposals would decrease aggregate common equity tier 1 capital requirements by approximately 4.8 percent for Category I and Category II banking organizations, in contrast to the significant capital increases that would have resulted under the 2023 Basel III Endgame. Additionally, the revised proposal would eliminate the requirement to deduct mortgage servicing assets from common equity tier 1 capital, instead assigning a 250% risk weight, which is designed to promote mortgage origination and servicing by banking organizations. The Fed voted 6-to-1 to advance all three proposals and the FDIC board voted unanimously in favor of the revised Basel III Endgame and standardized approach proposals. The comment period for the revised proposals closed on June 18, 2026, with the Fed indicating that they hope to release the final rule by the end of 2026.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scope and nature of the actions the U.S. government or the Fed will ultimately undertake are unknown and will continue to evolve.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Effect on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180"/>
        <w:jc w:val="left"/>
        <w:rPr>
          <w:rFonts w:ascii="Times New Roman" w:hAnsi="Times New Roman"/>
          <w:caps w:val="false"/>
          <w:smallCaps w:val="false"/>
          <w:sz w:val="20"/>
        </w:rPr>
      </w:pPr>
      <w:r>
        <w:rPr>
          <w:rFonts w:ascii="Times New Roman" w:hAnsi="Times New Roman"/>
          <w:caps w:val="false"/>
          <w:smallCaps w:val="false"/>
          <w:sz w:val="20"/>
        </w:rPr>
        <w:t>Regulatory developments, movements in interest rates and prepayment rates affect us in many ways, including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Effects on our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180"/>
        <w:jc w:val="left"/>
        <w:rPr>
          <w:rFonts w:ascii="Times New Roman" w:hAnsi="Times New Roman"/>
          <w:caps w:val="false"/>
          <w:smallCaps w:val="false"/>
          <w:sz w:val="20"/>
        </w:rPr>
      </w:pPr>
      <w:r>
        <w:rPr>
          <w:rFonts w:ascii="Times New Roman" w:hAnsi="Times New Roman"/>
          <w:caps w:val="false"/>
          <w:smallCaps w:val="false"/>
          <w:sz w:val="20"/>
        </w:rPr>
        <w:t>A change in or elimination of the guarantee structure of Agency RMBS may increase our costs (if, for example, guarantee fees increase) or require us to change our investment strategy altogether. For example, the elimination of the guarantee structure of Agency RMBS may cause us to change our investment strategy to focus on non-Agency RMBS, which in turn would require us to significantly increase our monitoring of the credit risks of our investments in addition to interest rate and prepayment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If prepayment rates are relatively low (due, in part, to the refinancing problems described above), lower long-term interest rates can increase the value of our Agency RMBS. This is because investors typically place a premium on assets with coupon/yields that are higher than coupon/yields available in the market. To the extent such securities pre-pay slower than would otherwise be the case, we benefit from an above market coupon/yield for longer, enhancing the return from the security. Although lower long-term interest rates may increase asset values in our portfolio, we may not be able to invest new funds in similarly yielding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If prepayment levels increase, the value of any of our Agency RMBS that are carried at a premium to par that are affected by such prepayments may decline. This is because a principal prepayment accelerates the effective term of an Agency RMBS, which would shorten the period during which an investor would receive above-market returns (assuming the yield on the prepaid asset is higher than market yields). Also, prepayment proceeds may not be able to be reinvested in similar-yielding assets. Agency RMBS backed by mortgages with high interest rates are more susceptible to prepayment risk because holders of those mortgages are most likely to refinance to a lower rate. If prepayment levels decrease, the value of any of our Agency RMBS that are carried at a discount to par that are affected by such prepayments may increase. This is because a principal prepayment accelerates the effective term of an Agency RMBS, which would shorten the timeframe over which an investor would receive the principal of the underlying loans. Agency RMBS backed by mortgages with low interest rates are less susceptible to prepayment risk because holders of those mortgages are less likely to refinance to a higher rate. IOs and IIOs, however, may be the types of Agency RMBS most sensitive to increased prepayment rates. Because the holder of an IO or IIO receives no principal payments, the values of IOs and IIOs are entirely dependent on the existence of a principal balance on the underlying mortgages. If the principal balance is eliminated due to prepayment, IOs and IIOs essentially become worthless. Although increased prepayment rates can negatively affect the value of our IOs and IIOs, they have the opposite effect on POs. Because POs act like zero-coupon bonds, meaning they are purchased at a discount to their par value and have an effective interest rate based on the discount and the term of the underlying loan, an increase in prepayment rates would reduce the effective term of our POs and accelerate the yields earned on those assets, which would increase our net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Higher long-term rates can also affect the value of our Agency RMBS.  As long-term rates rise, rates available to borrowers also rise.  This tends to cause prepayment activity to slow and extend the expected average life of mortgage cash flows.  As the expected average life of the mortgage cash flows increases, coupled with higher discount rates, the value of Agency RMBS declines.  Some of the instruments we use to hedge our Agency RMBS assets, such as interest rate futures, swaps and swaptions, are stable average life instruments.  This means that to the extent we use such instruments to hedge our Agency RMBS assets, our hedges may not adequately protect us from price declines, and therefore may negatively impact our book value.  It is for this reason we use interest only securities in our portfolio. As interest rates rise, the expected average life of these securities increases, causing generally positive price movements as the number and size of the cash flows increase the longer the underlying mortgages remain outstanding. This makes interest only securities desirable hedge instruments for PT Agency RMBS.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Because we base our investment decisions on risk management principles rather than anticipated movements in interest rates, in a volatile interest rate environment we may allocate more capital to structured Agency RMBS with shorter durations. We believe these securities have a lower sensitivity to changes in long-term interest rates than other asset classes. We may attempt to mitigate our exposure to changes in long-term interest rates by investing in IOs and IIOs, which typically have different sensitivities to changes in long-term interest rates than PT RMBS, particularly PT RMBS backed by fixed-rate mortgages.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Effects on our borrowing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leverage our PT RMBS and structured Agency RMBS through the use of short-term repurchase agreement transactions. The interest rates on our debt are determined by the short term interest rate markets. Increases in the Fed Funds rate or SOFR typically increase our borrowing costs, which could affect our interest rate spread if there is no corresponding increase in the interest we earn on our assets. The impact of these increases would be most prevalent with respect to our Agency RMBS backed by fixed rate mortgage loans because the interest rate on a fixed-rate mortgage loan does not change even though market rates may change.</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order to protect our net interest margin against increases in short-term interest rates, we may enter into interest rate swaps, which economically convert our floating-rate repurchase agreement debt to fixed-rate debt or utilize other hedging instruments such as Fed Funds, SOFR, ERIS SOFR Swap, and T-Note futures contracts, dual digital options or interest rate swaptions.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Company invests exclusively in Agency RMBS securities and applies leverage utilizing repurchase agreement funding.  The primary drivers of the performance of our assets – both absolute performance and performance relative to our hedges, are interest rates, their impact on both our asset prices and the level of prepayments, interest rate volatility, particularly the level of implied volatility in interest rate swaptions and various interest rate derivatives, and finally our funding levels.  Accordingly, we have significant exposure to interest rates, and our performance is driven by our ability to select assets, manage our leverage, and our hedging strategy. As we entered 2026, interest rates had been range bound for more than 12 months, but the range was broken during the first quarter of 2026 as a result of the Iran War. After a brief respite in the conflict, rates moved higher once again as prospects for a resolution dimmed and a new Fed Chairman, Kevin Warsh, took control of the Fed, immediately expressing his strong conviction in ending the five-year period of inflation running above the Fed’s 2% target.  Interest rate volatility, both realized and implied in interest rate options, has remained subdued outside of the temporary spike at the onset of the Iran War.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At the outset of 2026, there was uncertainty about how the risks facing the economy would ultimately drive Fed policy and the level of interest rates, with resulting impacts on risk assets and Agency RMBS.  Inflation was elevated, but risks to the growth outlook were clearly present, creating a quandary for policy makers. This does not appear to be the case now.  Growth has proven to be remarkably resilient, as has the labor market, and the growth of the economy is not a pressing concern for policy makers or markets.  Inflation, however, remains well above the Fed’s target and the Iran War seems likely to persist, representing a continued source of commodity inflation. Data released for June in early July reflected a welcome decrease in the various inflation measures, but considerable doubt remains regarding the sustainability of these readings. Looking forward, the Iran War continues to be a dominant force driving the performance of all markets.  At this point, it is unclear what the ultimate outcome of the war will be or when it will end. As for the economy and monetary policy, the outlook is no longer uncertain, as the path of inflation alone is likely to drive monetary policy and interest rate levels in the United States. The Company has maintained modest levels of leverage for the past several quarters and is likely to continue to do so given the prevailing market uncertainty.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Critical Accounting Estimates</w:t>
      </w:r>
    </w:p>
    <w:p>
      <w:pPr>
        <w:pStyle w:val="TextBody"/>
        <w:bidi w:val="0"/>
        <w:spacing w:before="0" w:after="0"/>
        <w:ind w:left="0" w:right="0" w:firstLine="360"/>
        <w:jc w:val="left"/>
        <w:rPr/>
      </w:pPr>
      <w:r>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Our condensed financial statements are prepared in accordance with GAAP. GAAP requires our management to make some complex and subjective decisions and assessments. Our most critical accounting estimates involve decisions and assessments which could significantly affect reported assets, liabilities, revenues and expenses. There have been no changes to our critical accounting estimates as discussed in our annual report on Form 10-K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 addition to other requirements that must be satisfied to continue to qualify as a REIT, we must pay annual dividends to our stockholders of at least 90% of our REIT taxable income, determined without regard to the deduction for dividends paid and excluding any net capital gains. REIT taxable income (loss) is computed in accordance with the Code and can be greater than or less than our financial statement net income (loss) computed in accordance with GAAP. These book to tax differences primarily relate to the recognition of interest income on RMBS, unrealized gains and losses on RMBS, and the amortization of losses on derivative instruments that are treated as funding hedges for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intend to pay regular monthly dividends to our stockholders and have declared the following dividends since the completion of our IPO.</w:t>
      </w:r>
    </w:p>
    <w:p>
      <w:pPr>
        <w:pStyle w:val="TextBody"/>
        <w:bidi w:val="0"/>
        <w:spacing w:before="0" w:after="0"/>
        <w:ind w:left="0" w:right="0" w:hanging="0"/>
        <w:jc w:val="left"/>
        <w:rPr>
          <w:caps w:val="false"/>
          <w:smallCaps w:val="false"/>
        </w:rPr>
      </w:pPr>
      <w:r>
        <w:rPr>
          <w:caps w:val="false"/>
          <w:smallCaps w:val="false"/>
        </w:rPr>
        <w:t> </w:t>
      </w:r>
    </w:p>
    <w:tbl>
      <w:tblPr>
        <w:tblW w:w="3820" w:type="dxa"/>
        <w:jc w:val="left"/>
        <w:tblInd w:w="0" w:type="dxa"/>
        <w:tblLayout w:type="fixed"/>
        <w:tblCellMar>
          <w:top w:w="0" w:type="dxa"/>
          <w:left w:w="0" w:type="dxa"/>
          <w:bottom w:w="28" w:type="dxa"/>
          <w:right w:w="0" w:type="dxa"/>
        </w:tblCellMar>
      </w:tblPr>
      <w:tblGrid>
        <w:gridCol w:w="1197"/>
        <w:gridCol w:w="64"/>
        <w:gridCol w:w="256"/>
        <w:gridCol w:w="1203"/>
        <w:gridCol w:w="64"/>
        <w:gridCol w:w="64"/>
        <w:gridCol w:w="118"/>
        <w:gridCol w:w="794"/>
        <w:gridCol w:w="60"/>
      </w:tblGrid>
      <w:tr>
        <w:trPr/>
        <w:tc>
          <w:tcPr>
            <w:tcW w:w="3760" w:type="dxa"/>
            <w:gridSpan w:val="8"/>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(in thousands, except per share amounts)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197"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Year</w:t>
            </w:r>
          </w:p>
        </w:tc>
        <w:tc>
          <w:tcPr>
            <w:tcW w:w="6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459"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Per Share Amount</w:t>
            </w:r>
          </w:p>
        </w:tc>
        <w:tc>
          <w:tcPr>
            <w:tcW w:w="64" w:type="dxa"/>
            <w:tcBorders>
              <w:bottom w:val="single" w:sz="2" w:space="0" w:color="000000"/>
            </w:tcBorders>
            <w:shd w:fill="FFFFFF" w:val="clear"/>
            <w:vAlign w:val="center"/>
          </w:tcPr>
          <w:p>
            <w:pPr>
              <w:pStyle w:val="TableContents"/>
              <w:bidi w:val="0"/>
              <w:spacing w:before="0" w:after="283"/>
              <w:jc w:val="left"/>
              <w:rPr/>
            </w:pPr>
            <w:r>
              <w:rPr/>
              <w:t> </w:t>
            </w:r>
          </w:p>
        </w:tc>
        <w:tc>
          <w:tcPr>
            <w:tcW w:w="6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12"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Total</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197"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2013</w:t>
            </w:r>
          </w:p>
        </w:tc>
        <w:tc>
          <w:tcPr>
            <w:tcW w:w="64" w:type="dxa"/>
            <w:tcBorders/>
            <w:shd w:fill="CCEEFF" w:val="clear"/>
            <w:tcMar>
              <w:bottom w:w="0" w:type="dxa"/>
            </w:tcMar>
            <w:vAlign w:val="center"/>
          </w:tcPr>
          <w:p>
            <w:pPr>
              <w:pStyle w:val="TableContents"/>
              <w:bidi w:val="0"/>
              <w:spacing w:before="0" w:after="283"/>
              <w:jc w:val="left"/>
              <w:rPr/>
            </w:pPr>
            <w:r>
              <w:rPr/>
              <w:t> </w:t>
            </w:r>
          </w:p>
        </w:tc>
        <w:tc>
          <w:tcPr>
            <w:tcW w:w="256"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1203"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6.975</w:t>
            </w:r>
          </w:p>
        </w:tc>
        <w:tc>
          <w:tcPr>
            <w:tcW w:w="64"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794"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4,662</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197"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2014</w:t>
            </w:r>
          </w:p>
        </w:tc>
        <w:tc>
          <w:tcPr>
            <w:tcW w:w="64" w:type="dxa"/>
            <w:tcBorders/>
            <w:shd w:fill="FFFFFF" w:val="clear"/>
            <w:tcMar>
              <w:bottom w:w="0" w:type="dxa"/>
            </w:tcMar>
            <w:vAlign w:val="center"/>
          </w:tcPr>
          <w:p>
            <w:pPr>
              <w:pStyle w:val="TableContents"/>
              <w:bidi w:val="0"/>
              <w:spacing w:before="0" w:after="283"/>
              <w:jc w:val="left"/>
              <w:rPr/>
            </w:pPr>
            <w:r>
              <w:rPr/>
              <w:t> </w:t>
            </w:r>
          </w:p>
        </w:tc>
        <w:tc>
          <w:tcPr>
            <w:tcW w:w="256" w:type="dxa"/>
            <w:tcBorders/>
            <w:shd w:fill="FFFFFF" w:val="clear"/>
            <w:tcMar>
              <w:bottom w:w="0" w:type="dxa"/>
            </w:tcMar>
            <w:vAlign w:val="center"/>
          </w:tcPr>
          <w:p>
            <w:pPr>
              <w:pStyle w:val="TableContents"/>
              <w:bidi w:val="0"/>
              <w:spacing w:before="0" w:after="283"/>
              <w:ind w:left="0" w:right="0" w:hanging="0"/>
              <w:jc w:val="left"/>
              <w:rPr/>
            </w:pPr>
            <w:r>
              <w:rPr/>
              <w:t> </w:t>
            </w:r>
          </w:p>
        </w:tc>
        <w:tc>
          <w:tcPr>
            <w:tcW w:w="1203"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10.800</w:t>
            </w:r>
          </w:p>
        </w:tc>
        <w:tc>
          <w:tcPr>
            <w:tcW w:w="64"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ind w:left="0" w:right="0" w:hanging="0"/>
              <w:jc w:val="left"/>
              <w:rPr/>
            </w:pPr>
            <w:r>
              <w:rPr/>
              <w:t> </w:t>
            </w:r>
          </w:p>
        </w:tc>
        <w:tc>
          <w:tcPr>
            <w:tcW w:w="79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22,643</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197"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2015</w:t>
            </w:r>
          </w:p>
        </w:tc>
        <w:tc>
          <w:tcPr>
            <w:tcW w:w="64" w:type="dxa"/>
            <w:tcBorders/>
            <w:shd w:fill="CCEEFF" w:val="clear"/>
            <w:tcMar>
              <w:bottom w:w="0" w:type="dxa"/>
            </w:tcMar>
            <w:vAlign w:val="center"/>
          </w:tcPr>
          <w:p>
            <w:pPr>
              <w:pStyle w:val="TableContents"/>
              <w:bidi w:val="0"/>
              <w:spacing w:before="0" w:after="283"/>
              <w:jc w:val="left"/>
              <w:rPr/>
            </w:pPr>
            <w:r>
              <w:rPr/>
              <w:t> </w:t>
            </w:r>
          </w:p>
        </w:tc>
        <w:tc>
          <w:tcPr>
            <w:tcW w:w="256" w:type="dxa"/>
            <w:tcBorders/>
            <w:shd w:fill="CCEEFF" w:val="clear"/>
            <w:tcMar>
              <w:bottom w:w="0" w:type="dxa"/>
            </w:tcMar>
            <w:vAlign w:val="center"/>
          </w:tcPr>
          <w:p>
            <w:pPr>
              <w:pStyle w:val="TableContents"/>
              <w:bidi w:val="0"/>
              <w:spacing w:before="0" w:after="283"/>
              <w:ind w:left="0" w:right="0" w:hanging="0"/>
              <w:jc w:val="left"/>
              <w:rPr/>
            </w:pPr>
            <w:r>
              <w:rPr/>
              <w:t> </w:t>
            </w:r>
          </w:p>
        </w:tc>
        <w:tc>
          <w:tcPr>
            <w:tcW w:w="1203"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9.600</w:t>
            </w:r>
          </w:p>
        </w:tc>
        <w:tc>
          <w:tcPr>
            <w:tcW w:w="64"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ind w:left="0" w:right="0" w:hanging="0"/>
              <w:jc w:val="left"/>
              <w:rPr/>
            </w:pPr>
            <w:r>
              <w:rPr/>
              <w:t> </w:t>
            </w:r>
          </w:p>
        </w:tc>
        <w:tc>
          <w:tcPr>
            <w:tcW w:w="79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38,748</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197"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2016</w:t>
            </w:r>
          </w:p>
        </w:tc>
        <w:tc>
          <w:tcPr>
            <w:tcW w:w="64" w:type="dxa"/>
            <w:tcBorders/>
            <w:shd w:fill="FFFFFF" w:val="clear"/>
            <w:tcMar>
              <w:bottom w:w="0" w:type="dxa"/>
            </w:tcMar>
            <w:vAlign w:val="center"/>
          </w:tcPr>
          <w:p>
            <w:pPr>
              <w:pStyle w:val="TableContents"/>
              <w:bidi w:val="0"/>
              <w:spacing w:before="0" w:after="283"/>
              <w:jc w:val="left"/>
              <w:rPr/>
            </w:pPr>
            <w:r>
              <w:rPr/>
              <w:t> </w:t>
            </w:r>
          </w:p>
        </w:tc>
        <w:tc>
          <w:tcPr>
            <w:tcW w:w="256" w:type="dxa"/>
            <w:tcBorders/>
            <w:shd w:fill="FFFFFF" w:val="clear"/>
            <w:tcMar>
              <w:bottom w:w="0" w:type="dxa"/>
            </w:tcMar>
            <w:vAlign w:val="center"/>
          </w:tcPr>
          <w:p>
            <w:pPr>
              <w:pStyle w:val="TableContents"/>
              <w:bidi w:val="0"/>
              <w:spacing w:before="0" w:after="283"/>
              <w:ind w:left="0" w:right="0" w:hanging="0"/>
              <w:jc w:val="left"/>
              <w:rPr/>
            </w:pPr>
            <w:r>
              <w:rPr/>
              <w:t> </w:t>
            </w:r>
          </w:p>
        </w:tc>
        <w:tc>
          <w:tcPr>
            <w:tcW w:w="1203"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8.400</w:t>
            </w:r>
          </w:p>
        </w:tc>
        <w:tc>
          <w:tcPr>
            <w:tcW w:w="64"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ind w:left="0" w:right="0" w:hanging="0"/>
              <w:jc w:val="left"/>
              <w:rPr/>
            </w:pPr>
            <w:r>
              <w:rPr/>
              <w:t> </w:t>
            </w:r>
          </w:p>
        </w:tc>
        <w:tc>
          <w:tcPr>
            <w:tcW w:w="79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41,388</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197"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2017</w:t>
            </w:r>
          </w:p>
        </w:tc>
        <w:tc>
          <w:tcPr>
            <w:tcW w:w="64" w:type="dxa"/>
            <w:tcBorders/>
            <w:shd w:fill="CCEEFF" w:val="clear"/>
            <w:tcMar>
              <w:bottom w:w="0" w:type="dxa"/>
            </w:tcMar>
            <w:vAlign w:val="center"/>
          </w:tcPr>
          <w:p>
            <w:pPr>
              <w:pStyle w:val="TableContents"/>
              <w:bidi w:val="0"/>
              <w:spacing w:before="0" w:after="283"/>
              <w:jc w:val="left"/>
              <w:rPr/>
            </w:pPr>
            <w:r>
              <w:rPr/>
              <w:t> </w:t>
            </w:r>
          </w:p>
        </w:tc>
        <w:tc>
          <w:tcPr>
            <w:tcW w:w="256" w:type="dxa"/>
            <w:tcBorders/>
            <w:shd w:fill="CCEEFF" w:val="clear"/>
            <w:tcMar>
              <w:bottom w:w="0" w:type="dxa"/>
            </w:tcMar>
            <w:vAlign w:val="center"/>
          </w:tcPr>
          <w:p>
            <w:pPr>
              <w:pStyle w:val="TableContents"/>
              <w:bidi w:val="0"/>
              <w:spacing w:before="0" w:after="283"/>
              <w:ind w:left="0" w:right="0" w:hanging="0"/>
              <w:jc w:val="left"/>
              <w:rPr/>
            </w:pPr>
            <w:r>
              <w:rPr/>
              <w:t> </w:t>
            </w:r>
          </w:p>
        </w:tc>
        <w:tc>
          <w:tcPr>
            <w:tcW w:w="1203"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8.400</w:t>
            </w:r>
          </w:p>
        </w:tc>
        <w:tc>
          <w:tcPr>
            <w:tcW w:w="64"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ind w:left="0" w:right="0" w:hanging="0"/>
              <w:jc w:val="left"/>
              <w:rPr/>
            </w:pPr>
            <w:r>
              <w:rPr/>
              <w:t> </w:t>
            </w:r>
          </w:p>
        </w:tc>
        <w:tc>
          <w:tcPr>
            <w:tcW w:w="79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70,717</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197"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2018</w:t>
            </w:r>
          </w:p>
        </w:tc>
        <w:tc>
          <w:tcPr>
            <w:tcW w:w="64" w:type="dxa"/>
            <w:tcBorders/>
            <w:shd w:fill="FFFFFF" w:val="clear"/>
            <w:tcMar>
              <w:bottom w:w="0" w:type="dxa"/>
            </w:tcMar>
            <w:vAlign w:val="center"/>
          </w:tcPr>
          <w:p>
            <w:pPr>
              <w:pStyle w:val="TableContents"/>
              <w:bidi w:val="0"/>
              <w:spacing w:before="0" w:after="283"/>
              <w:jc w:val="left"/>
              <w:rPr/>
            </w:pPr>
            <w:r>
              <w:rPr/>
              <w:t> </w:t>
            </w:r>
          </w:p>
        </w:tc>
        <w:tc>
          <w:tcPr>
            <w:tcW w:w="256" w:type="dxa"/>
            <w:tcBorders/>
            <w:shd w:fill="FFFFFF" w:val="clear"/>
            <w:tcMar>
              <w:bottom w:w="0" w:type="dxa"/>
            </w:tcMar>
            <w:vAlign w:val="center"/>
          </w:tcPr>
          <w:p>
            <w:pPr>
              <w:pStyle w:val="TableContents"/>
              <w:bidi w:val="0"/>
              <w:spacing w:before="0" w:after="283"/>
              <w:ind w:left="0" w:right="0" w:hanging="0"/>
              <w:jc w:val="left"/>
              <w:rPr/>
            </w:pPr>
            <w:r>
              <w:rPr/>
              <w:t> </w:t>
            </w:r>
          </w:p>
        </w:tc>
        <w:tc>
          <w:tcPr>
            <w:tcW w:w="1203"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5.350</w:t>
            </w:r>
          </w:p>
        </w:tc>
        <w:tc>
          <w:tcPr>
            <w:tcW w:w="64"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ind w:left="0" w:right="0" w:hanging="0"/>
              <w:jc w:val="left"/>
              <w:rPr/>
            </w:pPr>
            <w:r>
              <w:rPr/>
              <w:t> </w:t>
            </w:r>
          </w:p>
        </w:tc>
        <w:tc>
          <w:tcPr>
            <w:tcW w:w="79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55,814</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197"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2019</w:t>
            </w:r>
          </w:p>
        </w:tc>
        <w:tc>
          <w:tcPr>
            <w:tcW w:w="64" w:type="dxa"/>
            <w:tcBorders/>
            <w:shd w:fill="CCEEFF" w:val="clear"/>
            <w:tcMar>
              <w:bottom w:w="0" w:type="dxa"/>
            </w:tcMar>
            <w:vAlign w:val="center"/>
          </w:tcPr>
          <w:p>
            <w:pPr>
              <w:pStyle w:val="TableContents"/>
              <w:bidi w:val="0"/>
              <w:spacing w:before="0" w:after="283"/>
              <w:jc w:val="left"/>
              <w:rPr/>
            </w:pPr>
            <w:r>
              <w:rPr/>
              <w:t> </w:t>
            </w:r>
          </w:p>
        </w:tc>
        <w:tc>
          <w:tcPr>
            <w:tcW w:w="256" w:type="dxa"/>
            <w:tcBorders/>
            <w:shd w:fill="CCEEFF" w:val="clear"/>
            <w:tcMar>
              <w:bottom w:w="0" w:type="dxa"/>
            </w:tcMar>
            <w:vAlign w:val="center"/>
          </w:tcPr>
          <w:p>
            <w:pPr>
              <w:pStyle w:val="TableContents"/>
              <w:bidi w:val="0"/>
              <w:spacing w:before="0" w:after="283"/>
              <w:ind w:left="0" w:right="0" w:hanging="0"/>
              <w:jc w:val="left"/>
              <w:rPr/>
            </w:pPr>
            <w:r>
              <w:rPr/>
              <w:t> </w:t>
            </w:r>
          </w:p>
        </w:tc>
        <w:tc>
          <w:tcPr>
            <w:tcW w:w="1203"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4.800</w:t>
            </w:r>
          </w:p>
        </w:tc>
        <w:tc>
          <w:tcPr>
            <w:tcW w:w="64"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ind w:left="0" w:right="0" w:hanging="0"/>
              <w:jc w:val="left"/>
              <w:rPr/>
            </w:pPr>
            <w:r>
              <w:rPr/>
              <w:t> </w:t>
            </w:r>
          </w:p>
        </w:tc>
        <w:tc>
          <w:tcPr>
            <w:tcW w:w="79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54,421</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197"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2020</w:t>
            </w:r>
          </w:p>
        </w:tc>
        <w:tc>
          <w:tcPr>
            <w:tcW w:w="64" w:type="dxa"/>
            <w:tcBorders/>
            <w:shd w:fill="FFFFFF" w:val="clear"/>
            <w:tcMar>
              <w:bottom w:w="0" w:type="dxa"/>
            </w:tcMar>
            <w:vAlign w:val="center"/>
          </w:tcPr>
          <w:p>
            <w:pPr>
              <w:pStyle w:val="TableContents"/>
              <w:bidi w:val="0"/>
              <w:spacing w:before="0" w:after="283"/>
              <w:jc w:val="left"/>
              <w:rPr/>
            </w:pPr>
            <w:r>
              <w:rPr/>
              <w:t> </w:t>
            </w:r>
          </w:p>
        </w:tc>
        <w:tc>
          <w:tcPr>
            <w:tcW w:w="256" w:type="dxa"/>
            <w:tcBorders/>
            <w:shd w:fill="FFFFFF" w:val="clear"/>
            <w:tcMar>
              <w:bottom w:w="0" w:type="dxa"/>
            </w:tcMar>
            <w:vAlign w:val="center"/>
          </w:tcPr>
          <w:p>
            <w:pPr>
              <w:pStyle w:val="TableContents"/>
              <w:bidi w:val="0"/>
              <w:spacing w:before="0" w:after="283"/>
              <w:ind w:left="0" w:right="0" w:hanging="0"/>
              <w:jc w:val="left"/>
              <w:rPr/>
            </w:pPr>
            <w:r>
              <w:rPr/>
              <w:t> </w:t>
            </w:r>
          </w:p>
        </w:tc>
        <w:tc>
          <w:tcPr>
            <w:tcW w:w="1203"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3.950</w:t>
            </w:r>
          </w:p>
        </w:tc>
        <w:tc>
          <w:tcPr>
            <w:tcW w:w="64"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ind w:left="0" w:right="0" w:hanging="0"/>
              <w:jc w:val="left"/>
              <w:rPr/>
            </w:pPr>
            <w:r>
              <w:rPr/>
              <w:t> </w:t>
            </w:r>
          </w:p>
        </w:tc>
        <w:tc>
          <w:tcPr>
            <w:tcW w:w="79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53,570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197"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2021</w:t>
            </w:r>
          </w:p>
        </w:tc>
        <w:tc>
          <w:tcPr>
            <w:tcW w:w="64" w:type="dxa"/>
            <w:tcBorders/>
            <w:shd w:fill="CCEEFF" w:val="clear"/>
            <w:tcMar>
              <w:bottom w:w="0" w:type="dxa"/>
            </w:tcMar>
            <w:vAlign w:val="center"/>
          </w:tcPr>
          <w:p>
            <w:pPr>
              <w:pStyle w:val="TableContents"/>
              <w:bidi w:val="0"/>
              <w:spacing w:before="0" w:after="283"/>
              <w:jc w:val="left"/>
              <w:rPr/>
            </w:pPr>
            <w:r>
              <w:rPr/>
              <w:t> </w:t>
            </w:r>
          </w:p>
        </w:tc>
        <w:tc>
          <w:tcPr>
            <w:tcW w:w="256" w:type="dxa"/>
            <w:tcBorders/>
            <w:shd w:fill="CCEEFF" w:val="clear"/>
            <w:tcMar>
              <w:bottom w:w="0" w:type="dxa"/>
            </w:tcMar>
            <w:vAlign w:val="center"/>
          </w:tcPr>
          <w:p>
            <w:pPr>
              <w:pStyle w:val="TableContents"/>
              <w:bidi w:val="0"/>
              <w:spacing w:before="0" w:after="283"/>
              <w:ind w:left="0" w:right="0" w:hanging="0"/>
              <w:jc w:val="left"/>
              <w:rPr/>
            </w:pPr>
            <w:r>
              <w:rPr/>
              <w:t> </w:t>
            </w:r>
          </w:p>
        </w:tc>
        <w:tc>
          <w:tcPr>
            <w:tcW w:w="1203"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3.900</w:t>
            </w:r>
          </w:p>
        </w:tc>
        <w:tc>
          <w:tcPr>
            <w:tcW w:w="64"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ind w:left="0" w:right="0" w:hanging="0"/>
              <w:jc w:val="left"/>
              <w:rPr/>
            </w:pPr>
            <w:r>
              <w:rPr/>
              <w:t> </w:t>
            </w:r>
          </w:p>
        </w:tc>
        <w:tc>
          <w:tcPr>
            <w:tcW w:w="79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97,601</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197"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2022</w:t>
            </w:r>
          </w:p>
        </w:tc>
        <w:tc>
          <w:tcPr>
            <w:tcW w:w="64" w:type="dxa"/>
            <w:tcBorders/>
            <w:shd w:fill="FFFFFF" w:val="clear"/>
            <w:tcMar>
              <w:bottom w:w="0" w:type="dxa"/>
            </w:tcMar>
            <w:vAlign w:val="center"/>
          </w:tcPr>
          <w:p>
            <w:pPr>
              <w:pStyle w:val="TableContents"/>
              <w:bidi w:val="0"/>
              <w:spacing w:before="0" w:after="283"/>
              <w:jc w:val="left"/>
              <w:rPr/>
            </w:pPr>
            <w:r>
              <w:rPr/>
              <w:t> </w:t>
            </w:r>
          </w:p>
        </w:tc>
        <w:tc>
          <w:tcPr>
            <w:tcW w:w="256" w:type="dxa"/>
            <w:tcBorders/>
            <w:shd w:fill="FFFFFF" w:val="clear"/>
            <w:tcMar>
              <w:bottom w:w="0" w:type="dxa"/>
            </w:tcMar>
            <w:vAlign w:val="center"/>
          </w:tcPr>
          <w:p>
            <w:pPr>
              <w:pStyle w:val="TableContents"/>
              <w:bidi w:val="0"/>
              <w:spacing w:before="0" w:after="283"/>
              <w:ind w:left="0" w:right="0" w:hanging="0"/>
              <w:jc w:val="left"/>
              <w:rPr/>
            </w:pPr>
            <w:r>
              <w:rPr/>
              <w:t> </w:t>
            </w:r>
          </w:p>
        </w:tc>
        <w:tc>
          <w:tcPr>
            <w:tcW w:w="1203"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2.475</w:t>
            </w:r>
          </w:p>
        </w:tc>
        <w:tc>
          <w:tcPr>
            <w:tcW w:w="64"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ind w:left="0" w:right="0" w:hanging="0"/>
              <w:jc w:val="left"/>
              <w:rPr/>
            </w:pPr>
            <w:r>
              <w:rPr/>
              <w:t> </w:t>
            </w:r>
          </w:p>
        </w:tc>
        <w:tc>
          <w:tcPr>
            <w:tcW w:w="79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87,906</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197"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2023</w:t>
            </w:r>
          </w:p>
        </w:tc>
        <w:tc>
          <w:tcPr>
            <w:tcW w:w="64" w:type="dxa"/>
            <w:tcBorders/>
            <w:shd w:fill="CCEEFF" w:val="clear"/>
            <w:tcMar>
              <w:bottom w:w="0" w:type="dxa"/>
            </w:tcMar>
            <w:vAlign w:val="center"/>
          </w:tcPr>
          <w:p>
            <w:pPr>
              <w:pStyle w:val="TableContents"/>
              <w:bidi w:val="0"/>
              <w:spacing w:before="0" w:after="283"/>
              <w:jc w:val="left"/>
              <w:rPr/>
            </w:pPr>
            <w:r>
              <w:rPr/>
              <w:t> </w:t>
            </w:r>
          </w:p>
        </w:tc>
        <w:tc>
          <w:tcPr>
            <w:tcW w:w="256" w:type="dxa"/>
            <w:tcBorders/>
            <w:shd w:fill="CCEEFF" w:val="clear"/>
            <w:tcMar>
              <w:bottom w:w="0" w:type="dxa"/>
            </w:tcMar>
            <w:vAlign w:val="center"/>
          </w:tcPr>
          <w:p>
            <w:pPr>
              <w:pStyle w:val="TableContents"/>
              <w:bidi w:val="0"/>
              <w:spacing w:before="0" w:after="283"/>
              <w:jc w:val="left"/>
              <w:rPr/>
            </w:pPr>
            <w:r>
              <w:rPr/>
              <w:t> </w:t>
            </w:r>
          </w:p>
        </w:tc>
        <w:tc>
          <w:tcPr>
            <w:tcW w:w="1203"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1.800</w:t>
            </w:r>
          </w:p>
        </w:tc>
        <w:tc>
          <w:tcPr>
            <w:tcW w:w="64"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794"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81,127</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197"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2024</w:t>
            </w:r>
          </w:p>
        </w:tc>
        <w:tc>
          <w:tcPr>
            <w:tcW w:w="64" w:type="dxa"/>
            <w:tcBorders/>
            <w:shd w:fill="FFFFFF" w:val="clear"/>
            <w:tcMar>
              <w:bottom w:w="0" w:type="dxa"/>
            </w:tcMar>
            <w:vAlign w:val="center"/>
          </w:tcPr>
          <w:p>
            <w:pPr>
              <w:pStyle w:val="TableContents"/>
              <w:bidi w:val="0"/>
              <w:spacing w:before="0" w:after="283"/>
              <w:jc w:val="left"/>
              <w:rPr/>
            </w:pPr>
            <w:r>
              <w:rPr/>
              <w:t> </w:t>
            </w:r>
          </w:p>
        </w:tc>
        <w:tc>
          <w:tcPr>
            <w:tcW w:w="256" w:type="dxa"/>
            <w:tcBorders/>
            <w:shd w:fill="FFFFFF" w:val="clear"/>
            <w:tcMar>
              <w:bottom w:w="0" w:type="dxa"/>
            </w:tcMar>
            <w:vAlign w:val="center"/>
          </w:tcPr>
          <w:p>
            <w:pPr>
              <w:pStyle w:val="TableContents"/>
              <w:bidi w:val="0"/>
              <w:spacing w:before="0" w:after="283"/>
              <w:jc w:val="left"/>
              <w:rPr/>
            </w:pPr>
            <w:r>
              <w:rPr/>
              <w:t> </w:t>
            </w:r>
          </w:p>
        </w:tc>
        <w:tc>
          <w:tcPr>
            <w:tcW w:w="1203"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1.440</w:t>
            </w:r>
          </w:p>
        </w:tc>
        <w:tc>
          <w:tcPr>
            <w:tcW w:w="64"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jc w:val="left"/>
              <w:rPr/>
            </w:pPr>
            <w:r>
              <w:rPr/>
              <w:t> </w:t>
            </w:r>
          </w:p>
        </w:tc>
        <w:tc>
          <w:tcPr>
            <w:tcW w:w="794"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96,309</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197"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2025</w:t>
            </w:r>
          </w:p>
        </w:tc>
        <w:tc>
          <w:tcPr>
            <w:tcW w:w="64" w:type="dxa"/>
            <w:tcBorders/>
            <w:shd w:fill="CCEEFF" w:val="clear"/>
            <w:tcMar>
              <w:bottom w:w="0" w:type="dxa"/>
            </w:tcMar>
            <w:vAlign w:val="center"/>
          </w:tcPr>
          <w:p>
            <w:pPr>
              <w:pStyle w:val="TableContents"/>
              <w:bidi w:val="0"/>
              <w:spacing w:before="0" w:after="283"/>
              <w:ind w:left="0" w:right="0" w:hanging="0"/>
              <w:jc w:val="left"/>
              <w:rPr/>
            </w:pPr>
            <w:r>
              <w:rPr/>
              <w:t> </w:t>
            </w:r>
          </w:p>
        </w:tc>
        <w:tc>
          <w:tcPr>
            <w:tcW w:w="256" w:type="dxa"/>
            <w:tcBorders/>
            <w:shd w:fill="CCEEFF" w:val="clear"/>
            <w:tcMar>
              <w:bottom w:w="0" w:type="dxa"/>
            </w:tcMar>
            <w:vAlign w:val="center"/>
          </w:tcPr>
          <w:p>
            <w:pPr>
              <w:pStyle w:val="TableContents"/>
              <w:bidi w:val="0"/>
              <w:spacing w:before="0" w:after="283"/>
              <w:ind w:left="0" w:right="0" w:hanging="0"/>
              <w:jc w:val="left"/>
              <w:rPr/>
            </w:pPr>
            <w:r>
              <w:rPr/>
              <w:t> </w:t>
            </w:r>
          </w:p>
        </w:tc>
        <w:tc>
          <w:tcPr>
            <w:tcW w:w="1203"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1.440</w:t>
            </w:r>
          </w:p>
        </w:tc>
        <w:tc>
          <w:tcPr>
            <w:tcW w:w="64"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ind w:left="0" w:right="0" w:hanging="0"/>
              <w:jc w:val="left"/>
              <w:rPr/>
            </w:pPr>
            <w:r>
              <w:rPr/>
              <w:t> </w:t>
            </w:r>
          </w:p>
        </w:tc>
        <w:tc>
          <w:tcPr>
            <w:tcW w:w="118" w:type="dxa"/>
            <w:tcBorders/>
            <w:shd w:fill="CCEEFF" w:val="clear"/>
            <w:tcMar>
              <w:bottom w:w="0" w:type="dxa"/>
            </w:tcMar>
            <w:vAlign w:val="center"/>
          </w:tcPr>
          <w:p>
            <w:pPr>
              <w:pStyle w:val="TableContents"/>
              <w:bidi w:val="0"/>
              <w:spacing w:before="0" w:after="283"/>
              <w:ind w:left="0" w:right="0" w:hanging="0"/>
              <w:jc w:val="left"/>
              <w:rPr/>
            </w:pPr>
            <w:r>
              <w:rPr/>
              <w:t> </w:t>
            </w:r>
          </w:p>
        </w:tc>
        <w:tc>
          <w:tcPr>
            <w:tcW w:w="79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190,930</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1197" w:type="dxa"/>
            <w:tcBorders>
              <w:bottom w:val="single" w:sz="2" w:space="0" w:color="000000"/>
            </w:tcBorders>
            <w:shd w:fill="FFFFFF" w:val="clear"/>
            <w:vAlign w:val="center"/>
          </w:tcPr>
          <w:p>
            <w:pPr>
              <w:pStyle w:val="TableContents"/>
              <w:bidi w:val="0"/>
              <w:spacing w:lineRule="auto" w:line="288" w:before="0" w:after="0"/>
              <w:ind w:left="0" w:right="0" w:hanging="0"/>
              <w:jc w:val="left"/>
              <w:rPr>
                <w:rFonts w:ascii="Times New Roman" w:hAnsi="Times New Roman"/>
                <w:sz w:val="18"/>
              </w:rPr>
            </w:pPr>
            <w:r>
              <w:rPr>
                <w:rFonts w:ascii="Times New Roman" w:hAnsi="Times New Roman"/>
                <w:sz w:val="18"/>
              </w:rPr>
              <w:t>2026 - YTD(1)</w:t>
            </w:r>
          </w:p>
        </w:tc>
        <w:tc>
          <w:tcPr>
            <w:tcW w:w="64"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256"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203"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0.760</w:t>
            </w:r>
          </w:p>
        </w:tc>
        <w:tc>
          <w:tcPr>
            <w:tcW w:w="64"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4"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18"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794"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149,256</w:t>
            </w:r>
          </w:p>
        </w:tc>
        <w:tc>
          <w:tcPr>
            <w:tcW w:w="60" w:type="dxa"/>
            <w:tcBorders>
              <w:bottom w:val="single" w:sz="2" w:space="0" w:color="000000"/>
            </w:tcBorders>
            <w:shd w:fill="FFFFFF" w:val="clear"/>
            <w:vAlign w:val="center"/>
          </w:tcPr>
          <w:p>
            <w:pPr>
              <w:pStyle w:val="TableContents"/>
              <w:bidi w:val="0"/>
              <w:spacing w:before="0" w:after="0"/>
              <w:jc w:val="left"/>
              <w:rPr/>
            </w:pPr>
            <w:r>
              <w:rPr/>
              <w:t> </w:t>
            </w:r>
          </w:p>
        </w:tc>
      </w:tr>
      <w:tr>
        <w:trPr/>
        <w:tc>
          <w:tcPr>
            <w:tcW w:w="1197" w:type="dxa"/>
            <w:tcBorders>
              <w:bottom w:val="double" w:sz="6"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Totals</w:t>
            </w:r>
          </w:p>
        </w:tc>
        <w:tc>
          <w:tcPr>
            <w:tcW w:w="64"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56"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1203"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70.090</w:t>
            </w:r>
          </w:p>
        </w:tc>
        <w:tc>
          <w:tcPr>
            <w:tcW w:w="64" w:type="dxa"/>
            <w:tcBorders>
              <w:bottom w:val="double" w:sz="6" w:space="0" w:color="000000"/>
            </w:tcBorders>
            <w:shd w:fill="CCEEFF" w:val="clear"/>
            <w:vAlign w:val="center"/>
          </w:tcPr>
          <w:p>
            <w:pPr>
              <w:pStyle w:val="TableContents"/>
              <w:bidi w:val="0"/>
              <w:spacing w:before="0" w:after="283"/>
              <w:jc w:val="left"/>
              <w:rPr/>
            </w:pPr>
            <w:r>
              <w:rPr/>
              <w:t> </w:t>
            </w:r>
          </w:p>
        </w:tc>
        <w:tc>
          <w:tcPr>
            <w:tcW w:w="64"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8"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794"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1,045,092</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(1)</w:t>
            </w:r>
          </w:p>
        </w:tc>
        <w:tc>
          <w:tcPr>
            <w:tcW w:w="1000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On July 8, 2026, the Company declared a dividend of $0.10 per share to be paid on August 28, 2026. The effect of this dividend is included in the table above but is not reflected in the Company’s financial statements as of June 30,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9" w:name="qqdmr"/>
      <w:bookmarkEnd w:id="9"/>
      <w:r>
        <w:rPr>
          <w:rFonts w:ascii="Times New Roman" w:hAnsi="Times New Roman"/>
          <w:b/>
          <w:caps w:val="false"/>
          <w:smallCaps w:val="false"/>
          <w:sz w:val="20"/>
        </w:rPr>
        <w:t>ITEM 3.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Market risk is the exposure to loss resulting from changes in market factors such as interest rates, foreign currency exchange rates, commodity prices and equity prices. The primary market risks that we are exposed to are interest rate risk, prepayment risk, spread risk, liquidity risk, extension risk and counterparty credit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i/>
          <w:caps w:val="false"/>
          <w:smallCaps w:val="false"/>
          <w:sz w:val="20"/>
        </w:rPr>
      </w:pPr>
      <w:r>
        <w:rPr>
          <w:rFonts w:ascii="Times New Roman" w:hAnsi="Times New Roman"/>
          <w:i/>
          <w:caps w:val="false"/>
          <w:smallCaps w:val="false"/>
          <w:sz w:val="20"/>
        </w:rPr>
        <w:t>Interest Rate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Interest rate risk is highly sensitive to many factors, including governmental monetary and tax policies, domestic and international economic and political considerations and other factors beyond our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Changes in the general level of interest rates can affect our net interest income, which is the difference between the interest income earned on interest-earning assets and the interest expense incurred in connection with our interest-bearing liabilities, by affecting the spread between our interest-earning assets and interest-bearing liabilities. Changes in the level of interest rates can also affect the rate of prepayments of our securities and the value of the RMBS that constitute our investment portfolio, which affects our net income, ability to realize gains from the sale of these assets and ability to borrow, and the amount that we can borrow against these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may utilize a variety of financial instruments in order to limit the effects of changes in interest rates on our operations. The principal instruments that we use are futures contracts, dual digital options, interest rate swaps and swaptions, and interest rate floors and caps. These instruments are intended to serve as an economic hedge against future interest rate increases on our repurchase agreement borrowings. Hedging techniques are partly based on assumed levels of prepayments of our Agency RMBS. If prepayments are slower or faster than assumed, the life of the Agency RMBS will be longer or shorter, which would reduce the effectiveness of any hedging strategies we may use and may cause losses on such transactions. Hedging strategies involving the use of derivative securities are highly complex and may produce volatile returns. Hedging techniques are also limited by the rules relating to REIT qualification. In order to preserve our REIT status, we may be forced to terminate a hedging transaction at a time when the transaction is most needed.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profitability and the value of our investment portfolio (including derivatives used for hedging purposes) may be adversely affected during any period as a result of changing interest rates, including changes in the forward yield curve.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portfolio of PT RMBS is typically comprised of fixed-rate RMBS, adjustable-rate RMBS (“ARMs”) and hybrid adjustable-rate RMBS. We generally seek to acquire low duration assets that offer high levels of protection from mortgage prepayments provided that they are reasonably priced by the market. Although the duration of an individual asset can change as a result of changes in interest rates, we strive to maintain a hedged PT RMBS portfolio with an effective duration of less than 2.0. The stated contractual final maturity of the mortgage loans underlying our portfolio of PT RMBS generally ranges up to 30 years. However, the effect of prepayments of the underlying mortgage loans tends to shorten the resulting cash flows from our investments substantially. Prepayments occur for various reasons, including refinancing of underlying mortgages and loan payoffs in connection with home sales, and borrowers paying more than their scheduled loan payments, which accelerates the amortization of the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duration of our IO and IIO portfolios will vary greatly depending on the structural features of the securities. While prepayment activity will always affect the cash flows associated with the securities, the interest only nature of IOs may cause their durations to become extremely negative when prepayments are high, and less negative when prepayments are low. Prepayments affect the durations of IIOs similarly, but the floating rate nature of the coupon of IIOs (which is inversely related to the level of one month SOFR) causes their price movements, and model duration, to be affected by changes in both prepayments and one month SOFR, both current and anticipated levels. As a result, the duration of IIO securities will also vary greatly.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Prepayments on the loans underlying our RMBS can alter the timing of the cash flows from the underlying loans to us. As a result, we gauge the interest rate sensitivity of our assets by measuring their effective duration. While modified duration measures the price sensitivity of a bond to movements in interest rates, effective duration captures both the movement in interest rates and the fact that cash flows to a mortgage related security are altered when interest rates move. Accordingly, when the contract interest rate on a mortgage loan is substantially above prevailing interest rates in the market, the effective duration of securities collateralized by such loans can be quite low because of expected prepayments.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face the risk that the market value of our RMBS assets will increase or decrease at different rates than that of our hedging instruments. Accordingly, we assess our interest rate risk by estimating the duration of our assets and the duration of our hedge instruments. We generally calculate duration using various third party models. However, empirical results and various third party models may produce different duration numbers for the same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following sensitivity analysis shows the estimated impact on the fair value of our interest rate-sensitive investments and hedge positions as of June 30, 2026 and December 31, 2025, assuming rates instantaneously fall 200 bps, fall 100 bps, fall 50 bps, rise 50 bps, rise 100 bps and rise 200 bps, adjusted to reflect the impact of convexity, which is the measure of the sensitivity of our hedge positions and Agency RMBS’ effective duration to movements in interest rates. We have a negatively convex asset profile and a linear to slightly positively convex hedge portfolio (short positions). It is common for us to have losses in both directions.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All changes in value in the table below are measured as percentage changes from the investment portfolio value and net asset value at the base interest rate scenario. The base interest rate scenario assumes interest rates and prepayment projections as of June 30, 2026 and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Actual results could differ materially from estimates, especially in the current market environment. To the extent that these estimates or other assumptions do not hold true, which is likely in a period of high price volatility, actual results will likely differ materially from projections and could be larger or smaller than the estimates in the table below. Moreover, if different models were employed in the analysis, materially different projections could result. Lastly, while the table below reflects the estimated impact of interest rate increases and decreases on a static portfolio, we may from time to time sell any of our agency securities as a part of the overall management of our investment portfolio.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4268" w:type="dxa"/>
        <w:jc w:val="left"/>
        <w:tblInd w:w="0" w:type="dxa"/>
        <w:tblLayout w:type="fixed"/>
        <w:tblCellMar>
          <w:top w:w="0" w:type="dxa"/>
          <w:left w:w="0" w:type="dxa"/>
          <w:bottom w:w="28" w:type="dxa"/>
          <w:right w:w="0" w:type="dxa"/>
        </w:tblCellMar>
      </w:tblPr>
      <w:tblGrid>
        <w:gridCol w:w="1910"/>
        <w:gridCol w:w="60"/>
        <w:gridCol w:w="116"/>
        <w:gridCol w:w="773"/>
        <w:gridCol w:w="230"/>
        <w:gridCol w:w="60"/>
        <w:gridCol w:w="97"/>
        <w:gridCol w:w="792"/>
        <w:gridCol w:w="230"/>
      </w:tblGrid>
      <w:tr>
        <w:trPr/>
        <w:tc>
          <w:tcPr>
            <w:tcW w:w="4038" w:type="dxa"/>
            <w:gridSpan w:val="8"/>
            <w:tcBorders>
              <w:bottom w:val="single" w:sz="2" w:space="0" w:color="000000"/>
            </w:tcBorders>
            <w:shd w:fill="FFFFFF" w:val="clear"/>
            <w:vAlign w:val="center"/>
          </w:tcPr>
          <w:p>
            <w:pPr>
              <w:pStyle w:val="TableContents"/>
              <w:bidi w:val="0"/>
              <w:spacing w:lineRule="auto" w:line="288"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Interest Rate Sensitivity(1)</w:t>
            </w:r>
          </w:p>
        </w:tc>
        <w:tc>
          <w:tcPr>
            <w:tcW w:w="23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91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89"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Portfolio</w:t>
            </w:r>
          </w:p>
        </w:tc>
        <w:tc>
          <w:tcPr>
            <w:tcW w:w="23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792" w:type="dxa"/>
            <w:tcBorders/>
            <w:shd w:fill="FFFFFF" w:val="clear"/>
            <w:tcMar>
              <w:bottom w:w="0" w:type="dxa"/>
            </w:tcMar>
            <w:vAlign w:val="center"/>
          </w:tcPr>
          <w:p>
            <w:pPr>
              <w:pStyle w:val="TableContents"/>
              <w:bidi w:val="0"/>
              <w:spacing w:before="0" w:after="283"/>
              <w:jc w:val="center"/>
              <w:rPr/>
            </w:pPr>
            <w:r>
              <w:rPr/>
              <w:t> </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191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89"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Market</w:t>
            </w:r>
          </w:p>
        </w:tc>
        <w:tc>
          <w:tcPr>
            <w:tcW w:w="23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89"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Book</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191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Change in Interest Rate</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Value(2)(3)</w:t>
            </w:r>
          </w:p>
        </w:tc>
        <w:tc>
          <w:tcPr>
            <w:tcW w:w="23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Value(2)(4)</w:t>
            </w:r>
          </w:p>
        </w:tc>
        <w:tc>
          <w:tcPr>
            <w:tcW w:w="23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91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As of June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773" w:type="dxa"/>
            <w:tcBorders/>
            <w:shd w:fill="CCEEFF" w:val="clear"/>
            <w:tcMar>
              <w:bottom w:w="0" w:type="dxa"/>
            </w:tcMar>
            <w:vAlign w:val="center"/>
          </w:tcPr>
          <w:p>
            <w:pPr>
              <w:pStyle w:val="TableContents"/>
              <w:bidi w:val="0"/>
              <w:spacing w:before="0" w:after="283"/>
              <w:jc w:val="lef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792" w:type="dxa"/>
            <w:tcBorders/>
            <w:shd w:fill="CCEEFF" w:val="clear"/>
            <w:tcMar>
              <w:bottom w:w="0" w:type="dxa"/>
            </w:tcMar>
            <w:vAlign w:val="center"/>
          </w:tcPr>
          <w:p>
            <w:pPr>
              <w:pStyle w:val="TableContents"/>
              <w:bidi w:val="0"/>
              <w:spacing w:before="0" w:after="283"/>
              <w:jc w:val="lef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191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-200 Basis Points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773"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(2.60</w:t>
            </w:r>
          </w:p>
        </w:tc>
        <w:tc>
          <w:tcPr>
            <w:tcW w:w="23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792"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(20.79</w:t>
            </w:r>
          </w:p>
        </w:tc>
        <w:tc>
          <w:tcPr>
            <w:tcW w:w="23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91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-100 Basis Points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773"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(0.70</w:t>
            </w:r>
          </w:p>
        </w:tc>
        <w:tc>
          <w:tcPr>
            <w:tcW w:w="23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792"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(5.61</w:t>
            </w:r>
          </w:p>
        </w:tc>
        <w:tc>
          <w:tcPr>
            <w:tcW w:w="23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91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-50 Basis Points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773"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(0.17</w:t>
            </w:r>
          </w:p>
        </w:tc>
        <w:tc>
          <w:tcPr>
            <w:tcW w:w="23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792"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(1.36</w:t>
            </w:r>
          </w:p>
        </w:tc>
        <w:tc>
          <w:tcPr>
            <w:tcW w:w="23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91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+50 Basis Points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773"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(0.18</w:t>
            </w:r>
          </w:p>
        </w:tc>
        <w:tc>
          <w:tcPr>
            <w:tcW w:w="23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792"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(1.47</w:t>
            </w:r>
          </w:p>
        </w:tc>
        <w:tc>
          <w:tcPr>
            <w:tcW w:w="23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91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+100 Basis Points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773"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(0.70</w:t>
            </w:r>
          </w:p>
        </w:tc>
        <w:tc>
          <w:tcPr>
            <w:tcW w:w="23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792"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(5.58</w:t>
            </w:r>
          </w:p>
        </w:tc>
        <w:tc>
          <w:tcPr>
            <w:tcW w:w="23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91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+200 Basis Points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773"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(2.56</w:t>
            </w:r>
          </w:p>
        </w:tc>
        <w:tc>
          <w:tcPr>
            <w:tcW w:w="23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792"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(20.53</w:t>
            </w:r>
          </w:p>
        </w:tc>
        <w:tc>
          <w:tcPr>
            <w:tcW w:w="23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91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As of December 31,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773" w:type="dxa"/>
            <w:tcBorders/>
            <w:shd w:fill="FFFFFF" w:val="clear"/>
            <w:tcMar>
              <w:bottom w:w="0" w:type="dxa"/>
            </w:tcMar>
            <w:vAlign w:val="center"/>
          </w:tcPr>
          <w:p>
            <w:pPr>
              <w:pStyle w:val="TableContents"/>
              <w:bidi w:val="0"/>
              <w:spacing w:before="0" w:after="283"/>
              <w:jc w:val="left"/>
              <w:rPr/>
            </w:pPr>
            <w:r>
              <w:rPr/>
              <w:t> </w:t>
            </w:r>
          </w:p>
        </w:tc>
        <w:tc>
          <w:tcPr>
            <w:tcW w:w="23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792" w:type="dxa"/>
            <w:tcBorders/>
            <w:shd w:fill="FFFFFF" w:val="clear"/>
            <w:tcMar>
              <w:bottom w:w="0" w:type="dxa"/>
            </w:tcMar>
            <w:vAlign w:val="center"/>
          </w:tcPr>
          <w:p>
            <w:pPr>
              <w:pStyle w:val="TableContents"/>
              <w:bidi w:val="0"/>
              <w:spacing w:before="0" w:after="283"/>
              <w:jc w:val="left"/>
              <w:rPr/>
            </w:pPr>
            <w:r>
              <w:rPr/>
              <w:t> </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191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-200 Basis Points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ind w:left="0" w:right="0" w:hanging="0"/>
              <w:jc w:val="left"/>
              <w:rPr/>
            </w:pPr>
            <w:r>
              <w:rPr/>
              <w:t> </w:t>
            </w:r>
          </w:p>
        </w:tc>
        <w:tc>
          <w:tcPr>
            <w:tcW w:w="773"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(2.23</w:t>
            </w:r>
          </w:p>
        </w:tc>
        <w:tc>
          <w:tcPr>
            <w:tcW w:w="23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ind w:left="0" w:right="0" w:hanging="0"/>
              <w:jc w:val="left"/>
              <w:rPr/>
            </w:pPr>
            <w:r>
              <w:rPr/>
              <w:t> </w:t>
            </w:r>
          </w:p>
        </w:tc>
        <w:tc>
          <w:tcPr>
            <w:tcW w:w="792"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(17.30</w:t>
            </w:r>
          </w:p>
        </w:tc>
        <w:tc>
          <w:tcPr>
            <w:tcW w:w="23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91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-100 Basis Points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ind w:left="0" w:right="0" w:hanging="0"/>
              <w:jc w:val="left"/>
              <w:rPr/>
            </w:pPr>
            <w:r>
              <w:rPr/>
              <w:t> </w:t>
            </w:r>
          </w:p>
        </w:tc>
        <w:tc>
          <w:tcPr>
            <w:tcW w:w="773"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(0.65</w:t>
            </w:r>
          </w:p>
        </w:tc>
        <w:tc>
          <w:tcPr>
            <w:tcW w:w="23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ind w:left="0" w:right="0" w:hanging="0"/>
              <w:jc w:val="left"/>
              <w:rPr/>
            </w:pPr>
            <w:r>
              <w:rPr/>
              <w:t> </w:t>
            </w:r>
          </w:p>
        </w:tc>
        <w:tc>
          <w:tcPr>
            <w:tcW w:w="792"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(5.07</w:t>
            </w:r>
          </w:p>
        </w:tc>
        <w:tc>
          <w:tcPr>
            <w:tcW w:w="23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91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-50 Basis Points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ind w:left="0" w:right="0" w:hanging="0"/>
              <w:jc w:val="left"/>
              <w:rPr/>
            </w:pPr>
            <w:r>
              <w:rPr/>
              <w:t> </w:t>
            </w:r>
          </w:p>
        </w:tc>
        <w:tc>
          <w:tcPr>
            <w:tcW w:w="773"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(0.15</w:t>
            </w:r>
          </w:p>
        </w:tc>
        <w:tc>
          <w:tcPr>
            <w:tcW w:w="23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ind w:left="0" w:right="0" w:hanging="0"/>
              <w:jc w:val="left"/>
              <w:rPr/>
            </w:pPr>
            <w:r>
              <w:rPr/>
              <w:t> </w:t>
            </w:r>
          </w:p>
        </w:tc>
        <w:tc>
          <w:tcPr>
            <w:tcW w:w="792"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(1.14</w:t>
            </w:r>
          </w:p>
        </w:tc>
        <w:tc>
          <w:tcPr>
            <w:tcW w:w="23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91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+50 Basis Points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ind w:left="0" w:right="0" w:hanging="0"/>
              <w:jc w:val="left"/>
              <w:rPr/>
            </w:pPr>
            <w:r>
              <w:rPr/>
              <w:t> </w:t>
            </w:r>
          </w:p>
        </w:tc>
        <w:tc>
          <w:tcPr>
            <w:tcW w:w="773"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(0.29</w:t>
            </w:r>
          </w:p>
        </w:tc>
        <w:tc>
          <w:tcPr>
            <w:tcW w:w="23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ind w:left="0" w:right="0" w:hanging="0"/>
              <w:jc w:val="left"/>
              <w:rPr/>
            </w:pPr>
            <w:r>
              <w:rPr/>
              <w:t> </w:t>
            </w:r>
          </w:p>
        </w:tc>
        <w:tc>
          <w:tcPr>
            <w:tcW w:w="792"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(2.22</w:t>
            </w:r>
          </w:p>
        </w:tc>
        <w:tc>
          <w:tcPr>
            <w:tcW w:w="23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91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+100 Basis Points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ind w:left="0" w:right="0" w:hanging="0"/>
              <w:jc w:val="left"/>
              <w:rPr/>
            </w:pPr>
            <w:r>
              <w:rPr/>
              <w:t> </w:t>
            </w:r>
          </w:p>
        </w:tc>
        <w:tc>
          <w:tcPr>
            <w:tcW w:w="773"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(0.98</w:t>
            </w:r>
          </w:p>
        </w:tc>
        <w:tc>
          <w:tcPr>
            <w:tcW w:w="23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ind w:left="0" w:right="0" w:hanging="0"/>
              <w:jc w:val="left"/>
              <w:rPr/>
            </w:pPr>
            <w:r>
              <w:rPr/>
              <w:t> </w:t>
            </w:r>
          </w:p>
        </w:tc>
        <w:tc>
          <w:tcPr>
            <w:tcW w:w="792"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(7.62</w:t>
            </w:r>
          </w:p>
        </w:tc>
        <w:tc>
          <w:tcPr>
            <w:tcW w:w="23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91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+200 Basis Points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73"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(3.27</w:t>
            </w:r>
          </w:p>
        </w:tc>
        <w:tc>
          <w:tcPr>
            <w:tcW w:w="230" w:type="dxa"/>
            <w:tcBorders>
              <w:bottom w:val="single" w:sz="2" w:space="0" w:color="000000"/>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9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92"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(25.31</w:t>
            </w:r>
          </w:p>
        </w:tc>
        <w:tc>
          <w:tcPr>
            <w:tcW w:w="230" w:type="dxa"/>
            <w:tcBorders>
              <w:bottom w:val="single" w:sz="2" w:space="0" w:color="000000"/>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w:t>
            </w:r>
          </w:p>
        </w:tc>
        <w:tc>
          <w:tcPr>
            <w:tcW w:w="1000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rate sensitivity is derived from models that are dependent on inputs and assumptions provided by third parties as well as by our Manager and assumes there are no changes in mortgage spreads and assumes a static portfolio. Actual results could differ materially from these estimates.</w:t>
            </w:r>
          </w:p>
        </w:tc>
      </w:tr>
    </w:tbl>
    <w:tbl>
      <w:tblPr>
        <w:tblW w:w="5935" w:type="dxa"/>
        <w:jc w:val="left"/>
        <w:tblInd w:w="0" w:type="dxa"/>
        <w:tblLayout w:type="fixed"/>
        <w:tblCellMar>
          <w:top w:w="0" w:type="dxa"/>
          <w:left w:w="0" w:type="dxa"/>
          <w:bottom w:w="0" w:type="dxa"/>
          <w:right w:w="0" w:type="dxa"/>
        </w:tblCellMar>
      </w:tblPr>
      <w:tblGrid>
        <w:gridCol w:w="230"/>
        <w:gridCol w:w="5705"/>
      </w:tblGrid>
      <w:tr>
        <w:trPr/>
        <w:tc>
          <w:tcPr>
            <w:tcW w:w="23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w:t>
            </w:r>
          </w:p>
        </w:tc>
        <w:tc>
          <w:tcPr>
            <w:tcW w:w="570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Includes the effect of derivatives and other securities used for hedging purposes.</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(3)</w:t>
            </w:r>
          </w:p>
        </w:tc>
        <w:tc>
          <w:tcPr>
            <w:tcW w:w="99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Estimated dollar change in investment portfolio value expressed as a percent of the total fair value of our investment portfolio as of such date.</w:t>
            </w:r>
          </w:p>
        </w:tc>
      </w:tr>
    </w:tbl>
    <w:tbl>
      <w:tblPr>
        <w:tblW w:w="7600" w:type="dxa"/>
        <w:jc w:val="left"/>
        <w:tblInd w:w="0" w:type="dxa"/>
        <w:tblLayout w:type="fixed"/>
        <w:tblCellMar>
          <w:top w:w="0" w:type="dxa"/>
          <w:left w:w="0" w:type="dxa"/>
          <w:bottom w:w="0" w:type="dxa"/>
          <w:right w:w="0" w:type="dxa"/>
        </w:tblCellMar>
      </w:tblPr>
      <w:tblGrid>
        <w:gridCol w:w="230"/>
        <w:gridCol w:w="7370"/>
      </w:tblGrid>
      <w:tr>
        <w:trPr/>
        <w:tc>
          <w:tcPr>
            <w:tcW w:w="23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(4)</w:t>
            </w:r>
          </w:p>
        </w:tc>
        <w:tc>
          <w:tcPr>
            <w:tcW w:w="737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Estimated dollar change in portfolio value expressed as a percent of stockholders' equity as of such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 addition to changes in interest rates, other factors impact the fair value of our interest rate-sensitive investments, such as the shape of the yield curve, market expectations as to future interest rate changes and other market conditions. Accordingly, in the event of changes in actual interest rates, the change in the fair value of our assets would likely differ from that shown above and such difference might be material and adverse to our stockholders.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i/>
          <w:caps w:val="false"/>
          <w:smallCaps w:val="false"/>
          <w:sz w:val="20"/>
        </w:rPr>
      </w:pPr>
      <w:r>
        <w:rPr>
          <w:rFonts w:ascii="Times New Roman" w:hAnsi="Times New Roman"/>
          <w:i/>
          <w:caps w:val="false"/>
          <w:smallCaps w:val="false"/>
          <w:sz w:val="20"/>
        </w:rPr>
        <w:t>Prepayment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Because residential borrowers have the option to prepay their mortgage loans at par at any time, we face the risk that we will experience a return of principal on our investments faster than anticipated. Various factors affect the rate at which mortgage prepayments occur, including changes in the level of and directional trends in housing prices, interest rates, general economic conditions, loan age and size, loan-to-value ratio, the location of the property and social and demographic conditions. Additionally, changes to government sponsored entity underwriting practices or other governmental programs could also significantly impact prepayment rates or expectations. Generally, prepayments on Agency RMBS increase during periods of falling mortgage interest rates and decrease during periods of rising mortgage interest rates. However, this may not always be the case. We may reinvest principal repayments at a yield that is lower or higher than the yield on the repaid investment, thus affecting our net interest income by altering the average yield on our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i/>
          <w:caps w:val="false"/>
          <w:smallCaps w:val="false"/>
          <w:sz w:val="20"/>
        </w:rPr>
      </w:pPr>
      <w:r>
        <w:rPr>
          <w:rFonts w:ascii="Times New Roman" w:hAnsi="Times New Roman"/>
          <w:i/>
          <w:caps w:val="false"/>
          <w:smallCaps w:val="false"/>
          <w:sz w:val="20"/>
        </w:rPr>
        <w:t>Spread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When the market spread widens between the yield on our Agency RMBS and benchmark interest rates, our net book value could decline if the value of our Agency RMBS falls by more than the offsetting fair value increases on our hedging instruments tied to the underlying benchmark interest rates. We refer to this as "spread risk" or "basis risk." The spread risk associated with our mortgage assets and the resulting fluctuations in fair value of these securities can occur independent of changes in benchmark interest rates and may relate to other factors impacting the mortgage and fixed income markets, such as actual or anticipated monetary policy actions by the Fed, market liquidity, or changes in required rates of return on different assets. Consequently, while we use futures contracts, dual digital options, interest rate swaps and swaptions, and interest rate caps and floors to attempt to protect against moves in interest rates, such instruments typically will not protect our net book value against spread risk.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i/>
          <w:caps w:val="false"/>
          <w:smallCaps w:val="false"/>
          <w:sz w:val="20"/>
        </w:rPr>
      </w:pPr>
      <w:r>
        <w:rPr>
          <w:rFonts w:ascii="Times New Roman" w:hAnsi="Times New Roman"/>
          <w:i/>
          <w:caps w:val="false"/>
          <w:smallCaps w:val="false"/>
          <w:sz w:val="20"/>
        </w:rPr>
        <w:t>Liquidity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primary liquidity risk for us arises from financing long-term assets with shorter-term borrowings through repurchase agreements. Our assets that are pledged to secure repurchase agreements are Agency RMBS and cash. As of June 30, 2026, we had unrestricted cash and cash equivalents of $682.6 million and unpledged securities of approximately $93.4 million (not including unsettled securities purchases or securities pledged to us) available to meet margin calls on our repurchase agreements and derivative contracts, and for other corporate purposes. However, should the value of our Agency RMBS pledged as collateral or the value of our derivative instruments suddenly decrease, margin calls relating to our repurchase and derivative agreements could increase, causing an adverse change in our liquidity position. Further, there is no assurance that we will always be able to renew (or roll) our repurchase agreements. In addition, our counterparties have the option to increase our haircuts (margin requirements) on the assets we pledge against repurchase agreements, thereby reducing the amount that can be borrowed against an asset even if they agree to renew or roll the repurchase agreement. Significantly higher haircuts can reduce our ability to leverage our portfolio or even force us to sell assets, especially if correlated with asset price declines or faster prepayment rates on our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i/>
          <w:caps w:val="false"/>
          <w:smallCaps w:val="false"/>
          <w:sz w:val="20"/>
        </w:rPr>
      </w:pPr>
      <w:r>
        <w:rPr>
          <w:rFonts w:ascii="Times New Roman" w:hAnsi="Times New Roman"/>
          <w:i/>
          <w:caps w:val="false"/>
          <w:smallCaps w:val="false"/>
          <w:sz w:val="20"/>
        </w:rPr>
        <w:t>Extension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projected weighted average life and the duration (or interest rate sensitivity) of our investments is based on our Manager's assumptions regarding the rate at which the borrowers will prepay the underlying mortgage loans. In general, we use futures contracts, dual digital options and interest rate swaps and swaptions to help manage our funding cost on our investments in the event that interest rates rise. These hedging instruments allow us to reduce our funding exposure on the notional amount of the instrument for a specified period of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However, if prepayment rates decrease in a rising interest rate environment, the average life or duration of our fixed-rate assets or the fixed-rate portion of the ARMs or other assets generally extends. This could have a negative impact on our results from operations, as our hedging instrument expirations are fixed and will, therefore, cover a smaller percentage of our funding exposure on our mortgage assets to the extent that their average lives increase due to slower prepayments. This situation may also cause the market value of our Agency RMBS and CMOs collateralized by fixed rate mortgages or hybrid ARMs to decline by more than otherwise would be the case while most of our hedging instruments would not receive any incremental offsetting gains. In extreme situations, we may be forced to sell assets to maintain adequate liquidity, which could cause us to incur realized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i/>
          <w:caps w:val="false"/>
          <w:smallCaps w:val="false"/>
          <w:sz w:val="20"/>
        </w:rPr>
      </w:pPr>
      <w:r>
        <w:rPr>
          <w:rFonts w:ascii="Times New Roman" w:hAnsi="Times New Roman"/>
          <w:i/>
          <w:caps w:val="false"/>
          <w:smallCaps w:val="false"/>
          <w:sz w:val="20"/>
        </w:rPr>
        <w:t>Counterparty Credit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are exposed to counterparty credit risk relating to potential losses that could be recognized in the event that the counterparties to our repurchase agreements and derivative contracts fail to perform their obligations under such agreements. The amount of assets we pledge as collateral in accordance with our agreements varies over time based on the market value and notional amount of such assets as well as the value of our derivative contracts. In the event of a default by a counterparty, we may not receive payments provided for under the terms of our agreements and may have difficulty obtaining our assets pledged as collateral under such agreements. Our credit risk related to certain derivative transactions is largely mitigated through daily adjustments to collateral pledged based on changes in market value and we limit our counterparties to registered central clearing exchanges and major financial institutions with acceptable credit ratings, monitoring positions with individual counterparties and adjusting collateral posted as required. However, there is no guarantee our efforts to manage counterparty credit risk will be successful and we could suffer significant losses if unsuccessful.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10" w:name="cps"/>
      <w:bookmarkEnd w:id="10"/>
      <w:r>
        <w:rPr>
          <w:rFonts w:ascii="Times New Roman" w:hAnsi="Times New Roman"/>
          <w:b/>
          <w:caps w:val="false"/>
          <w:smallCaps w:val="false"/>
          <w:sz w:val="20"/>
        </w:rPr>
        <w:t>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Evaluation of Disclosure Controls and Procedures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As of the end of the period covered by this report (the “evaluation date”), we carried out an evaluation, under the supervision and with the participation of our management, including our Chief Executive Officer (the “CEO”) and Chief Financial Officer (the “CFO”), of the effectiveness of the design and operation of our disclosure controls and procedures, as defined in Rule 13a-15(e) under the Exchange Act. Based on this evaluation, the CEO and CFO concluded our disclosure controls and procedures, as designed and implemented, were effective as of the evaluation date (1) in ensuring that information regarding the Company is accumulated and communicated to our management, including our CEO and CFO, by our Manager's employees, as appropriate to allow timely decisions regarding required disclosure and (2) in providing reasonable assurance that information we must disclose in our periodic reports under the Exchange Act is recorded, processed, summarized and reported within the time periods prescribed by the SEC’s rules and forms.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There were no significant changes in the Company’s internal control over financial reporting that occurred during the Company’s most recent fiscal quarter that have materially affected, or are reasonably likely to materially affect, the Company’s internal control over financial reporting.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11" w:name="partii"/>
      <w:bookmarkEnd w:id="11"/>
      <w:r>
        <w:rPr>
          <w:rFonts w:ascii="Times New Roman" w:hAnsi="Times New Roman"/>
          <w:b/>
          <w:caps w:val="false"/>
          <w:smallCaps w:val="false"/>
          <w:sz w:val="20"/>
        </w:rPr>
        <w:t>PART II.</w:t>
      </w:r>
      <w:r>
        <w:rPr>
          <w:rFonts w:ascii="Times New Roman" w:hAnsi="Times New Roman"/>
          <w:caps w:val="false"/>
          <w:smallCaps w:val="false"/>
          <w:sz w:val="20"/>
        </w:rPr>
        <w:t xml:space="preserve"> </w:t>
      </w:r>
      <w:r>
        <w:rPr>
          <w:rFonts w:ascii="Times New Roman" w:hAnsi="Times New Roman"/>
          <w:b/>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2" w:name="legal"/>
      <w:bookmarkEnd w:id="12"/>
      <w:r>
        <w:rPr>
          <w:rFonts w:ascii="Times New Roman" w:hAnsi="Times New Roman"/>
          <w:b/>
          <w:caps w:val="false"/>
          <w:smallCaps w:val="false"/>
          <w:sz w:val="20"/>
        </w:rPr>
        <w:t>ITEM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are not party to any material pending legal proceedings as described in Item 103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3" w:name="risks"/>
      <w:bookmarkEnd w:id="13"/>
      <w:r>
        <w:rPr>
          <w:rFonts w:ascii="Times New Roman" w:hAnsi="Times New Roman"/>
          <w:b/>
          <w:caps w:val="false"/>
          <w:smallCaps w:val="false"/>
          <w:sz w:val="20"/>
        </w:rPr>
        <w:t xml:space="preserve">ITEM 1A. RISK FACTORS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 description of certain factors that may affect our future results and risk factors is set forth in our Annual Report on Form 10-K for the year ended December 31, 2025. As of June 30, 2026, there have been no material changes in our risk factors from those set forth in our Annual Report on Form 10-K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4" w:name="uses"/>
      <w:bookmarkEnd w:id="14"/>
      <w:r>
        <w:rPr>
          <w:rFonts w:ascii="Times New Roman" w:hAnsi="Times New Roman"/>
          <w:b/>
          <w:caps w:val="false"/>
          <w:smallCaps w:val="false"/>
          <w:sz w:val="20"/>
        </w:rPr>
        <w:t>ITEM 2. 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Company did not have any unregistered sales of its equity securities during the three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table below presents the Company’s share repurchase activity for the three months ended June 30, 2026.</w:t>
      </w:r>
    </w:p>
    <w:p>
      <w:pPr>
        <w:pStyle w:val="TextBody"/>
        <w:bidi w:val="0"/>
        <w:spacing w:before="0" w:after="0"/>
        <w:ind w:left="0" w:right="0" w:hanging="0"/>
        <w:jc w:val="left"/>
        <w:rPr>
          <w:caps w:val="false"/>
          <w:smallCaps w:val="false"/>
        </w:rPr>
      </w:pPr>
      <w:r>
        <w:rPr>
          <w:caps w:val="false"/>
          <w:smallCaps w:val="false"/>
        </w:rPr>
        <w:t> </w:t>
      </w:r>
    </w:p>
    <w:tbl>
      <w:tblPr>
        <w:tblW w:w="7941" w:type="dxa"/>
        <w:jc w:val="left"/>
        <w:tblInd w:w="0" w:type="dxa"/>
        <w:tblLayout w:type="fixed"/>
        <w:tblCellMar>
          <w:top w:w="0" w:type="dxa"/>
          <w:left w:w="0" w:type="dxa"/>
          <w:bottom w:w="0" w:type="dxa"/>
          <w:right w:w="0" w:type="dxa"/>
        </w:tblCellMar>
      </w:tblPr>
      <w:tblGrid>
        <w:gridCol w:w="2180"/>
        <w:gridCol w:w="60"/>
        <w:gridCol w:w="92"/>
        <w:gridCol w:w="1157"/>
        <w:gridCol w:w="60"/>
        <w:gridCol w:w="60"/>
        <w:gridCol w:w="200"/>
        <w:gridCol w:w="614"/>
        <w:gridCol w:w="60"/>
        <w:gridCol w:w="60"/>
        <w:gridCol w:w="104"/>
        <w:gridCol w:w="1295"/>
        <w:gridCol w:w="60"/>
        <w:gridCol w:w="60"/>
        <w:gridCol w:w="122"/>
        <w:gridCol w:w="1697"/>
        <w:gridCol w:w="60"/>
      </w:tblGrid>
      <w:tr>
        <w:trPr/>
        <w:tc>
          <w:tcPr>
            <w:tcW w:w="21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9" w:type="dxa"/>
            <w:gridSpan w:val="2"/>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4" w:type="dxa"/>
            <w:gridSpan w:val="2"/>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9" w:type="dxa"/>
            <w:gridSpan w:val="2"/>
            <w:tcBorders/>
            <w:shd w:fill="FFFFFF" w:val="clear"/>
            <w:vAlign w:val="center"/>
          </w:tcPr>
          <w:p>
            <w:pPr>
              <w:pStyle w:val="TableContents"/>
              <w:bidi w:val="0"/>
              <w:spacing w:before="0" w:after="283"/>
              <w:jc w:val="center"/>
              <w:rPr>
                <w:rFonts w:ascii="Times New Roman" w:hAnsi="Times New Roman"/>
                <w:b/>
                <w:sz w:val="18"/>
              </w:rPr>
            </w:pPr>
            <w:r>
              <w:rPr>
                <w:rFonts w:ascii="Times New Roman" w:hAnsi="Times New Roman"/>
                <w:b/>
                <w:sz w:val="18"/>
              </w:rPr>
              <w:t>Shares Purchased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9" w:type="dxa"/>
            <w:gridSpan w:val="2"/>
            <w:tcBorders/>
            <w:shd w:fill="FFFFFF" w:val="clear"/>
            <w:vAlign w:val="center"/>
          </w:tcPr>
          <w:p>
            <w:pPr>
              <w:pStyle w:val="TableContents"/>
              <w:bidi w:val="0"/>
              <w:spacing w:before="0" w:after="283"/>
              <w:jc w:val="center"/>
              <w:rPr>
                <w:rFonts w:ascii="Times New Roman" w:hAnsi="Times New Roman"/>
                <w:b/>
                <w:sz w:val="18"/>
              </w:rPr>
            </w:pPr>
            <w:r>
              <w:rPr>
                <w:rFonts w:ascii="Times New Roman" w:hAnsi="Times New Roman"/>
                <w:b/>
                <w:sz w:val="18"/>
              </w:rPr>
              <w:t>Maximum Number</w:t>
            </w:r>
          </w:p>
        </w:tc>
        <w:tc>
          <w:tcPr>
            <w:tcW w:w="60" w:type="dxa"/>
            <w:tcBorders/>
            <w:shd w:fill="FFFFFF" w:val="clear"/>
            <w:vAlign w:val="center"/>
          </w:tcPr>
          <w:p>
            <w:pPr>
              <w:pStyle w:val="TableContents"/>
              <w:bidi w:val="0"/>
              <w:spacing w:before="0" w:after="283"/>
              <w:jc w:val="left"/>
              <w:rPr/>
            </w:pPr>
            <w:r>
              <w:rPr/>
              <w:t> </w:t>
            </w:r>
          </w:p>
        </w:tc>
      </w:tr>
      <w:tr>
        <w:trPr/>
        <w:tc>
          <w:tcPr>
            <w:tcW w:w="21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9" w:type="dxa"/>
            <w:gridSpan w:val="2"/>
            <w:tcBorders/>
            <w:shd w:fill="FFFFFF" w:val="clear"/>
            <w:vAlign w:val="center"/>
          </w:tcPr>
          <w:p>
            <w:pPr>
              <w:pStyle w:val="TableContents"/>
              <w:bidi w:val="0"/>
              <w:spacing w:before="0" w:after="283"/>
              <w:jc w:val="center"/>
              <w:rPr>
                <w:rFonts w:ascii="Times New Roman" w:hAnsi="Times New Roman"/>
                <w:b/>
                <w:sz w:val="18"/>
              </w:rPr>
            </w:pPr>
            <w:r>
              <w:rPr>
                <w:rFonts w:ascii="Times New Roman" w:hAnsi="Times New Roman"/>
                <w:b/>
                <w:sz w:val="18"/>
              </w:rPr>
              <w:t>Total Number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4" w:type="dxa"/>
            <w:gridSpan w:val="2"/>
            <w:tcBorders/>
            <w:shd w:fill="FFFFFF" w:val="clear"/>
            <w:vAlign w:val="center"/>
          </w:tcPr>
          <w:p>
            <w:pPr>
              <w:pStyle w:val="TableContents"/>
              <w:bidi w:val="0"/>
              <w:spacing w:before="0" w:after="283"/>
              <w:jc w:val="center"/>
              <w:rPr>
                <w:rFonts w:ascii="Times New Roman" w:hAnsi="Times New Roman"/>
                <w:b/>
                <w:sz w:val="18"/>
              </w:rPr>
            </w:pPr>
            <w:r>
              <w:rPr>
                <w:rFonts w:ascii="Times New Roman" w:hAnsi="Times New Roman"/>
                <w:b/>
                <w:sz w:val="18"/>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9" w:type="dxa"/>
            <w:gridSpan w:val="2"/>
            <w:tcBorders/>
            <w:shd w:fill="FFFFFF" w:val="clear"/>
            <w:vAlign w:val="center"/>
          </w:tcPr>
          <w:p>
            <w:pPr>
              <w:pStyle w:val="TableContents"/>
              <w:bidi w:val="0"/>
              <w:spacing w:before="0" w:after="283"/>
              <w:jc w:val="center"/>
              <w:rPr>
                <w:rFonts w:ascii="Times New Roman" w:hAnsi="Times New Roman"/>
                <w:b/>
                <w:sz w:val="18"/>
              </w:rPr>
            </w:pPr>
            <w:r>
              <w:rPr>
                <w:rFonts w:ascii="Times New Roman" w:hAnsi="Times New Roman"/>
                <w:b/>
                <w:sz w:val="18"/>
              </w:rPr>
              <w:t>as Part 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9" w:type="dxa"/>
            <w:gridSpan w:val="2"/>
            <w:tcBorders/>
            <w:shd w:fill="FFFFFF" w:val="clear"/>
            <w:vAlign w:val="center"/>
          </w:tcPr>
          <w:p>
            <w:pPr>
              <w:pStyle w:val="TableContents"/>
              <w:bidi w:val="0"/>
              <w:spacing w:before="0" w:after="283"/>
              <w:jc w:val="center"/>
              <w:rPr>
                <w:rFonts w:ascii="Times New Roman" w:hAnsi="Times New Roman"/>
                <w:b/>
                <w:sz w:val="18"/>
              </w:rPr>
            </w:pPr>
            <w:r>
              <w:rPr>
                <w:rFonts w:ascii="Times New Roman" w:hAnsi="Times New Roman"/>
                <w:b/>
                <w:sz w:val="18"/>
              </w:rPr>
              <w:t>of Shares That May</w:t>
            </w:r>
          </w:p>
        </w:tc>
        <w:tc>
          <w:tcPr>
            <w:tcW w:w="60" w:type="dxa"/>
            <w:tcBorders/>
            <w:shd w:fill="FFFFFF" w:val="clear"/>
            <w:vAlign w:val="center"/>
          </w:tcPr>
          <w:p>
            <w:pPr>
              <w:pStyle w:val="TableContents"/>
              <w:bidi w:val="0"/>
              <w:spacing w:before="0" w:after="283"/>
              <w:jc w:val="left"/>
              <w:rPr/>
            </w:pPr>
            <w:r>
              <w:rPr/>
              <w:t> </w:t>
            </w:r>
          </w:p>
        </w:tc>
      </w:tr>
      <w:tr>
        <w:trPr/>
        <w:tc>
          <w:tcPr>
            <w:tcW w:w="21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4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of Shares 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Publicly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Yet Be</w:t>
            </w:r>
          </w:p>
        </w:tc>
        <w:tc>
          <w:tcPr>
            <w:tcW w:w="60" w:type="dxa"/>
            <w:tcBorders/>
            <w:shd w:fill="FFFFFF" w:val="clear"/>
            <w:vAlign w:val="center"/>
          </w:tcPr>
          <w:p>
            <w:pPr>
              <w:pStyle w:val="TableContents"/>
              <w:bidi w:val="0"/>
              <w:spacing w:before="0" w:after="283"/>
              <w:jc w:val="left"/>
              <w:rPr/>
            </w:pPr>
            <w:r>
              <w:rPr/>
              <w:t> </w:t>
            </w:r>
          </w:p>
        </w:tc>
      </w:tr>
      <w:tr>
        <w:trPr/>
        <w:tc>
          <w:tcPr>
            <w:tcW w:w="21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4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Price Paid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Announced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Be Repurchased Under</w:t>
            </w:r>
          </w:p>
        </w:tc>
        <w:tc>
          <w:tcPr>
            <w:tcW w:w="60" w:type="dxa"/>
            <w:tcBorders/>
            <w:shd w:fill="FFFFFF" w:val="clear"/>
            <w:vAlign w:val="center"/>
          </w:tcPr>
          <w:p>
            <w:pPr>
              <w:pStyle w:val="TableContents"/>
              <w:bidi w:val="0"/>
              <w:spacing w:before="0" w:after="283"/>
              <w:jc w:val="left"/>
              <w:rPr/>
            </w:pPr>
            <w:r>
              <w:rPr/>
              <w:t> </w:t>
            </w:r>
          </w:p>
        </w:tc>
      </w:tr>
      <w:tr>
        <w:trPr/>
        <w:tc>
          <w:tcPr>
            <w:tcW w:w="21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49"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Repurchased(1)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Per Share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Programs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8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the Authorization</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April 1, 2026 - April 30, 2026</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1157"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614"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1295"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1697"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2,719,137</w:t>
            </w:r>
          </w:p>
        </w:tc>
        <w:tc>
          <w:tcPr>
            <w:tcW w:w="60" w:type="dxa"/>
            <w:tcBorders/>
            <w:shd w:fill="CCEEFF" w:val="clear"/>
            <w:vAlign w:val="center"/>
          </w:tcPr>
          <w:p>
            <w:pPr>
              <w:pStyle w:val="TableContents"/>
              <w:bidi w:val="0"/>
              <w:spacing w:before="0" w:after="283"/>
              <w:jc w:val="left"/>
              <w:rPr/>
            </w:pPr>
            <w:r>
              <w:rPr/>
              <w:t> </w:t>
            </w:r>
          </w:p>
        </w:tc>
      </w:tr>
      <w:tr>
        <w:trPr/>
        <w:tc>
          <w:tcPr>
            <w:tcW w:w="21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May 1, 2026 - May 31, 2026</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1157"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614"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1295"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1697"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2,719,137</w:t>
            </w:r>
          </w:p>
        </w:tc>
        <w:tc>
          <w:tcPr>
            <w:tcW w:w="60" w:type="dxa"/>
            <w:tcBorders/>
            <w:shd w:fill="FFFFFF" w:val="clear"/>
            <w:vAlign w:val="center"/>
          </w:tcPr>
          <w:p>
            <w:pPr>
              <w:pStyle w:val="TableContents"/>
              <w:bidi w:val="0"/>
              <w:spacing w:before="0" w:after="283"/>
              <w:jc w:val="left"/>
              <w:rPr/>
            </w:pPr>
            <w:r>
              <w:rPr/>
              <w:t> </w:t>
            </w:r>
          </w:p>
        </w:tc>
      </w:tr>
      <w:tr>
        <w:trPr/>
        <w:tc>
          <w:tcPr>
            <w:tcW w:w="21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June 1, 2026 - June 30, 2026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1,108,492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6.64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1,106,557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6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26,612,580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1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Totals / Weighted Average</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1,108,492</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61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6.64</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1,106,557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9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26,612,580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(1)</w:t>
            </w:r>
          </w:p>
        </w:tc>
        <w:tc>
          <w:tcPr>
            <w:tcW w:w="10011"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Includes 1,935 shares of the Company’s common stock acquired by the Company in connection with the satisfaction of tax withholding obligations on vested employment related awards under equity incentive plans. These repurchases do not reduce the number of shares available under the stock repurchase program authorization.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5" w:name="duss"/>
      <w:bookmarkEnd w:id="15"/>
      <w:r>
        <w:rPr>
          <w:rFonts w:ascii="Times New Roman" w:hAnsi="Times New Roman"/>
          <w:b/>
          <w:caps w:val="false"/>
          <w:smallCaps w:val="false"/>
          <w:sz w:val="20"/>
        </w:rPr>
        <w:t>ITEM 3.</w:t>
      </w:r>
      <w:r>
        <w:rPr>
          <w:rFonts w:ascii="Times New Roman" w:hAnsi="Times New Roman"/>
          <w:caps w:val="false"/>
          <w:smallCaps w:val="false"/>
          <w:sz w:val="20"/>
        </w:rPr>
        <w:t xml:space="preserve"> </w:t>
      </w:r>
      <w:r>
        <w:rPr>
          <w:rFonts w:ascii="Times New Roman" w:hAnsi="Times New Roman"/>
          <w:b/>
          <w:caps w:val="false"/>
          <w:smallCaps w:val="false"/>
          <w:sz w:val="20"/>
        </w:rPr>
        <w:t>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6" w:name="msd"/>
      <w:bookmarkEnd w:id="16"/>
      <w:r>
        <w:rPr>
          <w:rFonts w:ascii="Times New Roman" w:hAnsi="Times New Roman"/>
          <w:b/>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283"/>
        <w:jc w:val="left"/>
        <w:rPr/>
      </w:pPr>
      <w:r>
        <w:rPr/>
        <w:t xml:space="preserve">  </w:t>
      </w:r>
    </w:p>
    <w:p>
      <w:pPr>
        <w:pStyle w:val="TextBody"/>
        <w:bidi w:val="0"/>
        <w:spacing w:before="0" w:after="0"/>
        <w:ind w:left="0" w:right="0" w:hanging="0"/>
        <w:jc w:val="left"/>
        <w:rPr/>
      </w:pPr>
      <w:bookmarkStart w:id="17" w:name="otherinfo"/>
      <w:bookmarkEnd w:id="17"/>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180"/>
        <w:jc w:val="left"/>
        <w:rPr>
          <w:rFonts w:ascii="Times New Roman" w:hAnsi="Times New Roman"/>
          <w:b/>
          <w:caps w:val="false"/>
          <w:smallCaps w:val="false"/>
          <w:sz w:val="20"/>
        </w:rPr>
      </w:pPr>
      <w:r>
        <w:rPr>
          <w:rFonts w:ascii="Times New Roman" w:hAnsi="Times New Roman"/>
          <w:b/>
          <w:caps w:val="false"/>
          <w:smallCaps w:val="false"/>
          <w:sz w:val="20"/>
        </w:rPr>
        <w:t>Trading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During the quarter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none of the Company’s directors or officers (as defined in Rule </w:t>
      </w:r>
      <w:r>
        <w:rPr>
          <w:rStyle w:val="Emphasis"/>
          <w:rFonts w:ascii="Times New Roman" w:hAnsi="Times New Roman"/>
          <w:caps w:val="false"/>
          <w:smallCaps w:val="false"/>
          <w:sz w:val="20"/>
        </w:rPr>
        <w:t>16a</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(f) under the Exchange Act) adopted, modified or terminated a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or non-Rule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(as each term is defined in Item </w:t>
      </w:r>
      <w:r>
        <w:rPr>
          <w:rStyle w:val="Emphasis"/>
          <w:rFonts w:ascii="Times New Roman" w:hAnsi="Times New Roman"/>
          <w:caps w:val="false"/>
          <w:smallCaps w:val="false"/>
          <w:sz w:val="20"/>
        </w:rPr>
        <w:t>408</w:t>
      </w:r>
      <w:r>
        <w:rPr>
          <w:rFonts w:ascii="Times New Roman" w:hAnsi="Times New Roman"/>
          <w:caps w:val="false"/>
          <w:smallCaps w:val="false"/>
          <w:sz w:val="20"/>
        </w:rPr>
        <w:t xml:space="preserve"> of Regulation S-K).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bookmarkStart w:id="18" w:name="exs"/>
      <w:bookmarkEnd w:id="18"/>
      <w:r>
        <w:rPr>
          <w:rFonts w:ascii="Times New Roman" w:hAnsi="Times New Roman"/>
          <w:b/>
          <w:caps w:val="false"/>
          <w:smallCaps w:val="false"/>
          <w:sz w:val="20"/>
        </w:rPr>
        <w:t>ITEM 6.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 No.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w:t>
            </w:r>
          </w:p>
        </w:tc>
        <w:tc>
          <w:tcPr>
            <w:tcW w:w="9825" w:type="dxa"/>
            <w:tcBorders/>
            <w:vAlign w:val="center"/>
          </w:tcPr>
          <w:p>
            <w:pPr>
              <w:pStyle w:val="TableContents"/>
              <w:bidi w:val="0"/>
              <w:spacing w:before="0" w:after="0"/>
              <w:ind w:left="0" w:right="0" w:hanging="0"/>
              <w:jc w:val="left"/>
              <w:rPr/>
            </w:pPr>
            <w:hyperlink r:id="rId3">
              <w:r>
                <w:rPr>
                  <w:rStyle w:val="InternetLink"/>
                  <w:rFonts w:ascii="Times New Roman" w:hAnsi="Times New Roman"/>
                  <w:caps w:val="false"/>
                  <w:smallCaps w:val="false"/>
                  <w:sz w:val="20"/>
                </w:rPr>
                <w:t>Articles of Amendment and Restatement of Orchid Island Capital, Inc. (filed as Exhibit 3.1 to the Company’s Registration Statement on Amendment No. 1 to Form S-11 (File No. 333-184538) filed on November 28, 2012 and incorporated herein by reference).</w:t>
              </w:r>
            </w:hyperlink>
          </w:p>
        </w:tc>
      </w:tr>
      <w:tr>
        <w:trPr/>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w:t>
            </w:r>
          </w:p>
        </w:tc>
        <w:tc>
          <w:tcPr>
            <w:tcW w:w="9825" w:type="dxa"/>
            <w:tcBorders/>
            <w:vAlign w:val="center"/>
          </w:tcPr>
          <w:p>
            <w:pPr>
              <w:pStyle w:val="TableContents"/>
              <w:bidi w:val="0"/>
              <w:spacing w:before="0" w:after="0"/>
              <w:ind w:left="0" w:right="0" w:hanging="0"/>
              <w:jc w:val="left"/>
              <w:rPr/>
            </w:pPr>
            <w:hyperlink r:id="rId4">
              <w:r>
                <w:rPr>
                  <w:rStyle w:val="InternetLink"/>
                  <w:rFonts w:ascii="Times New Roman" w:hAnsi="Times New Roman"/>
                  <w:caps w:val="false"/>
                  <w:smallCaps w:val="false"/>
                  <w:sz w:val="20"/>
                </w:rPr>
                <w:t>Certificate of Correction of Orchid Island Capital, Inc. (filed as Exhibit 3.2 to the Company’s Annual Report on Form 10-K filed on February 22, 2019 and incorporated herein by reference).</w:t>
              </w:r>
            </w:hyperlink>
          </w:p>
        </w:tc>
      </w:tr>
      <w:tr>
        <w:trPr/>
        <w:tc>
          <w:tcPr>
            <w:tcW w:w="380" w:type="dxa"/>
            <w:tcBorders/>
            <w:vAlign w:val="center"/>
          </w:tcPr>
          <w:p>
            <w:pPr>
              <w:pStyle w:val="TableContents"/>
              <w:bidi w:val="0"/>
              <w:spacing w:before="0" w:after="283"/>
              <w:jc w:val="left"/>
              <w:rPr/>
            </w:pPr>
            <w:r>
              <w:rPr/>
              <w:t>3.3</w:t>
            </w:r>
          </w:p>
        </w:tc>
        <w:tc>
          <w:tcPr>
            <w:tcW w:w="9825" w:type="dxa"/>
            <w:tcBorders/>
            <w:vAlign w:val="center"/>
          </w:tcPr>
          <w:p>
            <w:pPr>
              <w:pStyle w:val="TableContents"/>
              <w:bidi w:val="0"/>
              <w:spacing w:before="0" w:after="283"/>
              <w:jc w:val="left"/>
              <w:rPr/>
            </w:pPr>
            <w:hyperlink r:id="rId5">
              <w:r>
                <w:rPr>
                  <w:rStyle w:val="InternetLink"/>
                </w:rPr>
                <w:t>Articles of Amendment to the Articles of Amendment and Restatement of the Company (filed as Exhibit 3.1 to the Company’s Current Report on Form 8-K filed on August 30, 2022 and incorporated herein by reference).</w:t>
              </w:r>
            </w:hyperlink>
          </w:p>
        </w:tc>
      </w:tr>
      <w:tr>
        <w:trPr/>
        <w:tc>
          <w:tcPr>
            <w:tcW w:w="380" w:type="dxa"/>
            <w:tcBorders/>
            <w:vAlign w:val="center"/>
          </w:tcPr>
          <w:p>
            <w:pPr>
              <w:pStyle w:val="TableContents"/>
              <w:bidi w:val="0"/>
              <w:spacing w:before="0" w:after="283"/>
              <w:jc w:val="left"/>
              <w:rPr/>
            </w:pPr>
            <w:r>
              <w:rPr/>
              <w:t>3.4</w:t>
            </w:r>
          </w:p>
        </w:tc>
        <w:tc>
          <w:tcPr>
            <w:tcW w:w="9825" w:type="dxa"/>
            <w:tcBorders/>
            <w:vAlign w:val="center"/>
          </w:tcPr>
          <w:p>
            <w:pPr>
              <w:pStyle w:val="TableContents"/>
              <w:bidi w:val="0"/>
              <w:spacing w:before="0" w:after="283"/>
              <w:jc w:val="left"/>
              <w:rPr/>
            </w:pPr>
            <w:hyperlink r:id="rId6">
              <w:r>
                <w:rPr>
                  <w:rStyle w:val="InternetLink"/>
                </w:rPr>
                <w:t>Articles of Amendment to the Articles of Amendment and Restatement of the Company (filed as Exhibit 3.1 to the Company’s Current Report on Form 8-K filed on February 14, 2025 and incorporated herein by reference).</w:t>
              </w:r>
            </w:hyperlink>
          </w:p>
        </w:tc>
      </w:tr>
      <w:tr>
        <w:trPr/>
        <w:tc>
          <w:tcPr>
            <w:tcW w:w="380" w:type="dxa"/>
            <w:tcBorders/>
            <w:vAlign w:val="center"/>
          </w:tcPr>
          <w:p>
            <w:pPr>
              <w:pStyle w:val="TableContents"/>
              <w:bidi w:val="0"/>
              <w:spacing w:before="0" w:after="283"/>
              <w:jc w:val="left"/>
              <w:rPr/>
            </w:pPr>
            <w:r>
              <w:rPr/>
              <w:t>3.5</w:t>
            </w:r>
          </w:p>
        </w:tc>
        <w:tc>
          <w:tcPr>
            <w:tcW w:w="9825" w:type="dxa"/>
            <w:tcBorders/>
            <w:vAlign w:val="center"/>
          </w:tcPr>
          <w:p>
            <w:pPr>
              <w:pStyle w:val="TableContents"/>
              <w:bidi w:val="0"/>
              <w:spacing w:before="0" w:after="283"/>
              <w:jc w:val="left"/>
              <w:rPr/>
            </w:pPr>
            <w:hyperlink r:id="rId7">
              <w:r>
                <w:rPr>
                  <w:rStyle w:val="InternetLink"/>
                </w:rPr>
                <w:t>Articles of Amendment to the Articles of Amendment and Restatement of the Company (filed as Exhibit 3.5 to the Company's Quarterly Report on Form 10-Q filed on October 24, 2025 and incorporated herein by reference)</w:t>
              </w:r>
            </w:hyperlink>
          </w:p>
        </w:tc>
      </w:tr>
      <w:tr>
        <w:trPr/>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3.6</w:t>
            </w:r>
          </w:p>
        </w:tc>
        <w:tc>
          <w:tcPr>
            <w:tcW w:w="9825" w:type="dxa"/>
            <w:tcBorders/>
            <w:vAlign w:val="center"/>
          </w:tcPr>
          <w:p>
            <w:pPr>
              <w:pStyle w:val="TableContents"/>
              <w:bidi w:val="0"/>
              <w:spacing w:before="0" w:after="0"/>
              <w:ind w:left="0" w:right="0" w:hanging="0"/>
              <w:jc w:val="left"/>
              <w:rPr/>
            </w:pPr>
            <w:hyperlink r:id="rId8">
              <w:r>
                <w:rPr>
                  <w:rStyle w:val="InternetLink"/>
                  <w:rFonts w:ascii="Times New Roman" w:hAnsi="Times New Roman"/>
                  <w:caps w:val="false"/>
                  <w:smallCaps w:val="false"/>
                  <w:sz w:val="20"/>
                </w:rPr>
                <w:t>Amended and Restated Bylaws of Orchid Island Capital, Inc. (filed as Exhibit 3.1 to the Company’s Current Report on Form 8-K filed on December 13, 2022 and incorporated herein by reference).</w:t>
              </w:r>
            </w:hyperlink>
          </w:p>
        </w:tc>
      </w:tr>
      <w:tr>
        <w:trPr/>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4.1</w:t>
            </w:r>
          </w:p>
        </w:tc>
        <w:tc>
          <w:tcPr>
            <w:tcW w:w="9825" w:type="dxa"/>
            <w:tcBorders/>
            <w:vAlign w:val="center"/>
          </w:tcPr>
          <w:p>
            <w:pPr>
              <w:pStyle w:val="TableContents"/>
              <w:bidi w:val="0"/>
              <w:spacing w:before="0" w:after="0"/>
              <w:ind w:left="0" w:right="0" w:hanging="0"/>
              <w:jc w:val="left"/>
              <w:rPr/>
            </w:pPr>
            <w:hyperlink r:id="rId9">
              <w:r>
                <w:rPr>
                  <w:rStyle w:val="InternetLink"/>
                  <w:rFonts w:ascii="Times New Roman" w:hAnsi="Times New Roman"/>
                  <w:caps w:val="false"/>
                  <w:smallCaps w:val="false"/>
                  <w:sz w:val="20"/>
                </w:rPr>
                <w:t>Specimen Certificate of common stock of Orchid Island Capital, Inc. (filed as Exhibit 4.1 to the Company’s Registration Statement on Amendment No. 1 to Form S-11 (File No. 333-184538) filed on November 28, 2012 and incorporated herein by reference).</w:t>
              </w:r>
            </w:hyperlink>
          </w:p>
        </w:tc>
      </w:tr>
      <w:tr>
        <w:trPr/>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31.1</w:t>
            </w:r>
          </w:p>
        </w:tc>
        <w:tc>
          <w:tcPr>
            <w:tcW w:w="9825" w:type="dxa"/>
            <w:tcBorders/>
            <w:vAlign w:val="center"/>
          </w:tcPr>
          <w:p>
            <w:pPr>
              <w:pStyle w:val="TableContents"/>
              <w:bidi w:val="0"/>
              <w:spacing w:before="0" w:after="0"/>
              <w:ind w:left="0" w:right="0" w:hanging="0"/>
              <w:jc w:val="left"/>
              <w:rPr/>
            </w:pPr>
            <w:hyperlink w:anchor="ex_951322.htm">
              <w:r>
                <w:rPr>
                  <w:rStyle w:val="InternetLink"/>
                  <w:rFonts w:ascii="Times New Roman" w:hAnsi="Times New Roman"/>
                  <w:caps w:val="false"/>
                  <w:smallCaps w:val="false"/>
                  <w:sz w:val="20"/>
                </w:rPr>
                <w:t>Certification of Robert E. Cauley, Chief Executive Officer and President of the Registrant, pursuant to Section 302 of the Sarbanes-Oxley Act of 2002.*</w:t>
              </w:r>
            </w:hyperlink>
          </w:p>
        </w:tc>
      </w:tr>
      <w:tr>
        <w:trPr/>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31.2</w:t>
            </w:r>
          </w:p>
        </w:tc>
        <w:tc>
          <w:tcPr>
            <w:tcW w:w="9825" w:type="dxa"/>
            <w:tcBorders/>
            <w:vAlign w:val="center"/>
          </w:tcPr>
          <w:p>
            <w:pPr>
              <w:pStyle w:val="TableContents"/>
              <w:bidi w:val="0"/>
              <w:spacing w:before="0" w:after="0"/>
              <w:ind w:left="0" w:right="0" w:hanging="0"/>
              <w:jc w:val="left"/>
              <w:rPr/>
            </w:pPr>
            <w:hyperlink w:anchor="ex_951323.htm">
              <w:r>
                <w:rPr>
                  <w:rStyle w:val="InternetLink"/>
                  <w:rFonts w:ascii="Times New Roman" w:hAnsi="Times New Roman"/>
                  <w:caps w:val="false"/>
                  <w:smallCaps w:val="false"/>
                  <w:sz w:val="20"/>
                </w:rPr>
                <w:t>Certification of George H. Haas, IV, Chief Financial Officer of the Registrant, pursuant to Section 302 of the Sarbanes-Oxley Act of 2002.*</w:t>
              </w:r>
            </w:hyperlink>
          </w:p>
        </w:tc>
      </w:tr>
      <w:tr>
        <w:trPr/>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32.1</w:t>
            </w:r>
          </w:p>
        </w:tc>
        <w:tc>
          <w:tcPr>
            <w:tcW w:w="9825" w:type="dxa"/>
            <w:tcBorders/>
            <w:vAlign w:val="center"/>
          </w:tcPr>
          <w:p>
            <w:pPr>
              <w:pStyle w:val="TableContents"/>
              <w:bidi w:val="0"/>
              <w:spacing w:before="0" w:after="0"/>
              <w:ind w:left="0" w:right="0" w:hanging="0"/>
              <w:jc w:val="left"/>
              <w:rPr/>
            </w:pPr>
            <w:hyperlink w:anchor="ex_951324.htm">
              <w:r>
                <w:rPr>
                  <w:rStyle w:val="InternetLink"/>
                  <w:rFonts w:ascii="Times New Roman" w:hAnsi="Times New Roman"/>
                  <w:caps w:val="false"/>
                  <w:smallCaps w:val="false"/>
                  <w:sz w:val="20"/>
                </w:rPr>
                <w:t>Certification of Robert E. Cauley, Chief Executive Officer and President of the Registrant, pursuant to 18 U.S.C. Section 1350 as adopted pursuant to Section 906 of the Sarbanes-Oxley Act of 2002.**</w:t>
              </w:r>
            </w:hyperlink>
          </w:p>
        </w:tc>
      </w:tr>
      <w:tr>
        <w:trPr/>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32.2</w:t>
            </w:r>
          </w:p>
        </w:tc>
        <w:tc>
          <w:tcPr>
            <w:tcW w:w="9825" w:type="dxa"/>
            <w:tcBorders/>
            <w:vAlign w:val="center"/>
          </w:tcPr>
          <w:p>
            <w:pPr>
              <w:pStyle w:val="TableContents"/>
              <w:bidi w:val="0"/>
              <w:spacing w:before="0" w:after="0"/>
              <w:ind w:left="0" w:right="0" w:hanging="0"/>
              <w:jc w:val="left"/>
              <w:rPr/>
            </w:pPr>
            <w:hyperlink w:anchor="ex_951325.htm">
              <w:r>
                <w:rPr>
                  <w:rStyle w:val="InternetLink"/>
                  <w:rFonts w:ascii="Times New Roman" w:hAnsi="Times New Roman"/>
                  <w:caps w:val="false"/>
                  <w:smallCaps w:val="false"/>
                  <w:sz w:val="20"/>
                </w:rPr>
                <w:t>Certification of George H. Haas, IV, Chief Financial Officer of the Registrant, pursuant to 18 U.S.C. Section 1350 as adopted pursuant to Section 906 of the Sarbanes-Oxley Act of 2002.**</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12"/>
        <w:gridCol w:w="9093"/>
      </w:tblGrid>
      <w:tr>
        <w:trPr/>
        <w:tc>
          <w:tcPr>
            <w:tcW w:w="111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 101.INS</w:t>
            </w:r>
          </w:p>
        </w:tc>
        <w:tc>
          <w:tcPr>
            <w:tcW w:w="909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Instance Document – the instance document does not appear in the Interactive Data File because its XBRL tags are embedded within the Inline XBRL document.***</w:t>
            </w:r>
          </w:p>
        </w:tc>
      </w:tr>
      <w:tr>
        <w:trPr/>
        <w:tc>
          <w:tcPr>
            <w:tcW w:w="111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 101.SCH</w:t>
            </w:r>
          </w:p>
        </w:tc>
        <w:tc>
          <w:tcPr>
            <w:tcW w:w="909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Schema Document ***</w:t>
            </w:r>
          </w:p>
        </w:tc>
      </w:tr>
      <w:tr>
        <w:trPr/>
        <w:tc>
          <w:tcPr>
            <w:tcW w:w="111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 101.CAL</w:t>
            </w:r>
          </w:p>
        </w:tc>
        <w:tc>
          <w:tcPr>
            <w:tcW w:w="909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 Document***</w:t>
            </w:r>
          </w:p>
        </w:tc>
      </w:tr>
      <w:tr>
        <w:trPr/>
        <w:tc>
          <w:tcPr>
            <w:tcW w:w="111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 101.DEF</w:t>
            </w:r>
          </w:p>
        </w:tc>
        <w:tc>
          <w:tcPr>
            <w:tcW w:w="909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Additional Taxonomy Extension Definition Linkbase Document Created***</w:t>
            </w:r>
          </w:p>
        </w:tc>
      </w:tr>
      <w:tr>
        <w:trPr/>
        <w:tc>
          <w:tcPr>
            <w:tcW w:w="111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 101.LAB</w:t>
            </w:r>
          </w:p>
        </w:tc>
        <w:tc>
          <w:tcPr>
            <w:tcW w:w="909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Label Linkbase Document ***</w:t>
            </w:r>
          </w:p>
        </w:tc>
      </w:tr>
      <w:tr>
        <w:trPr/>
        <w:tc>
          <w:tcPr>
            <w:tcW w:w="111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 101.PRE</w:t>
            </w:r>
          </w:p>
        </w:tc>
        <w:tc>
          <w:tcPr>
            <w:tcW w:w="909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Presentation Linkbase Document ***</w:t>
            </w:r>
          </w:p>
        </w:tc>
      </w:tr>
      <w:tr>
        <w:trPr/>
        <w:tc>
          <w:tcPr>
            <w:tcW w:w="111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 104</w:t>
            </w:r>
          </w:p>
        </w:tc>
        <w:tc>
          <w:tcPr>
            <w:tcW w:w="909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tbl>
      <w:tblPr>
        <w:tblW w:w="1360" w:type="dxa"/>
        <w:jc w:val="left"/>
        <w:tblInd w:w="0" w:type="dxa"/>
        <w:tblLayout w:type="fixed"/>
        <w:tblCellMar>
          <w:top w:w="0" w:type="dxa"/>
          <w:left w:w="0" w:type="dxa"/>
          <w:bottom w:w="0" w:type="dxa"/>
          <w:right w:w="0" w:type="dxa"/>
        </w:tblCellMar>
      </w:tblPr>
      <w:tblGrid>
        <w:gridCol w:w="125"/>
        <w:gridCol w:w="1235"/>
      </w:tblGrid>
      <w:tr>
        <w:trPr/>
        <w:tc>
          <w:tcPr>
            <w:tcW w:w="1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bl>
    <w:tbl>
      <w:tblPr>
        <w:tblW w:w="1855" w:type="dxa"/>
        <w:jc w:val="left"/>
        <w:tblInd w:w="0" w:type="dxa"/>
        <w:tblLayout w:type="fixed"/>
        <w:tblCellMar>
          <w:top w:w="0" w:type="dxa"/>
          <w:left w:w="0" w:type="dxa"/>
          <w:bottom w:w="0" w:type="dxa"/>
          <w:right w:w="0" w:type="dxa"/>
        </w:tblCellMar>
      </w:tblPr>
      <w:tblGrid>
        <w:gridCol w:w="230"/>
        <w:gridCol w:w="1625"/>
      </w:tblGrid>
      <w:tr>
        <w:trPr/>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Furnished herewith.</w:t>
            </w:r>
          </w:p>
        </w:tc>
      </w:tr>
    </w:tbl>
    <w:tbl>
      <w:tblPr>
        <w:tblW w:w="3160" w:type="dxa"/>
        <w:jc w:val="left"/>
        <w:tblInd w:w="0" w:type="dxa"/>
        <w:tblLayout w:type="fixed"/>
        <w:tblCellMar>
          <w:top w:w="0" w:type="dxa"/>
          <w:left w:w="0" w:type="dxa"/>
          <w:bottom w:w="0" w:type="dxa"/>
          <w:right w:w="0" w:type="dxa"/>
        </w:tblCellMar>
      </w:tblPr>
      <w:tblGrid>
        <w:gridCol w:w="335"/>
        <w:gridCol w:w="2825"/>
      </w:tblGrid>
      <w:tr>
        <w:trPr/>
        <w:tc>
          <w:tcPr>
            <w:tcW w:w="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8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Submitted electronically herewith.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19" w:name="sigs"/>
      <w:bookmarkEnd w:id="19"/>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Section 13 or 15(d) of the Securities Exchange Act of 1934, as amended,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7589" w:type="dxa"/>
        <w:jc w:val="left"/>
        <w:tblInd w:w="0" w:type="dxa"/>
        <w:tblLayout w:type="fixed"/>
        <w:tblCellMar>
          <w:top w:w="0" w:type="dxa"/>
          <w:left w:w="0" w:type="dxa"/>
          <w:bottom w:w="0" w:type="dxa"/>
          <w:right w:w="0" w:type="dxa"/>
        </w:tblCellMar>
      </w:tblPr>
      <w:tblGrid>
        <w:gridCol w:w="2060"/>
        <w:gridCol w:w="60"/>
        <w:gridCol w:w="320"/>
        <w:gridCol w:w="5017"/>
        <w:gridCol w:w="132"/>
      </w:tblGrid>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01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Orchid Island Capital, Inc</w:t>
            </w:r>
            <w:r>
              <w:rPr>
                <w:rFonts w:ascii="Times New Roman" w:hAnsi="Times New Roman"/>
                <w:caps w:val="false"/>
                <w:smallCaps w:val="false"/>
                <w:sz w:val="20"/>
              </w:rPr>
              <w:t>.</w:t>
            </w:r>
          </w:p>
        </w:tc>
        <w:tc>
          <w:tcPr>
            <w:tcW w:w="132"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01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w:t>
            </w:r>
          </w:p>
        </w:tc>
        <w:tc>
          <w:tcPr>
            <w:tcW w:w="132"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017"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017"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July 24, 2026</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501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Robert E. Cauley</w:t>
            </w:r>
          </w:p>
        </w:tc>
        <w:tc>
          <w:tcPr>
            <w:tcW w:w="132"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149"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Robert E. Cauley</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 President and Chairman of the Board</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r>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017"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July 24, 2026</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501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George H. Haas, IV</w:t>
            </w:r>
          </w:p>
        </w:tc>
        <w:tc>
          <w:tcPr>
            <w:tcW w:w="132"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149"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George H. Haas, IV</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Secretary, Chief Financial Officer, Chief Investment Officer and</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Director (Principal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50 </w:t>
      </w:r>
    </w:p>
    <w:p>
      <w:pPr>
        <w:pStyle w:val="TextBody"/>
        <w:bidi w:val="0"/>
        <w:spacing w:before="0" w:after="0"/>
        <w:ind w:left="0" w:right="0" w:hanging="0"/>
        <w:jc w:val="right"/>
        <w:rPr>
          <w:rFonts w:ascii="Times New Roman;Times;serif" w:hAnsi="Times New Roman;Times;serif"/>
          <w:b/>
          <w:sz w:val="20"/>
        </w:rPr>
      </w:pPr>
      <w:bookmarkStart w:id="20" w:name="ex_951320.htm"/>
      <w:bookmarkStart w:id="21" w:name="ksex_951320"/>
      <w:bookmarkEnd w:id="20"/>
      <w:bookmarkEnd w:id="21"/>
      <w:r>
        <w:rPr>
          <w:rFonts w:ascii="Times New Roman;Times;serif" w:hAnsi="Times New Roman;Times;serif"/>
          <w:b/>
          <w:sz w:val="20"/>
        </w:rPr>
        <w:t>Exhibit 10.1</w:t>
      </w:r>
      <w:r>
        <w:br w:type="page"/>
      </w:r>
    </w:p>
    <w:p>
      <w:pPr>
        <w:pStyle w:val="TextBody"/>
        <w:bidi w:val="0"/>
        <w:spacing w:before="0" w:after="0"/>
        <w:ind w:left="0" w:right="0" w:hanging="0"/>
        <w:jc w:val="righ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ORCHID ISLAND CAPITAL, INC.</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2026 LONG-TERM EQUITY INCENTIVE COMPENSATION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360"/>
        <w:jc w:val="left"/>
        <w:rPr>
          <w:rFonts w:ascii="Times New Roman" w:hAnsi="Times New Roman"/>
          <w:caps w:val="false"/>
          <w:smallCaps w:val="false"/>
          <w:sz w:val="20"/>
        </w:rPr>
      </w:pPr>
      <w:r>
        <w:rPr>
          <w:rFonts w:ascii="Times New Roman" w:hAnsi="Times New Roman"/>
          <w:caps w:val="false"/>
          <w:smallCaps w:val="false"/>
          <w:sz w:val="20"/>
        </w:rPr>
        <w:t>This 2026 Long-Term Equity Incentive Compensation Plan (the “2026 Plan”) sets forth terms and conditions on which equity awards may be made by Orchid Island Capital, Inc. (the “Company”) pursuant to the Orchid Island Capital, Inc. 2021 Equity Incentive Plan (the “2021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360"/>
        <w:jc w:val="left"/>
        <w:rPr>
          <w:rFonts w:ascii="Times New Roman" w:hAnsi="Times New Roman"/>
          <w:caps w:val="false"/>
          <w:smallCaps w:val="false"/>
          <w:sz w:val="20"/>
        </w:rPr>
      </w:pPr>
      <w:r>
        <w:rPr>
          <w:rFonts w:ascii="Times New Roman" w:hAnsi="Times New Roman"/>
          <w:caps w:val="false"/>
          <w:smallCaps w:val="false"/>
          <w:sz w:val="20"/>
        </w:rPr>
        <w:t>All employees of Bimini Advisors, LLC, which is the Company’s external manager (the “Manager”), and employees of entities affiliated with the Manager (collectively, the “Employees”) are eligible to participate in the 2026 Plan. Members of our Manager’s and its affiliates’ senior management team also serve as the Company’s executive officers, including the Company’s Chief Executive Officer and Chief Financial Officer. All of the Employees are referred to as “Participants.” Being a Participant does not entitle the individual to an award under the 2026 Plan. The Compensation Committee of the Board of Directors of the Company (the “Committee”) will have absolute sole discretion over all aspects of the 2026 Plan, including but not limited to the ability to reduce the amount of any bonus award or the size of the bonus pool even if the performance objectives and other terms of the 2026 Plan are satisfied and to adjust the Company’s book value for purposes of the 2026 Plan due to dilutive issuances of the Company’s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360"/>
        <w:jc w:val="left"/>
        <w:rPr>
          <w:rFonts w:ascii="Times New Roman" w:hAnsi="Times New Roman"/>
          <w:caps w:val="false"/>
          <w:smallCaps w:val="false"/>
          <w:sz w:val="20"/>
        </w:rPr>
      </w:pPr>
      <w:r>
        <w:rPr>
          <w:rFonts w:ascii="Times New Roman" w:hAnsi="Times New Roman"/>
          <w:caps w:val="false"/>
          <w:smallCaps w:val="false"/>
          <w:sz w:val="20"/>
        </w:rPr>
        <w:t>Participants will be eligible to earn awards under the 2026 Plan for performance over the next one-year, three-year and five-year periods. A bonus pool will be established under the 2026 Plan for each of the one-, three- and five-year measurement periods. The amount credited to the bonus pool will be based on the Company’s performance under each of the three performance criteria (which are described below) of the 2026 Plan for each of the three measurement periods. The Committee, in its discretion, will determine each Participant’s award (</w:t>
      </w:r>
      <w:r>
        <w:rPr>
          <w:rFonts w:ascii="Times New Roman" w:hAnsi="Times New Roman"/>
          <w:i/>
          <w:caps w:val="false"/>
          <w:smallCaps w:val="false"/>
          <w:sz w:val="20"/>
        </w:rPr>
        <w:t>i.e.</w:t>
      </w:r>
      <w:r>
        <w:rPr>
          <w:rFonts w:ascii="Times New Roman" w:hAnsi="Times New Roman"/>
          <w:caps w:val="false"/>
          <w:smallCaps w:val="false"/>
          <w:sz w:val="20"/>
        </w:rPr>
        <w:t>, the percentage of the bonus pool paid to each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360"/>
        <w:jc w:val="left"/>
        <w:rPr>
          <w:rFonts w:ascii="Times New Roman" w:hAnsi="Times New Roman"/>
          <w:caps w:val="false"/>
          <w:smallCaps w:val="false"/>
          <w:sz w:val="20"/>
        </w:rPr>
      </w:pPr>
      <w:r>
        <w:rPr>
          <w:rFonts w:ascii="Times New Roman" w:hAnsi="Times New Roman"/>
          <w:caps w:val="false"/>
          <w:smallCaps w:val="false"/>
          <w:sz w:val="20"/>
        </w:rPr>
        <w:t>The maximum amount that may be credited to the bonus pool for each measurement period will equal the average management fees paid by the Company to the Manager (pursuant to the terms of the management agreement between the Company and the Manager) for such period multiplied by the applicable percentage described in the table below. Under the 2026 Plan, the maximum bonus pool for awards to be issued for performance during (i) the one-year measurement period will equal 20% of the average monthly management fee earned during 2026 multiplied by 12, (ii) the three-year measurement period will equal 35% of the average annual management fee paid for 2026 through 2028 and (iii) for the five-year measurement period will equal 45% of the average annual management fee paid for 2026 through 2030.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360"/>
        <w:jc w:val="left"/>
        <w:rPr>
          <w:rFonts w:ascii="Times New Roman" w:hAnsi="Times New Roman"/>
          <w:caps w:val="false"/>
          <w:smallCaps w:val="false"/>
          <w:sz w:val="20"/>
        </w:rPr>
      </w:pPr>
      <w:r>
        <w:rPr>
          <w:rFonts w:ascii="Times New Roman" w:hAnsi="Times New Roman"/>
          <w:caps w:val="false"/>
          <w:smallCaps w:val="false"/>
          <w:sz w:val="20"/>
        </w:rPr>
        <w:t>As noted above, the amount credited to the bonus pool for each measurement period will reflect the Company’s performance measured against the three performance criteria described below. The table below illustrates the maximum amount that may be credited to the bonus pool for each measurement period (as a percentage of the average management fees for the applicable period). The table also shows the amount that may be credited to the bonus pool for each measurement period (also as a percentage of the average management fees for the applicable period) for achievement of objectives with respect to each of the performance criteria. For example, the maximum amount that may be credited to the bonus pool for the three-year measurement period based on the Agency RMBS rate (as defined below) relative performance is 10.50% of the average management fees paid for 2026 through 2028.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5285" w:type="dxa"/>
        <w:jc w:val="left"/>
        <w:tblInd w:w="0" w:type="dxa"/>
        <w:tblLayout w:type="fixed"/>
        <w:tblCellMar>
          <w:top w:w="0" w:type="dxa"/>
          <w:left w:w="0" w:type="dxa"/>
          <w:bottom w:w="28" w:type="dxa"/>
          <w:right w:w="0" w:type="dxa"/>
        </w:tblCellMar>
      </w:tblPr>
      <w:tblGrid>
        <w:gridCol w:w="3320"/>
        <w:gridCol w:w="650"/>
        <w:gridCol w:w="650"/>
        <w:gridCol w:w="665"/>
      </w:tblGrid>
      <w:tr>
        <w:trPr/>
        <w:tc>
          <w:tcPr>
            <w:tcW w:w="3320" w:type="dxa"/>
            <w:tcBorders>
              <w:bottom w:val="single" w:sz="2" w:space="0" w:color="000000"/>
            </w:tcBorders>
            <w:vAlign w:val="center"/>
          </w:tcPr>
          <w:p>
            <w:pPr>
              <w:pStyle w:val="TableContents"/>
              <w:bidi w:val="0"/>
              <w:spacing w:before="0" w:after="283"/>
              <w:jc w:val="left"/>
              <w:rPr/>
            </w:pPr>
            <w:r>
              <w:rPr/>
              <w:t> </w:t>
            </w:r>
          </w:p>
        </w:tc>
        <w:tc>
          <w:tcPr>
            <w:tcW w:w="65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1-year</w:t>
            </w:r>
          </w:p>
        </w:tc>
        <w:tc>
          <w:tcPr>
            <w:tcW w:w="65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3-year</w:t>
            </w:r>
          </w:p>
        </w:tc>
        <w:tc>
          <w:tcPr>
            <w:tcW w:w="66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5-year</w:t>
            </w:r>
          </w:p>
        </w:tc>
      </w:tr>
      <w:tr>
        <w:trPr/>
        <w:tc>
          <w:tcPr>
            <w:tcW w:w="332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Peer-relative financial performance</w:t>
            </w:r>
          </w:p>
        </w:tc>
        <w:tc>
          <w:tcPr>
            <w:tcW w:w="65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9.00%</w:t>
            </w:r>
          </w:p>
        </w:tc>
        <w:tc>
          <w:tcPr>
            <w:tcW w:w="65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15.75%</w:t>
            </w:r>
          </w:p>
        </w:tc>
        <w:tc>
          <w:tcPr>
            <w:tcW w:w="66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r>
      <w:tr>
        <w:trPr/>
        <w:tc>
          <w:tcPr>
            <w:tcW w:w="332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Agency RMBS rate relative performance</w:t>
            </w:r>
          </w:p>
        </w:tc>
        <w:tc>
          <w:tcPr>
            <w:tcW w:w="65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6.00%</w:t>
            </w:r>
          </w:p>
        </w:tc>
        <w:tc>
          <w:tcPr>
            <w:tcW w:w="65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10.50%</w:t>
            </w:r>
          </w:p>
        </w:tc>
        <w:tc>
          <w:tcPr>
            <w:tcW w:w="66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13.50%</w:t>
            </w:r>
          </w:p>
        </w:tc>
      </w:tr>
      <w:tr>
        <w:trPr/>
        <w:tc>
          <w:tcPr>
            <w:tcW w:w="332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Peer-relative book value performance</w:t>
            </w:r>
          </w:p>
        </w:tc>
        <w:tc>
          <w:tcPr>
            <w:tcW w:w="65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5.00%</w:t>
            </w:r>
          </w:p>
        </w:tc>
        <w:tc>
          <w:tcPr>
            <w:tcW w:w="65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8.75%</w:t>
            </w:r>
          </w:p>
        </w:tc>
        <w:tc>
          <w:tcPr>
            <w:tcW w:w="66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11.25%</w:t>
            </w:r>
          </w:p>
        </w:tc>
      </w:tr>
      <w:tr>
        <w:trPr/>
        <w:tc>
          <w:tcPr>
            <w:tcW w:w="3320" w:type="dxa"/>
            <w:tcBorders>
              <w:bottom w:val="single" w:sz="2" w:space="0" w:color="000000"/>
            </w:tcBorders>
            <w:vAlign w:val="center"/>
          </w:tcPr>
          <w:p>
            <w:pPr>
              <w:pStyle w:val="TableContents"/>
              <w:bidi w:val="0"/>
              <w:spacing w:before="0" w:after="0"/>
              <w:ind w:left="0" w:right="0" w:firstLine="54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for Measurement Period</w:t>
            </w:r>
          </w:p>
        </w:tc>
        <w:tc>
          <w:tcPr>
            <w:tcW w:w="65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20.00%</w:t>
            </w:r>
          </w:p>
        </w:tc>
        <w:tc>
          <w:tcPr>
            <w:tcW w:w="65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35.00%</w:t>
            </w:r>
          </w:p>
        </w:tc>
        <w:tc>
          <w:tcPr>
            <w:tcW w:w="66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45.00%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360"/>
        <w:jc w:val="left"/>
        <w:rPr>
          <w:rFonts w:ascii="Times New Roman" w:hAnsi="Times New Roman"/>
          <w:caps w:val="false"/>
          <w:smallCaps w:val="false"/>
          <w:sz w:val="20"/>
        </w:rPr>
      </w:pPr>
      <w:r>
        <w:rPr>
          <w:rFonts w:ascii="Times New Roman" w:hAnsi="Times New Roman"/>
          <w:caps w:val="false"/>
          <w:smallCaps w:val="false"/>
          <w:sz w:val="20"/>
        </w:rPr>
        <w:t>The Committee established the following performance measures and the performance thresholds that must be satisfied for awards to be earned under the 2026 Plan.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160" w:right="0" w:firstLine="360"/>
        <w:jc w:val="left"/>
        <w:rPr>
          <w:rFonts w:ascii="Times New Roman" w:hAnsi="Times New Roman"/>
          <w:caps w:val="false"/>
          <w:smallCaps w:val="false"/>
          <w:sz w:val="20"/>
        </w:rPr>
      </w:pPr>
      <w:r>
        <w:rPr>
          <w:rFonts w:ascii="Times New Roman" w:hAnsi="Times New Roman"/>
          <w:i/>
          <w:caps w:val="false"/>
          <w:smallCaps w:val="false"/>
          <w:sz w:val="20"/>
        </w:rPr>
        <w:t xml:space="preserve">Peer-Relative Financial Performance. </w:t>
      </w:r>
      <w:r>
        <w:rPr>
          <w:rFonts w:ascii="Times New Roman" w:hAnsi="Times New Roman"/>
          <w:caps w:val="false"/>
          <w:smallCaps w:val="false"/>
          <w:sz w:val="20"/>
        </w:rPr>
        <w:t>No amount will be earned for this performance measure unless the Company’s financial performance for the applicable measurement period exceeds the mean of the financial performance of the companies in the Peer Group (defined below) for the applicable measurement period. The financial performance of the Company and those in the Peer Group will equal the sum of total dividends paid during the measurement period and the change in book value during the measurement period divided by the book value on the first day of the applicable measurement period. The “Peer Group” consists of the following companies: AGNC Investment Corp., Annaly Capital Management, Inc., ARMOUR Residential REIT, Inc., Cherry Hill Mortgage Investment Corporation, Dynex Capital, Inc. and Invesco Mortgage Capital Inc. In the event that a company in the Peer Group merges with another entity, sells all or a significant portion of its business, dissolves, liquidates or the Committee determines that a company has substantially changed its business in such a way that it no longer conducts a similar business to the Company’s business, then such company will be removed from the Peer Group for the measurement period(s) when such event occurs.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160" w:right="0" w:firstLine="360"/>
        <w:jc w:val="left"/>
        <w:rPr>
          <w:rFonts w:ascii="Times New Roman" w:hAnsi="Times New Roman"/>
          <w:caps w:val="false"/>
          <w:smallCaps w:val="false"/>
          <w:sz w:val="20"/>
        </w:rPr>
      </w:pPr>
      <w:r>
        <w:rPr>
          <w:rFonts w:ascii="Times New Roman" w:hAnsi="Times New Roman"/>
          <w:i/>
          <w:caps w:val="false"/>
          <w:smallCaps w:val="false"/>
          <w:sz w:val="20"/>
        </w:rPr>
        <w:t xml:space="preserve">Agency RMBS Rate Relative Performance. </w:t>
      </w:r>
      <w:r>
        <w:rPr>
          <w:rFonts w:ascii="Times New Roman" w:hAnsi="Times New Roman"/>
          <w:caps w:val="false"/>
          <w:smallCaps w:val="false"/>
          <w:sz w:val="20"/>
        </w:rPr>
        <w:t>The Company’s performance under this performance measure will equal the sum of the change in book value during the applicable measurement period and total dividends paid during the measurement period. No amount will be earned for this performance measure unless the Company’s performance as calculated in the preceding sentence for the applicable measurement period exceeds the Agency RMBS rate multiplied by the number of years in the measurement period. The “Agency RMBS rate” will equal the yield on the Fannie Mae 30-year fixed rate current coupon mortgage as of the beginning of 2026 of 5.06584% (determined by averaging the rate as of the last business day of 2025 and the first business day of 2026) plus 400 bps, or 9.0658%.</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160" w:right="0" w:firstLine="360"/>
        <w:jc w:val="left"/>
        <w:rPr>
          <w:rFonts w:ascii="Times New Roman" w:hAnsi="Times New Roman"/>
          <w:caps w:val="false"/>
          <w:smallCaps w:val="false"/>
          <w:sz w:val="20"/>
        </w:rPr>
      </w:pPr>
      <w:r>
        <w:rPr>
          <w:rFonts w:ascii="Times New Roman" w:hAnsi="Times New Roman"/>
          <w:i/>
          <w:caps w:val="false"/>
          <w:smallCaps w:val="false"/>
          <w:sz w:val="20"/>
        </w:rPr>
        <w:t xml:space="preserve">Peer-Relative Book Value Performance. </w:t>
      </w:r>
      <w:r>
        <w:rPr>
          <w:rFonts w:ascii="Times New Roman" w:hAnsi="Times New Roman"/>
          <w:caps w:val="false"/>
          <w:smallCaps w:val="false"/>
          <w:sz w:val="20"/>
        </w:rPr>
        <w:t> No amount will be earned for this performance measure unless the Company’s change in book value for the applicable measurement period (calculated in accordance with the following sentence) exceeds the mean change in book value for the companies in the Peer Group. The change in book value for the Company and those in the Peer Group will be determined by subtracting the book value on the first day of the measurement period from the book value on the last day in the measurement period, with such amount divided by the book value on the first day of the measurement period.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60" w:right="0" w:firstLine="360"/>
        <w:jc w:val="left"/>
        <w:rPr>
          <w:rFonts w:ascii="Times New Roman" w:hAnsi="Times New Roman"/>
          <w:caps w:val="false"/>
          <w:smallCaps w:val="false"/>
          <w:sz w:val="20"/>
        </w:rPr>
      </w:pPr>
      <w:r>
        <w:rPr>
          <w:rFonts w:ascii="Times New Roman" w:hAnsi="Times New Roman"/>
          <w:caps w:val="false"/>
          <w:smallCaps w:val="false"/>
          <w:sz w:val="20"/>
        </w:rPr>
        <w:t>If the Company’s results for a performance measure equal or are less than the threshold for a measurement period, no amount will be added to the bonus pool for the measurement period with respect to that measurement criterion. The table below details the amounts by which the Company’s performance must exceed the threshold performance measures described above for the maximum bonus award to be added to the bonus pool. Linear interpolation will be used for results falling between the threshold and the result that must be achieved to earn the maximum award.</w:t>
      </w:r>
    </w:p>
    <w:p>
      <w:pPr>
        <w:pStyle w:val="TextBody"/>
        <w:bidi w:val="0"/>
        <w:spacing w:before="0" w:after="0"/>
        <w:ind w:left="0" w:right="0" w:hanging="0"/>
        <w:jc w:val="left"/>
        <w:rPr>
          <w:caps w:val="false"/>
          <w:smallCaps w:val="false"/>
        </w:rPr>
      </w:pPr>
      <w:r>
        <w:rPr>
          <w:caps w:val="false"/>
          <w:smallCaps w:val="false"/>
        </w:rPr>
        <w:t> </w:t>
      </w:r>
    </w:p>
    <w:tbl>
      <w:tblPr>
        <w:tblW w:w="7895" w:type="dxa"/>
        <w:jc w:val="left"/>
        <w:tblInd w:w="0" w:type="dxa"/>
        <w:tblLayout w:type="fixed"/>
        <w:tblCellMar>
          <w:top w:w="0" w:type="dxa"/>
          <w:left w:w="0" w:type="dxa"/>
          <w:bottom w:w="28" w:type="dxa"/>
          <w:right w:w="0" w:type="dxa"/>
        </w:tblCellMar>
      </w:tblPr>
      <w:tblGrid>
        <w:gridCol w:w="3305"/>
        <w:gridCol w:w="1460"/>
        <w:gridCol w:w="1565"/>
        <w:gridCol w:w="1565"/>
      </w:tblGrid>
      <w:tr>
        <w:trPr/>
        <w:tc>
          <w:tcPr>
            <w:tcW w:w="3305" w:type="dxa"/>
            <w:tcBorders>
              <w:bottom w:val="single" w:sz="2" w:space="0" w:color="000000"/>
            </w:tcBorders>
            <w:vAlign w:val="center"/>
          </w:tcPr>
          <w:p>
            <w:pPr>
              <w:pStyle w:val="TableContents"/>
              <w:bidi w:val="0"/>
              <w:spacing w:before="0" w:after="283"/>
              <w:jc w:val="left"/>
              <w:rPr/>
            </w:pPr>
            <w:r>
              <w:rPr/>
              <w:t> </w:t>
            </w:r>
          </w:p>
        </w:tc>
        <w:tc>
          <w:tcPr>
            <w:tcW w:w="146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1-year</w:t>
            </w:r>
          </w:p>
        </w:tc>
        <w:tc>
          <w:tcPr>
            <w:tcW w:w="156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3-year</w:t>
            </w:r>
          </w:p>
        </w:tc>
        <w:tc>
          <w:tcPr>
            <w:tcW w:w="156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5-year</w:t>
            </w:r>
          </w:p>
        </w:tc>
      </w:tr>
      <w:tr>
        <w:trPr/>
        <w:tc>
          <w:tcPr>
            <w:tcW w:w="330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Peer-relative financial performance</w:t>
            </w:r>
          </w:p>
        </w:tc>
        <w:tc>
          <w:tcPr>
            <w:tcW w:w="146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Threshold + 5.0%</w:t>
            </w:r>
          </w:p>
        </w:tc>
        <w:tc>
          <w:tcPr>
            <w:tcW w:w="156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Threshold + 10.0%</w:t>
            </w:r>
          </w:p>
        </w:tc>
        <w:tc>
          <w:tcPr>
            <w:tcW w:w="156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Threshold + 15.0%</w:t>
            </w:r>
          </w:p>
        </w:tc>
      </w:tr>
      <w:tr>
        <w:trPr/>
        <w:tc>
          <w:tcPr>
            <w:tcW w:w="330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Agency RMBS rate relative performance</w:t>
            </w:r>
          </w:p>
        </w:tc>
        <w:tc>
          <w:tcPr>
            <w:tcW w:w="146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Threshold + 5.0%</w:t>
            </w:r>
          </w:p>
        </w:tc>
        <w:tc>
          <w:tcPr>
            <w:tcW w:w="156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Threshold + 10.0%</w:t>
            </w:r>
          </w:p>
        </w:tc>
        <w:tc>
          <w:tcPr>
            <w:tcW w:w="156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Threshold + 15.0%</w:t>
            </w:r>
          </w:p>
        </w:tc>
      </w:tr>
      <w:tr>
        <w:trPr/>
        <w:tc>
          <w:tcPr>
            <w:tcW w:w="330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Peer-relative book value performance</w:t>
            </w:r>
          </w:p>
        </w:tc>
        <w:tc>
          <w:tcPr>
            <w:tcW w:w="146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Threshold + 2.0%</w:t>
            </w:r>
          </w:p>
        </w:tc>
        <w:tc>
          <w:tcPr>
            <w:tcW w:w="156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Threshold + 4.0%</w:t>
            </w:r>
          </w:p>
        </w:tc>
        <w:tc>
          <w:tcPr>
            <w:tcW w:w="156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Threshold + 6.0%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360"/>
        <w:jc w:val="left"/>
        <w:rPr>
          <w:rFonts w:ascii="Times New Roman" w:hAnsi="Times New Roman"/>
          <w:caps w:val="false"/>
          <w:smallCaps w:val="false"/>
          <w:sz w:val="20"/>
        </w:rPr>
      </w:pPr>
      <w:r>
        <w:rPr>
          <w:rFonts w:ascii="Times New Roman" w:hAnsi="Times New Roman"/>
          <w:caps w:val="false"/>
          <w:smallCaps w:val="false"/>
          <w:sz w:val="20"/>
        </w:rPr>
        <w:t>Awards for these three measurement periods will be paid no later than March 30 of the year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160" w:right="0" w:firstLine="360"/>
        <w:jc w:val="left"/>
        <w:rPr>
          <w:rFonts w:ascii="Times New Roman" w:hAnsi="Times New Roman"/>
          <w:caps w:val="false"/>
          <w:smallCaps w:val="false"/>
          <w:sz w:val="20"/>
        </w:rPr>
      </w:pPr>
      <w:r>
        <w:rPr>
          <w:rFonts w:ascii="Times New Roman" w:hAnsi="Times New Roman"/>
          <w:caps w:val="false"/>
          <w:smallCaps w:val="false"/>
          <w:sz w:val="20"/>
        </w:rPr>
        <w:t>following the end of the relevant measurement period. The Committee anticipates that 50% of earned bonuses will be paid in unrestricted shares of the Company’s common stock and 50% will be paid in the form of “Performance Units,” all of which will be issued under the 2021 Plan. The number of unrestricted shares of the Company’s common stock and Performance Units to be issued in satisfaction of the earned bonuses will be determined by dividing the amount of such bonus by the average closing price of the Company’s common stock on the New York Stock Exchange for the 10 trading days preceding the grant date of the common stock and Performance Units rounded down to the nearest whole number, with a cash payment issued in lieu of any fractional share of common stock or Performance Unit. The Performance Units will vest at the rate of 10% per quarter commencing with the first quarter after the one year anniversary of the end of the applicable measurement period, with the Participant receiving one share of the Company’s common stock for each Performance Unit that vests. The Participant must continue to be employed by the Company as of the end of each such quarter in order to vest in the number of Performance Units scheduled to vest on that date. In the event of a Change in Control (as defined in the 2021 Plan) or the death or disability of the Participant, all of his or her Performance Units will be vested. When vested, each Performance Unit will be settled by the issuance of one share of the Company’s common stock, at which time the Performance Unit shall be cancelled immediately, but in no case later than March 30 of the year after the year in which the Performance Units vest.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160" w:right="0" w:firstLine="360"/>
        <w:jc w:val="left"/>
        <w:rPr>
          <w:rFonts w:ascii="Times New Roman" w:hAnsi="Times New Roman"/>
          <w:caps w:val="false"/>
          <w:smallCaps w:val="false"/>
          <w:sz w:val="20"/>
        </w:rPr>
      </w:pPr>
      <w:r>
        <w:rPr>
          <w:rFonts w:ascii="Times New Roman" w:hAnsi="Times New Roman"/>
          <w:caps w:val="false"/>
          <w:smallCaps w:val="false"/>
          <w:sz w:val="20"/>
        </w:rPr>
        <w:t>The Performance Units will contain dividend equivalent rights which entitle the Participants to receive distributions declared by the Company on common stock. One Performance Unit is equivalent to one share of common stock for purposes of the dividend equivalent rights. Other than dividend equivalent rights, the Performance Units do not entitle the Participants to any of the rights of a stockholder of the Company.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160" w:right="0" w:firstLine="360"/>
        <w:jc w:val="left"/>
        <w:rPr>
          <w:rFonts w:ascii="Times New Roman" w:hAnsi="Times New Roman"/>
          <w:caps w:val="false"/>
          <w:smallCaps w:val="false"/>
          <w:sz w:val="20"/>
        </w:rPr>
      </w:pPr>
      <w:r>
        <w:rPr>
          <w:rFonts w:ascii="Times New Roman" w:hAnsi="Times New Roman"/>
          <w:caps w:val="false"/>
          <w:smallCaps w:val="false"/>
          <w:sz w:val="20"/>
        </w:rPr>
        <w:t>The number of outstanding Performance Units will be subject to the following adjustments prior to the date on which such Performance Unit vests: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160" w:right="0" w:firstLine="360"/>
        <w:jc w:val="left"/>
        <w:rPr>
          <w:rFonts w:ascii="Times New Roman" w:hAnsi="Times New Roman"/>
          <w:caps w:val="false"/>
          <w:smallCaps w:val="false"/>
          <w:sz w:val="20"/>
        </w:rPr>
      </w:pPr>
      <w:r>
        <w:rPr>
          <w:rFonts w:ascii="Times New Roman" w:hAnsi="Times New Roman"/>
          <w:i/>
          <w:caps w:val="false"/>
          <w:smallCaps w:val="false"/>
          <w:sz w:val="20"/>
        </w:rPr>
        <w:t>Book Value Impairment</w:t>
      </w:r>
      <w:r>
        <w:rPr>
          <w:rFonts w:ascii="Times New Roman" w:hAnsi="Times New Roman"/>
          <w:caps w:val="false"/>
          <w:smallCaps w:val="false"/>
          <w:sz w:val="20"/>
        </w:rPr>
        <w:t>.  A “Book Value Impairment” will occur if over any two consecutive quarters the following conditions are satisfied: (i) the Company’s book value per share declines by 15% or more during the first of such two quarters and (ii) the Company’s book value per share decline from the beginning of such two quarters to the end of such two quarters is at least 10%. If a Book Value Impairment occurs, then the number of Performance Units that are outstanding as of the last day of such two quarter period shall be reduced by 15%.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60" w:right="0" w:firstLine="360"/>
        <w:jc w:val="left"/>
        <w:rPr>
          <w:rFonts w:ascii="Times New Roman" w:hAnsi="Times New Roman"/>
          <w:caps w:val="false"/>
          <w:smallCaps w:val="false"/>
          <w:sz w:val="20"/>
        </w:rPr>
      </w:pPr>
      <w:r>
        <w:rPr>
          <w:rFonts w:ascii="Times New Roman" w:hAnsi="Times New Roman"/>
          <w:i/>
          <w:caps w:val="false"/>
          <w:smallCaps w:val="false"/>
          <w:sz w:val="20"/>
        </w:rPr>
        <w:t>Extraordinary Book Value Preservation</w:t>
      </w:r>
      <w:r>
        <w:rPr>
          <w:rFonts w:ascii="Times New Roman" w:hAnsi="Times New Roman"/>
          <w:caps w:val="false"/>
          <w:smallCaps w:val="false"/>
          <w:sz w:val="20"/>
        </w:rPr>
        <w:t>.  “Extraordinary Book Value Preservation” will occur in any quarter in which the following conditions are satisfied: (i) the median change in the book value per share of the companies in the Peer Group (the “Median Book Value Decline”) is a decline of 6% or more and (ii) the Company’s book value per share either (a) increases or (b) declines by a percentage that is less than 50% of the Median Book Value Decline. If an event of Extraordinary Book Value Preservation occurs, then the number of Performance Units that are outstanding as of the last day of the quarter in which the Extraordinary Book Value Preservation has occurred shall be increased by 5 basis points for every 1 basis point of difference between the Company’s book value per share percentage change and the Median Book Value Decline during such quarter.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160" w:right="0" w:firstLine="360"/>
        <w:jc w:val="left"/>
        <w:rPr>
          <w:rFonts w:ascii="Times New Roman" w:hAnsi="Times New Roman"/>
          <w:caps w:val="false"/>
          <w:smallCaps w:val="false"/>
          <w:sz w:val="20"/>
        </w:rPr>
      </w:pPr>
      <w:r>
        <w:rPr>
          <w:rFonts w:ascii="Times New Roman" w:hAnsi="Times New Roman"/>
          <w:i/>
          <w:caps w:val="false"/>
          <w:smallCaps w:val="false"/>
          <w:sz w:val="20"/>
        </w:rPr>
        <w:t>Outperform All Peer Companies</w:t>
      </w:r>
      <w:r>
        <w:rPr>
          <w:rFonts w:ascii="Times New Roman" w:hAnsi="Times New Roman"/>
          <w:caps w:val="false"/>
          <w:smallCaps w:val="false"/>
          <w:sz w:val="20"/>
        </w:rPr>
        <w:t>.  The Company will “Outperform All Peer Companies” in any quarter in which the following conditions are satisfied: (i) the companies in the Peer Group all experience a decline in book value per share and (ii) the Company’s book value per share either (a) increases or (b) declines by an amount that is less than the decline experienced by each company in the Peer Group. If the Company Outperforms All Peer Companies in any quarter, then the number of Performance Units that are outstanding as of the last day of such quarter shall increase by 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Discretionary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360"/>
        <w:jc w:val="left"/>
        <w:rPr>
          <w:rFonts w:ascii="Times New Roman" w:hAnsi="Times New Roman"/>
          <w:caps w:val="false"/>
          <w:smallCaps w:val="false"/>
          <w:sz w:val="20"/>
        </w:rPr>
      </w:pPr>
      <w:r>
        <w:rPr>
          <w:rFonts w:ascii="Times New Roman" w:hAnsi="Times New Roman"/>
          <w:caps w:val="false"/>
          <w:smallCaps w:val="false"/>
          <w:sz w:val="20"/>
        </w:rPr>
        <w:t>In addition to the awards under the 2026 Plan described above, the Committee may grant awards under the 2026 Plan and the 2021 Plan on a discretionary basis. The Committee may grant discretionary awards for 2026 as permitted under the 2021 Plan, including to reward Participants when the Company grows its capital base in an effort to lower its cost structure compared to the size of its equity capital base. Specifically, the Committee may consider granting awards to Participants when the Manager successfully grows the Company’s capital base while containing its cost structure, such as general and administrative expenses (inclusive of the management fee paid to the Manager), and reducing the Company’s cost structure as a percentage of its equity capital base relative to those of the Peer Group.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160" w:right="0" w:firstLine="360"/>
        <w:jc w:val="left"/>
        <w:rPr>
          <w:rFonts w:ascii="Times New Roman" w:hAnsi="Times New Roman"/>
          <w:caps w:val="false"/>
          <w:smallCaps w:val="false"/>
          <w:sz w:val="20"/>
        </w:rPr>
      </w:pPr>
      <w:r>
        <w:rPr>
          <w:rFonts w:ascii="Times New Roman" w:hAnsi="Times New Roman"/>
          <w:caps w:val="false"/>
          <w:smallCaps w:val="false"/>
          <w:sz w:val="20"/>
        </w:rPr>
        <w:t>The Committee anticipates adopting similar plans for future years with modifications to the performance measures and hurdle rates as the Committee deems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2" w:name="ex_951321.htm"/>
      <w:bookmarkStart w:id="23" w:name="ksex_951321"/>
      <w:bookmarkEnd w:id="22"/>
      <w:bookmarkEnd w:id="23"/>
      <w:r>
        <w:rPr>
          <w:rFonts w:ascii="Times New Roman;Times;serif" w:hAnsi="Times New Roman;Times;serif"/>
          <w:b/>
          <w:sz w:val="20"/>
        </w:rPr>
        <w:t>Exhibit 10.2</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FOURTH AMENDMENT TO</w:t>
      </w:r>
      <w:r>
        <w:rPr>
          <w:rFonts w:ascii="Times New Roman" w:hAnsi="Times New Roman"/>
          <w:caps w:val="false"/>
          <w:smallCaps w:val="false"/>
          <w:sz w:val="20"/>
        </w:rPr>
        <w:br/>
      </w:r>
      <w:r>
        <w:rPr>
          <w:rFonts w:ascii="Times New Roman" w:hAnsi="Times New Roman"/>
          <w:b/>
          <w:caps w:val="false"/>
          <w:smallCaps w:val="false"/>
          <w:sz w:val="20"/>
        </w:rPr>
        <w:t>MANAGEMENT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THIS FOURTH AMENDMENT TO MANAGEMENT AGREEMENT</w:t>
      </w:r>
      <w:r>
        <w:rPr>
          <w:rFonts w:ascii="Times New Roman" w:hAnsi="Times New Roman"/>
          <w:caps w:val="false"/>
          <w:smallCaps w:val="false"/>
          <w:sz w:val="20"/>
        </w:rPr>
        <w:t xml:space="preserve"> (the “</w:t>
      </w:r>
      <w:r>
        <w:rPr>
          <w:rFonts w:ascii="Times New Roman" w:hAnsi="Times New Roman"/>
          <w:b/>
          <w:caps w:val="false"/>
          <w:smallCaps w:val="false"/>
          <w:sz w:val="20"/>
          <w:u w:val="single"/>
        </w:rPr>
        <w:t>Amendment</w:t>
      </w:r>
      <w:r>
        <w:rPr>
          <w:rFonts w:ascii="Times New Roman" w:hAnsi="Times New Roman"/>
          <w:caps w:val="false"/>
          <w:smallCaps w:val="false"/>
          <w:sz w:val="20"/>
        </w:rPr>
        <w:t>”) is entered into as of April 23, 2026 (the “</w:t>
      </w:r>
      <w:r>
        <w:rPr>
          <w:rFonts w:ascii="Times New Roman" w:hAnsi="Times New Roman"/>
          <w:b/>
          <w:caps w:val="false"/>
          <w:smallCaps w:val="false"/>
          <w:sz w:val="20"/>
          <w:u w:val="single"/>
        </w:rPr>
        <w:t>Effective Date</w:t>
      </w:r>
      <w:r>
        <w:rPr>
          <w:rFonts w:ascii="Times New Roman" w:hAnsi="Times New Roman"/>
          <w:caps w:val="false"/>
          <w:smallCaps w:val="false"/>
          <w:sz w:val="20"/>
        </w:rPr>
        <w:t>”), by and between Orchid Island Capital, Inc., a Maryland corporation (the “</w:t>
      </w:r>
      <w:r>
        <w:rPr>
          <w:rFonts w:ascii="Times New Roman" w:hAnsi="Times New Roman"/>
          <w:b/>
          <w:caps w:val="false"/>
          <w:smallCaps w:val="false"/>
          <w:sz w:val="20"/>
          <w:u w:val="single"/>
        </w:rPr>
        <w:t>Company</w:t>
      </w:r>
      <w:r>
        <w:rPr>
          <w:rFonts w:ascii="Times New Roman" w:hAnsi="Times New Roman"/>
          <w:caps w:val="false"/>
          <w:smallCaps w:val="false"/>
          <w:sz w:val="20"/>
        </w:rPr>
        <w:t>”), and Bimini Advisors, LLC, a Maryland limited liability company (“</w:t>
      </w:r>
      <w:r>
        <w:rPr>
          <w:rFonts w:ascii="Times New Roman" w:hAnsi="Times New Roman"/>
          <w:b/>
          <w:caps w:val="false"/>
          <w:smallCaps w:val="false"/>
          <w:sz w:val="20"/>
          <w:u w:val="single"/>
        </w:rPr>
        <w:t>Manager</w:t>
      </w:r>
      <w:r>
        <w:rPr>
          <w:rFonts w:ascii="Times New Roman" w:hAnsi="Times New Roman"/>
          <w:caps w:val="false"/>
          <w:smallCaps w:val="false"/>
          <w:sz w:val="20"/>
        </w:rPr>
        <w:t>”), with an effective date as of April 1, 2026. Capitalized terms used but not defined in this Amendment shall have the meanings set forth in the Agreement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 I T N E S S E T 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the Company and the Manager entered into a Management Agreement effective as of February 20, 2013, the First Amendment to Management Agreement effective as of April 1, 2014, the Second Amendment to Management Agreement effective as of June 30, 2014 and the Third Amendment to Management Agreement effective as of November 16, 2021 (collectively, the “</w:t>
      </w:r>
      <w:r>
        <w:rPr>
          <w:rFonts w:ascii="Times New Roman" w:hAnsi="Times New Roman"/>
          <w:b/>
          <w:caps w:val="false"/>
          <w:smallCaps w:val="false"/>
          <w:sz w:val="20"/>
          <w:u w:val="single"/>
        </w:rPr>
        <w:t>Agreement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the Manager is a wholly-owned subsidiary of Bimini Capital Management, Inc. (“</w:t>
      </w:r>
      <w:r>
        <w:rPr>
          <w:rFonts w:ascii="Times New Roman" w:hAnsi="Times New Roman"/>
          <w:b/>
          <w:caps w:val="false"/>
          <w:smallCaps w:val="false"/>
          <w:sz w:val="20"/>
          <w:u w:val="single"/>
        </w:rPr>
        <w:t>Bimini</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Bimini acquired eighty percent (80%) of the fully diluted equity interests of Tom Johnson Investment Management, LLC, a privately held registered investment adviser (“</w:t>
      </w:r>
      <w:r>
        <w:rPr>
          <w:rFonts w:ascii="Times New Roman" w:hAnsi="Times New Roman"/>
          <w:b/>
          <w:caps w:val="false"/>
          <w:smallCaps w:val="false"/>
          <w:sz w:val="20"/>
          <w:u w:val="single"/>
        </w:rPr>
        <w:t>TGIM</w:t>
      </w:r>
      <w:r>
        <w:rPr>
          <w:rFonts w:ascii="Times New Roman" w:hAnsi="Times New Roman"/>
          <w:caps w:val="false"/>
          <w:smallCaps w:val="false"/>
          <w:sz w:val="20"/>
        </w:rPr>
        <w:t>”), on April 1, 2026;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in connection with Bimini’s acquisition of TGIM, the Company and the Manager now desire to amend the Agreement on the terms set forth herein to more fairly allocate certain of the expenses between the Company and the Manager.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NOW</w:t>
      </w:r>
      <w:r>
        <w:rPr>
          <w:rFonts w:ascii="Times New Roman" w:hAnsi="Times New Roman"/>
          <w:caps w:val="false"/>
          <w:smallCaps w:val="false"/>
          <w:sz w:val="20"/>
        </w:rPr>
        <w:t xml:space="preserve">, </w:t>
      </w:r>
      <w:r>
        <w:rPr>
          <w:rFonts w:ascii="Times New Roman" w:hAnsi="Times New Roman"/>
          <w:b/>
          <w:caps w:val="false"/>
          <w:smallCaps w:val="false"/>
          <w:sz w:val="20"/>
        </w:rPr>
        <w:t>THEREFORE</w:t>
      </w:r>
      <w:r>
        <w:rPr>
          <w:rFonts w:ascii="Times New Roman" w:hAnsi="Times New Roman"/>
          <w:caps w:val="false"/>
          <w:smallCaps w:val="false"/>
          <w:sz w:val="20"/>
        </w:rPr>
        <w:t>, in consideration of the premises and agreements contained herein, and for other good and valuable consideration, the receipt and sufficiency of which are expressly acknowledged, the parties hereby amend and modify the Agreement in the manner set forth below:</w:t>
      </w:r>
    </w:p>
    <w:p>
      <w:pPr>
        <w:pStyle w:val="TextBody"/>
        <w:bidi w:val="0"/>
        <w:spacing w:before="0" w:after="0"/>
        <w:ind w:left="0" w:right="0" w:hanging="0"/>
        <w:jc w:val="left"/>
        <w:rPr>
          <w:caps w:val="false"/>
          <w:smallCaps w:val="false"/>
        </w:rPr>
      </w:pPr>
      <w:r>
        <w:rPr>
          <w:caps w:val="false"/>
          <w:smallCaps w:val="false"/>
        </w:rPr>
        <w:t> </w:t>
      </w:r>
    </w:p>
    <w:tbl>
      <w:tblPr>
        <w:tblW w:w="7135" w:type="dxa"/>
        <w:jc w:val="left"/>
        <w:tblInd w:w="0" w:type="dxa"/>
        <w:tblLayout w:type="fixed"/>
        <w:tblCellMar>
          <w:top w:w="0" w:type="dxa"/>
          <w:left w:w="0" w:type="dxa"/>
          <w:bottom w:w="0" w:type="dxa"/>
          <w:right w:w="0" w:type="dxa"/>
        </w:tblCellMar>
      </w:tblPr>
      <w:tblGrid>
        <w:gridCol w:w="170"/>
        <w:gridCol w:w="696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69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7(b)(xiii) of the Agreement is hereby deleted and replaced with the following: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 w:hAnsi="Times New Roman"/>
          <w:caps w:val="false"/>
          <w:smallCaps w:val="false"/>
          <w:sz w:val="20"/>
        </w:rPr>
        <w:t>(xiii) all travel and related expenses of directors, officers and employees of the Company and the Manager, incurred in connection with attending meetings of the Board of Directors or holders of securities of the Company or any Subsidiary or performing other business activities that relate to the Company or any Subsidiary, including, without limitation, travel and related expenses incurred in connection with the purchase, consideration for purchase, financing, refinancing, sale or other disposition of any investment or potential investment of the Company; provided, however, that the Company shall only be responsible for its pro rata share of such expenses where such expenses were not incurred solely for the benefit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6970" w:type="dxa"/>
        <w:jc w:val="left"/>
        <w:tblInd w:w="0" w:type="dxa"/>
        <w:tblLayout w:type="fixed"/>
        <w:tblCellMar>
          <w:top w:w="0" w:type="dxa"/>
          <w:left w:w="0" w:type="dxa"/>
          <w:bottom w:w="0" w:type="dxa"/>
          <w:right w:w="0" w:type="dxa"/>
        </w:tblCellMar>
      </w:tblPr>
      <w:tblGrid>
        <w:gridCol w:w="170"/>
        <w:gridCol w:w="680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68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7(b)(xvi) of the Agreement is hereby deleted and replaced by the following: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 w:hAnsi="Times New Roman"/>
          <w:caps w:val="false"/>
          <w:smallCaps w:val="false"/>
          <w:sz w:val="20"/>
        </w:rPr>
        <w:t>(xvi) all costs and expenses related to (A) the design and maintenance of the Company’s web site or sites and (B) the Company’s pro rata share, based on the relative revenue of the Company and Bimini (excluding any expense reimbursements pursuant to this Agreement) for (I) the immediately preceding fiscal year for purposes of each of the first and second quarters and (II) the first six months of the fiscal year for purposes of each of the third and fourth quarters, of any computer software, hardware or information technology services that is used by the Company;”</w:t>
      </w:r>
    </w:p>
    <w:p>
      <w:pPr>
        <w:pStyle w:val="TextBody"/>
        <w:bidi w:val="0"/>
        <w:spacing w:before="0" w:after="0"/>
        <w:ind w:left="0" w:right="0" w:hanging="0"/>
        <w:jc w:val="left"/>
        <w:rPr>
          <w:caps w:val="false"/>
          <w:smallCaps w:val="false"/>
        </w:rPr>
      </w:pPr>
      <w:r>
        <w:rPr>
          <w:caps w:val="false"/>
          <w:smallCaps w:val="false"/>
        </w:rPr>
        <w:t> </w:t>
      </w:r>
    </w:p>
    <w:tbl>
      <w:tblPr>
        <w:tblW w:w="7030" w:type="dxa"/>
        <w:jc w:val="left"/>
        <w:tblInd w:w="0" w:type="dxa"/>
        <w:tblLayout w:type="fixed"/>
        <w:tblCellMar>
          <w:top w:w="0" w:type="dxa"/>
          <w:left w:w="0" w:type="dxa"/>
          <w:bottom w:w="0" w:type="dxa"/>
          <w:right w:w="0" w:type="dxa"/>
        </w:tblCellMar>
      </w:tblPr>
      <w:tblGrid>
        <w:gridCol w:w="170"/>
        <w:gridCol w:w="686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68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7(b)(xvii) of the Agreement is hereby deleted and replaced by the following: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 w:hAnsi="Times New Roman"/>
          <w:caps w:val="false"/>
          <w:smallCaps w:val="false"/>
          <w:sz w:val="20"/>
        </w:rPr>
        <w:t>(xvii) all costs and expenses incurred with respect to market information systems and publications, research publications and materials, and settlement, clearing and custodial fees and expenses; provided, however, that the Company shall only be responsible for its pro rata share of such expenses, based on the Company’s percentage of the aggregate amount of the Manager’s RMBS assets under management (measured as of the first day of each month), where such expenses were not incurred solely for the benefit of the Company;”</w:t>
      </w:r>
    </w:p>
    <w:p>
      <w:pPr>
        <w:pStyle w:val="TextBody"/>
        <w:bidi w:val="0"/>
        <w:spacing w:before="0" w:after="0"/>
        <w:ind w:left="0" w:right="0" w:hanging="0"/>
        <w:jc w:val="left"/>
        <w:rPr>
          <w:caps w:val="false"/>
          <w:smallCaps w:val="false"/>
        </w:rPr>
      </w:pPr>
      <w:r>
        <w:rPr>
          <w:caps w:val="false"/>
          <w:smallCaps w:val="false"/>
        </w:rPr>
        <w:t> </w:t>
      </w:r>
    </w:p>
    <w:tbl>
      <w:tblPr>
        <w:tblW w:w="6970" w:type="dxa"/>
        <w:jc w:val="left"/>
        <w:tblInd w:w="0" w:type="dxa"/>
        <w:tblLayout w:type="fixed"/>
        <w:tblCellMar>
          <w:top w:w="0" w:type="dxa"/>
          <w:left w:w="0" w:type="dxa"/>
          <w:bottom w:w="0" w:type="dxa"/>
          <w:right w:w="0" w:type="dxa"/>
        </w:tblCellMar>
      </w:tblPr>
      <w:tblGrid>
        <w:gridCol w:w="170"/>
        <w:gridCol w:w="680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68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7(b)(xix) of the Agreement is hereby deleted and replaced by the following: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 w:hAnsi="Times New Roman"/>
          <w:caps w:val="false"/>
          <w:smallCaps w:val="false"/>
          <w:sz w:val="20"/>
        </w:rPr>
        <w:t>(xix) rent (including disaster recovery facilities costs and expenses), telephone, utilities, office furniture, equipment, machinery and other office, internal and overhead expenses of the Manager and its Affiliates required for the Company’s operations; provided, however, that the Company shall only be responsible for its pro rata share of such expenses, based on the relative revenue of the Company and Bimini (excluding any expense reimbursements pursuant to this Agreement) for (I) the immediately preceding fiscal year for purposes of each of the first and second quarters and (II) the first six months of the fiscal year for purposes of each of the third and fourth quarters, where such expenses were not incurred solely for the benefit of the Company; and;”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0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This Amendment constitutes an amendment or modification of the Agreement that is entered into pursuant to Section 16(d) of the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w:t>
            </w:r>
          </w:p>
        </w:tc>
        <w:tc>
          <w:tcPr>
            <w:tcW w:w="100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Except as set forth in this Amendment, the parties acknowledge and agree that all other terms of the Agreement shall remain in full force and effect.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6"/>
        <w:gridCol w:w="10069"/>
      </w:tblGrid>
      <w:tr>
        <w:trPr/>
        <w:tc>
          <w:tcPr>
            <w:tcW w:w="1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7.</w:t>
            </w:r>
          </w:p>
        </w:tc>
        <w:tc>
          <w:tcPr>
            <w:tcW w:w="100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prior agreements, promises, representations, or statements, whether oral or in writing, regarding this Amendment are merged and integrated herein. This Amendment and the Agreement, as so amended, constitute the entire agreement with respect to the subject matter hereof. No amendments, waivers or modifications to the terms of the Agreement shall be valid unless set forth in writing and signed by the Company and the Manager.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w:t>
            </w:r>
          </w:p>
        </w:tc>
        <w:tc>
          <w:tcPr>
            <w:tcW w:w="100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This Amendment may be executed in counterparts, each of which will be deemed an original, and all of which taken together shall constitute a single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the parties hereto have executed this Amendment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13"/>
        <w:gridCol w:w="571"/>
        <w:gridCol w:w="4254"/>
        <w:gridCol w:w="1067"/>
      </w:tblGrid>
      <w:tr>
        <w:trPr/>
        <w:tc>
          <w:tcPr>
            <w:tcW w:w="4313" w:type="dxa"/>
            <w:tcBorders/>
          </w:tcPr>
          <w:p>
            <w:pPr>
              <w:pStyle w:val="TableContents"/>
              <w:bidi w:val="0"/>
              <w:spacing w:before="0" w:after="0"/>
              <w:ind w:left="0" w:right="0" w:hanging="0"/>
              <w:jc w:val="left"/>
              <w:rPr/>
            </w:pPr>
            <w:r>
              <w:rPr/>
              <w:t> </w:t>
            </w:r>
          </w:p>
        </w:tc>
        <w:tc>
          <w:tcPr>
            <w:tcW w:w="4825" w:type="dxa"/>
            <w:gridSpan w:val="2"/>
            <w:tcBorders/>
          </w:tcPr>
          <w:p>
            <w:pPr>
              <w:pStyle w:val="TableContents"/>
              <w:bidi w:val="0"/>
              <w:spacing w:before="0" w:after="283"/>
              <w:jc w:val="left"/>
              <w:rPr>
                <w:b/>
              </w:rPr>
            </w:pPr>
            <w:r>
              <w:rPr>
                <w:b/>
              </w:rPr>
              <w:t>ORCHID ISLAND CAPITAL, INC.</w:t>
            </w:r>
          </w:p>
        </w:tc>
        <w:tc>
          <w:tcPr>
            <w:tcW w:w="1067" w:type="dxa"/>
            <w:tcBorders/>
          </w:tcPr>
          <w:p>
            <w:pPr>
              <w:pStyle w:val="TableContents"/>
              <w:bidi w:val="0"/>
              <w:spacing w:before="0" w:after="0"/>
              <w:ind w:left="0" w:right="0" w:hanging="0"/>
              <w:jc w:val="left"/>
              <w:rPr/>
            </w:pPr>
            <w:r>
              <w:rPr/>
              <w:t> </w:t>
            </w:r>
          </w:p>
        </w:tc>
      </w:tr>
      <w:tr>
        <w:trPr/>
        <w:tc>
          <w:tcPr>
            <w:tcW w:w="4313" w:type="dxa"/>
            <w:tcBorders/>
          </w:tcPr>
          <w:p>
            <w:pPr>
              <w:pStyle w:val="TableContents"/>
              <w:bidi w:val="0"/>
              <w:spacing w:before="0" w:after="0"/>
              <w:ind w:left="0" w:right="0" w:hanging="0"/>
              <w:jc w:val="left"/>
              <w:rPr/>
            </w:pPr>
            <w:r>
              <w:rPr/>
              <w:t> </w:t>
            </w:r>
          </w:p>
        </w:tc>
        <w:tc>
          <w:tcPr>
            <w:tcW w:w="571" w:type="dxa"/>
            <w:tcBorders/>
          </w:tcPr>
          <w:p>
            <w:pPr>
              <w:pStyle w:val="TableContents"/>
              <w:bidi w:val="0"/>
              <w:spacing w:before="0" w:after="0"/>
              <w:ind w:left="0" w:right="0" w:hanging="0"/>
              <w:jc w:val="left"/>
              <w:rPr/>
            </w:pPr>
            <w:r>
              <w:rPr/>
              <w:t> </w:t>
            </w:r>
          </w:p>
        </w:tc>
        <w:tc>
          <w:tcPr>
            <w:tcW w:w="4254" w:type="dxa"/>
            <w:tcBorders/>
          </w:tcPr>
          <w:p>
            <w:pPr>
              <w:pStyle w:val="TableContents"/>
              <w:bidi w:val="0"/>
              <w:spacing w:before="0" w:after="0"/>
              <w:ind w:left="0" w:right="0" w:hanging="0"/>
              <w:jc w:val="left"/>
              <w:rPr/>
            </w:pPr>
            <w:r>
              <w:rPr/>
              <w:t> </w:t>
            </w:r>
          </w:p>
        </w:tc>
        <w:tc>
          <w:tcPr>
            <w:tcW w:w="1067" w:type="dxa"/>
            <w:tcBorders/>
          </w:tcPr>
          <w:p>
            <w:pPr>
              <w:pStyle w:val="TableContents"/>
              <w:bidi w:val="0"/>
              <w:spacing w:before="0" w:after="0"/>
              <w:ind w:left="0" w:right="0" w:hanging="0"/>
              <w:jc w:val="left"/>
              <w:rPr/>
            </w:pPr>
            <w:r>
              <w:rPr/>
              <w:t> </w:t>
            </w:r>
          </w:p>
        </w:tc>
      </w:tr>
      <w:tr>
        <w:trPr/>
        <w:tc>
          <w:tcPr>
            <w:tcW w:w="4313" w:type="dxa"/>
            <w:tcBorders/>
          </w:tcPr>
          <w:p>
            <w:pPr>
              <w:pStyle w:val="TableContents"/>
              <w:bidi w:val="0"/>
              <w:spacing w:before="0" w:after="0"/>
              <w:ind w:left="0" w:right="0" w:hanging="0"/>
              <w:jc w:val="left"/>
              <w:rPr/>
            </w:pPr>
            <w:r>
              <w:rPr/>
              <w:t> </w:t>
            </w:r>
          </w:p>
        </w:tc>
        <w:tc>
          <w:tcPr>
            <w:tcW w:w="571" w:type="dxa"/>
            <w:tcBorders/>
          </w:tcPr>
          <w:p>
            <w:pPr>
              <w:pStyle w:val="TableContents"/>
              <w:bidi w:val="0"/>
              <w:spacing w:before="0" w:after="0"/>
              <w:ind w:left="0" w:right="0" w:hanging="0"/>
              <w:jc w:val="left"/>
              <w:rPr/>
            </w:pPr>
            <w:r>
              <w:rPr/>
              <w:t> </w:t>
            </w:r>
          </w:p>
        </w:tc>
        <w:tc>
          <w:tcPr>
            <w:tcW w:w="4254" w:type="dxa"/>
            <w:tcBorders/>
            <w:vAlign w:val="bottom"/>
          </w:tcPr>
          <w:p>
            <w:pPr>
              <w:pStyle w:val="TableContents"/>
              <w:bidi w:val="0"/>
              <w:spacing w:before="0" w:after="0"/>
              <w:ind w:left="0" w:right="0" w:hanging="0"/>
              <w:jc w:val="left"/>
              <w:rPr/>
            </w:pPr>
            <w:r>
              <w:rPr/>
              <w:t> </w:t>
            </w:r>
          </w:p>
        </w:tc>
        <w:tc>
          <w:tcPr>
            <w:tcW w:w="1067" w:type="dxa"/>
            <w:tcBorders/>
          </w:tcPr>
          <w:p>
            <w:pPr>
              <w:pStyle w:val="TableContents"/>
              <w:bidi w:val="0"/>
              <w:spacing w:before="0" w:after="0"/>
              <w:ind w:left="0" w:right="0" w:hanging="0"/>
              <w:jc w:val="left"/>
              <w:rPr/>
            </w:pPr>
            <w:r>
              <w:rPr/>
              <w:t> </w:t>
            </w:r>
          </w:p>
        </w:tc>
      </w:tr>
      <w:tr>
        <w:trPr/>
        <w:tc>
          <w:tcPr>
            <w:tcW w:w="4313" w:type="dxa"/>
            <w:tcBorders/>
          </w:tcPr>
          <w:p>
            <w:pPr>
              <w:pStyle w:val="TableContents"/>
              <w:bidi w:val="0"/>
              <w:spacing w:before="0" w:after="0"/>
              <w:ind w:left="0" w:right="0" w:hanging="0"/>
              <w:jc w:val="left"/>
              <w:rPr/>
            </w:pPr>
            <w:r>
              <w:rPr/>
              <w:t> </w:t>
            </w:r>
          </w:p>
        </w:tc>
        <w:tc>
          <w:tcPr>
            <w:tcW w:w="571"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4254" w:type="dxa"/>
            <w:tcBorders>
              <w:bottom w:val="single" w:sz="2" w:space="0" w:color="000000"/>
            </w:tcBorders>
            <w:tcMar>
              <w:bottom w:w="28" w:type="dxa"/>
            </w:tcMar>
          </w:tcPr>
          <w:p>
            <w:pPr>
              <w:pStyle w:val="TableContents"/>
              <w:bidi w:val="0"/>
              <w:spacing w:before="0" w:after="283"/>
              <w:jc w:val="left"/>
              <w:rPr/>
            </w:pPr>
            <w:r>
              <w:rPr/>
              <w:t>/s/ Robert E. Cauley</w:t>
            </w:r>
          </w:p>
        </w:tc>
        <w:tc>
          <w:tcPr>
            <w:tcW w:w="1067" w:type="dxa"/>
            <w:tcBorders/>
          </w:tcPr>
          <w:p>
            <w:pPr>
              <w:pStyle w:val="TableContents"/>
              <w:bidi w:val="0"/>
              <w:spacing w:before="0" w:after="0"/>
              <w:ind w:left="0" w:right="0" w:hanging="0"/>
              <w:jc w:val="left"/>
              <w:rPr/>
            </w:pPr>
            <w:r>
              <w:rPr/>
              <w:t> </w:t>
            </w:r>
          </w:p>
        </w:tc>
      </w:tr>
      <w:tr>
        <w:trPr/>
        <w:tc>
          <w:tcPr>
            <w:tcW w:w="4313" w:type="dxa"/>
            <w:tcBorders/>
          </w:tcPr>
          <w:p>
            <w:pPr>
              <w:pStyle w:val="TableContents"/>
              <w:bidi w:val="0"/>
              <w:spacing w:before="0" w:after="0"/>
              <w:ind w:left="0" w:right="0" w:hanging="0"/>
              <w:jc w:val="left"/>
              <w:rPr/>
            </w:pPr>
            <w:r>
              <w:rPr/>
              <w:t> </w:t>
            </w:r>
          </w:p>
        </w:tc>
        <w:tc>
          <w:tcPr>
            <w:tcW w:w="571"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254" w:type="dxa"/>
            <w:tcBorders/>
          </w:tcPr>
          <w:p>
            <w:pPr>
              <w:pStyle w:val="TableContents"/>
              <w:bidi w:val="0"/>
              <w:spacing w:before="0" w:after="283"/>
              <w:jc w:val="left"/>
              <w:rPr/>
            </w:pPr>
            <w:r>
              <w:rPr/>
              <w:t>Robert E. Cauley</w:t>
            </w:r>
          </w:p>
        </w:tc>
        <w:tc>
          <w:tcPr>
            <w:tcW w:w="1067" w:type="dxa"/>
            <w:tcBorders/>
          </w:tcPr>
          <w:p>
            <w:pPr>
              <w:pStyle w:val="TableContents"/>
              <w:bidi w:val="0"/>
              <w:spacing w:before="0" w:after="0"/>
              <w:ind w:left="0" w:right="0" w:hanging="0"/>
              <w:jc w:val="left"/>
              <w:rPr/>
            </w:pPr>
            <w:r>
              <w:rPr/>
              <w:t> </w:t>
            </w:r>
          </w:p>
        </w:tc>
      </w:tr>
      <w:tr>
        <w:trPr/>
        <w:tc>
          <w:tcPr>
            <w:tcW w:w="4313" w:type="dxa"/>
            <w:tcBorders/>
          </w:tcPr>
          <w:p>
            <w:pPr>
              <w:pStyle w:val="TableContents"/>
              <w:bidi w:val="0"/>
              <w:spacing w:before="0" w:after="0"/>
              <w:ind w:left="0" w:right="0" w:hanging="0"/>
              <w:jc w:val="left"/>
              <w:rPr/>
            </w:pPr>
            <w:r>
              <w:rPr/>
              <w:t> </w:t>
            </w:r>
          </w:p>
        </w:tc>
        <w:tc>
          <w:tcPr>
            <w:tcW w:w="571"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254" w:type="dxa"/>
            <w:tcBorders/>
          </w:tcPr>
          <w:p>
            <w:pPr>
              <w:pStyle w:val="TableContents"/>
              <w:bidi w:val="0"/>
              <w:spacing w:before="0" w:after="283"/>
              <w:jc w:val="left"/>
              <w:rPr/>
            </w:pPr>
            <w:r>
              <w:rPr/>
              <w:t>Chief Executive Officer</w:t>
            </w:r>
          </w:p>
        </w:tc>
        <w:tc>
          <w:tcPr>
            <w:tcW w:w="1067" w:type="dxa"/>
            <w:tcBorders/>
          </w:tcPr>
          <w:p>
            <w:pPr>
              <w:pStyle w:val="TableContents"/>
              <w:bidi w:val="0"/>
              <w:spacing w:before="0" w:after="0"/>
              <w:ind w:left="0" w:right="0" w:hanging="0"/>
              <w:jc w:val="left"/>
              <w:rPr/>
            </w:pPr>
            <w:r>
              <w:rPr/>
              <w:t> </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38"/>
        <w:gridCol w:w="616"/>
        <w:gridCol w:w="4305"/>
        <w:gridCol w:w="1046"/>
      </w:tblGrid>
      <w:tr>
        <w:trPr/>
        <w:tc>
          <w:tcPr>
            <w:tcW w:w="4238" w:type="dxa"/>
            <w:tcBorders/>
          </w:tcPr>
          <w:p>
            <w:pPr>
              <w:pStyle w:val="TableContents"/>
              <w:bidi w:val="0"/>
              <w:spacing w:before="0" w:after="0"/>
              <w:ind w:left="0" w:right="0" w:hanging="0"/>
              <w:jc w:val="left"/>
              <w:rPr/>
            </w:pPr>
            <w:r>
              <w:rPr/>
              <w:t> </w:t>
            </w:r>
          </w:p>
        </w:tc>
        <w:tc>
          <w:tcPr>
            <w:tcW w:w="4921" w:type="dxa"/>
            <w:gridSpan w:val="2"/>
            <w:tcBorders/>
          </w:tcPr>
          <w:p>
            <w:pPr>
              <w:pStyle w:val="TableContents"/>
              <w:bidi w:val="0"/>
              <w:spacing w:before="0" w:after="283"/>
              <w:jc w:val="left"/>
              <w:rPr>
                <w:b/>
              </w:rPr>
            </w:pPr>
            <w:r>
              <w:rPr>
                <w:b/>
              </w:rPr>
              <w:t>BIMINI ADVISORS, LLC</w:t>
            </w:r>
          </w:p>
        </w:tc>
        <w:tc>
          <w:tcPr>
            <w:tcW w:w="1046" w:type="dxa"/>
            <w:tcBorders/>
          </w:tcPr>
          <w:p>
            <w:pPr>
              <w:pStyle w:val="TableContents"/>
              <w:bidi w:val="0"/>
              <w:spacing w:before="0" w:after="0"/>
              <w:ind w:left="0" w:right="0" w:hanging="0"/>
              <w:jc w:val="left"/>
              <w:rPr/>
            </w:pPr>
            <w:r>
              <w:rPr/>
              <w:t> </w:t>
            </w:r>
          </w:p>
        </w:tc>
      </w:tr>
      <w:tr>
        <w:trPr/>
        <w:tc>
          <w:tcPr>
            <w:tcW w:w="4238" w:type="dxa"/>
            <w:tcBorders/>
          </w:tcPr>
          <w:p>
            <w:pPr>
              <w:pStyle w:val="TableContents"/>
              <w:bidi w:val="0"/>
              <w:spacing w:before="0" w:after="0"/>
              <w:ind w:left="0" w:right="0" w:hanging="0"/>
              <w:jc w:val="left"/>
              <w:rPr/>
            </w:pPr>
            <w:r>
              <w:rPr/>
              <w:t> </w:t>
            </w:r>
          </w:p>
        </w:tc>
        <w:tc>
          <w:tcPr>
            <w:tcW w:w="616" w:type="dxa"/>
            <w:tcBorders/>
          </w:tcPr>
          <w:p>
            <w:pPr>
              <w:pStyle w:val="TableContents"/>
              <w:bidi w:val="0"/>
              <w:spacing w:before="0" w:after="0"/>
              <w:ind w:left="0" w:right="0" w:hanging="0"/>
              <w:jc w:val="left"/>
              <w:rPr/>
            </w:pPr>
            <w:r>
              <w:rPr/>
              <w:t> </w:t>
            </w:r>
          </w:p>
        </w:tc>
        <w:tc>
          <w:tcPr>
            <w:tcW w:w="4305" w:type="dxa"/>
            <w:tcBorders/>
          </w:tcPr>
          <w:p>
            <w:pPr>
              <w:pStyle w:val="TableContents"/>
              <w:bidi w:val="0"/>
              <w:spacing w:before="0" w:after="0"/>
              <w:ind w:left="0" w:right="0" w:hanging="0"/>
              <w:jc w:val="left"/>
              <w:rPr/>
            </w:pPr>
            <w:r>
              <w:rPr/>
              <w:t> </w:t>
            </w:r>
          </w:p>
        </w:tc>
        <w:tc>
          <w:tcPr>
            <w:tcW w:w="1046" w:type="dxa"/>
            <w:tcBorders/>
          </w:tcPr>
          <w:p>
            <w:pPr>
              <w:pStyle w:val="TableContents"/>
              <w:bidi w:val="0"/>
              <w:spacing w:before="0" w:after="0"/>
              <w:ind w:left="0" w:right="0" w:hanging="0"/>
              <w:jc w:val="left"/>
              <w:rPr/>
            </w:pPr>
            <w:r>
              <w:rPr/>
              <w:t> </w:t>
            </w:r>
          </w:p>
        </w:tc>
      </w:tr>
      <w:tr>
        <w:trPr/>
        <w:tc>
          <w:tcPr>
            <w:tcW w:w="4238" w:type="dxa"/>
            <w:tcBorders/>
          </w:tcPr>
          <w:p>
            <w:pPr>
              <w:pStyle w:val="TableContents"/>
              <w:bidi w:val="0"/>
              <w:spacing w:before="0" w:after="0"/>
              <w:ind w:left="0" w:right="0" w:hanging="0"/>
              <w:jc w:val="left"/>
              <w:rPr/>
            </w:pPr>
            <w:r>
              <w:rPr/>
              <w:t> </w:t>
            </w:r>
          </w:p>
        </w:tc>
        <w:tc>
          <w:tcPr>
            <w:tcW w:w="616" w:type="dxa"/>
            <w:tcBorders/>
          </w:tcPr>
          <w:p>
            <w:pPr>
              <w:pStyle w:val="TableContents"/>
              <w:bidi w:val="0"/>
              <w:spacing w:before="0" w:after="0"/>
              <w:ind w:left="0" w:right="0" w:hanging="0"/>
              <w:jc w:val="left"/>
              <w:rPr/>
            </w:pPr>
            <w:r>
              <w:rPr/>
              <w:t> </w:t>
            </w:r>
          </w:p>
        </w:tc>
        <w:tc>
          <w:tcPr>
            <w:tcW w:w="4305" w:type="dxa"/>
            <w:tcBorders/>
            <w:vAlign w:val="bottom"/>
          </w:tcPr>
          <w:p>
            <w:pPr>
              <w:pStyle w:val="TableContents"/>
              <w:bidi w:val="0"/>
              <w:spacing w:before="0" w:after="0"/>
              <w:ind w:left="0" w:right="0" w:hanging="0"/>
              <w:jc w:val="left"/>
              <w:rPr/>
            </w:pPr>
            <w:r>
              <w:rPr/>
              <w:t> </w:t>
            </w:r>
          </w:p>
        </w:tc>
        <w:tc>
          <w:tcPr>
            <w:tcW w:w="1046" w:type="dxa"/>
            <w:tcBorders/>
          </w:tcPr>
          <w:p>
            <w:pPr>
              <w:pStyle w:val="TableContents"/>
              <w:bidi w:val="0"/>
              <w:spacing w:before="0" w:after="0"/>
              <w:ind w:left="0" w:right="0" w:hanging="0"/>
              <w:jc w:val="left"/>
              <w:rPr/>
            </w:pPr>
            <w:r>
              <w:rPr/>
              <w:t> </w:t>
            </w:r>
          </w:p>
        </w:tc>
      </w:tr>
      <w:tr>
        <w:trPr/>
        <w:tc>
          <w:tcPr>
            <w:tcW w:w="4238" w:type="dxa"/>
            <w:tcBorders/>
          </w:tcPr>
          <w:p>
            <w:pPr>
              <w:pStyle w:val="TableContents"/>
              <w:bidi w:val="0"/>
              <w:spacing w:before="0" w:after="0"/>
              <w:ind w:left="0" w:right="0" w:hanging="0"/>
              <w:jc w:val="left"/>
              <w:rPr/>
            </w:pPr>
            <w:r>
              <w:rPr/>
              <w:t> </w:t>
            </w:r>
          </w:p>
        </w:tc>
        <w:tc>
          <w:tcPr>
            <w:tcW w:w="616"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4305" w:type="dxa"/>
            <w:tcBorders>
              <w:bottom w:val="single" w:sz="2" w:space="0" w:color="000000"/>
            </w:tcBorders>
            <w:tcMar>
              <w:bottom w:w="28" w:type="dxa"/>
            </w:tcMar>
          </w:tcPr>
          <w:p>
            <w:pPr>
              <w:pStyle w:val="TableContents"/>
              <w:bidi w:val="0"/>
              <w:spacing w:before="0" w:after="283"/>
              <w:jc w:val="left"/>
              <w:rPr/>
            </w:pPr>
            <w:r>
              <w:rPr/>
              <w:t>/s/ George H. Haas, IV</w:t>
            </w:r>
          </w:p>
        </w:tc>
        <w:tc>
          <w:tcPr>
            <w:tcW w:w="1046" w:type="dxa"/>
            <w:tcBorders/>
          </w:tcPr>
          <w:p>
            <w:pPr>
              <w:pStyle w:val="TableContents"/>
              <w:bidi w:val="0"/>
              <w:spacing w:before="0" w:after="0"/>
              <w:ind w:left="0" w:right="0" w:hanging="0"/>
              <w:jc w:val="left"/>
              <w:rPr/>
            </w:pPr>
            <w:r>
              <w:rPr/>
              <w:t> </w:t>
            </w:r>
          </w:p>
        </w:tc>
      </w:tr>
      <w:tr>
        <w:trPr/>
        <w:tc>
          <w:tcPr>
            <w:tcW w:w="4238" w:type="dxa"/>
            <w:tcBorders/>
          </w:tcPr>
          <w:p>
            <w:pPr>
              <w:pStyle w:val="TableContents"/>
              <w:bidi w:val="0"/>
              <w:spacing w:before="0" w:after="0"/>
              <w:ind w:left="0" w:right="0" w:hanging="0"/>
              <w:jc w:val="left"/>
              <w:rPr/>
            </w:pPr>
            <w:r>
              <w:rPr/>
              <w:t> </w:t>
            </w:r>
          </w:p>
        </w:tc>
        <w:tc>
          <w:tcPr>
            <w:tcW w:w="616" w:type="dxa"/>
            <w:tcBorders/>
          </w:tcPr>
          <w:p>
            <w:pPr>
              <w:pStyle w:val="TableContents"/>
              <w:bidi w:val="0"/>
              <w:spacing w:before="0" w:after="283"/>
              <w:jc w:val="left"/>
              <w:rPr/>
            </w:pPr>
            <w:r>
              <w:rPr/>
              <w:t>Name:</w:t>
            </w:r>
          </w:p>
        </w:tc>
        <w:tc>
          <w:tcPr>
            <w:tcW w:w="4305" w:type="dxa"/>
            <w:tcBorders/>
          </w:tcPr>
          <w:p>
            <w:pPr>
              <w:pStyle w:val="TableContents"/>
              <w:bidi w:val="0"/>
              <w:spacing w:before="0" w:after="283"/>
              <w:jc w:val="left"/>
              <w:rPr/>
            </w:pPr>
            <w:r>
              <w:rPr/>
              <w:t>George H. Haas, IV</w:t>
            </w:r>
          </w:p>
        </w:tc>
        <w:tc>
          <w:tcPr>
            <w:tcW w:w="1046" w:type="dxa"/>
            <w:tcBorders/>
          </w:tcPr>
          <w:p>
            <w:pPr>
              <w:pStyle w:val="TableContents"/>
              <w:bidi w:val="0"/>
              <w:spacing w:before="0" w:after="0"/>
              <w:ind w:left="0" w:right="0" w:hanging="0"/>
              <w:jc w:val="left"/>
              <w:rPr/>
            </w:pPr>
            <w:r>
              <w:rPr/>
              <w:t> </w:t>
            </w:r>
          </w:p>
        </w:tc>
      </w:tr>
      <w:tr>
        <w:trPr/>
        <w:tc>
          <w:tcPr>
            <w:tcW w:w="4238" w:type="dxa"/>
            <w:tcBorders/>
          </w:tcPr>
          <w:p>
            <w:pPr>
              <w:pStyle w:val="TableContents"/>
              <w:bidi w:val="0"/>
              <w:spacing w:before="0" w:after="0"/>
              <w:ind w:left="0" w:right="0" w:hanging="0"/>
              <w:jc w:val="left"/>
              <w:rPr/>
            </w:pPr>
            <w:r>
              <w:rPr/>
              <w:t> </w:t>
            </w:r>
          </w:p>
        </w:tc>
        <w:tc>
          <w:tcPr>
            <w:tcW w:w="616" w:type="dxa"/>
            <w:tcBorders/>
          </w:tcPr>
          <w:p>
            <w:pPr>
              <w:pStyle w:val="TableContents"/>
              <w:bidi w:val="0"/>
              <w:spacing w:before="0" w:after="283"/>
              <w:jc w:val="left"/>
              <w:rPr/>
            </w:pPr>
            <w:r>
              <w:rPr/>
              <w:t>Title:</w:t>
            </w:r>
          </w:p>
        </w:tc>
        <w:tc>
          <w:tcPr>
            <w:tcW w:w="4305" w:type="dxa"/>
            <w:tcBorders/>
          </w:tcPr>
          <w:p>
            <w:pPr>
              <w:pStyle w:val="TableContents"/>
              <w:bidi w:val="0"/>
              <w:spacing w:before="0" w:after="283"/>
              <w:jc w:val="left"/>
              <w:rPr/>
            </w:pPr>
            <w:r>
              <w:rPr/>
              <w:t>Chief Financial Officer, Chief Investment Officer and Secretary</w:t>
            </w:r>
          </w:p>
        </w:tc>
        <w:tc>
          <w:tcPr>
            <w:tcW w:w="1046" w:type="dxa"/>
            <w:tcBorders/>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40" w:right="0" w:hanging="720"/>
        <w:jc w:val="left"/>
        <w:rPr>
          <w:caps w:val="false"/>
          <w:smallCaps w:val="false"/>
        </w:rPr>
      </w:pPr>
      <w:r>
        <w:rPr>
          <w:caps w:val="false"/>
          <w:smallCaps w:val="false"/>
        </w:rPr>
        <w:t> </w:t>
      </w:r>
    </w:p>
    <w:p>
      <w:pPr>
        <w:pStyle w:val="TextBody"/>
        <w:bidi w:val="0"/>
        <w:spacing w:before="0" w:after="0"/>
        <w:ind w:left="5040" w:right="0" w:hanging="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Signature Page to Fourth Amendment to Management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4" w:name="ex_951322.htm"/>
      <w:bookmarkStart w:id="25" w:name="ksex_951322"/>
      <w:bookmarkEnd w:id="24"/>
      <w:bookmarkEnd w:id="25"/>
      <w:r>
        <w:rPr>
          <w:rFonts w:ascii="Times New Roman" w:hAnsi="Times New Roman"/>
          <w:b/>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CERTIFICATIONS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Robert E. Cauley, certify that:</w:t>
      </w:r>
    </w:p>
    <w:p>
      <w:pPr>
        <w:pStyle w:val="TextBody"/>
        <w:bidi w:val="0"/>
        <w:spacing w:before="0" w:after="0"/>
        <w:ind w:left="0" w:right="0" w:hanging="0"/>
        <w:jc w:val="left"/>
        <w:rPr>
          <w:caps w:val="false"/>
          <w:smallCaps w:val="false"/>
        </w:rPr>
      </w:pPr>
      <w:r>
        <w:rPr>
          <w:caps w:val="false"/>
          <w:smallCaps w:val="false"/>
        </w:rPr>
        <w:t> </w:t>
      </w:r>
    </w:p>
    <w:tbl>
      <w:tblPr>
        <w:tblW w:w="8170" w:type="dxa"/>
        <w:jc w:val="left"/>
        <w:tblInd w:w="0" w:type="dxa"/>
        <w:tblLayout w:type="fixed"/>
        <w:tblCellMar>
          <w:top w:w="0" w:type="dxa"/>
          <w:left w:w="0" w:type="dxa"/>
          <w:bottom w:w="0" w:type="dxa"/>
          <w:right w:w="0" w:type="dxa"/>
        </w:tblCellMar>
      </w:tblPr>
      <w:tblGrid>
        <w:gridCol w:w="60"/>
        <w:gridCol w:w="170"/>
        <w:gridCol w:w="79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79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have reviewed this quarterly report on Form 10-Q of Orchid Island Capital, Inc. (the "registrant");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2"/>
        <w:gridCol w:w="10003"/>
      </w:tblGrid>
      <w:tr>
        <w:trPr/>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1"/>
        <w:gridCol w:w="10004"/>
      </w:tblGrid>
      <w:tr>
        <w:trPr/>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100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100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45"/>
        <w:gridCol w:w="3834"/>
        <w:gridCol w:w="1226"/>
      </w:tblGrid>
      <w:tr>
        <w:trPr/>
        <w:tc>
          <w:tcPr>
            <w:tcW w:w="514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Date: </w:t>
            </w:r>
            <w:bookmarkStart w:id="26" w:name="led384257F20232241679683521959"/>
            <w:bookmarkEnd w:id="26"/>
            <w:r>
              <w:rPr>
                <w:rFonts w:ascii="Times New Roman;Times;serif" w:hAnsi="Times New Roman;Times;serif"/>
                <w:sz w:val="20"/>
              </w:rPr>
              <w:t>July 24, 2026</w:t>
            </w:r>
          </w:p>
        </w:tc>
        <w:tc>
          <w:tcPr>
            <w:tcW w:w="3834"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Robert E. Cauley</w:t>
            </w:r>
          </w:p>
        </w:tc>
        <w:tc>
          <w:tcPr>
            <w:tcW w:w="1226" w:type="dxa"/>
            <w:tcBorders/>
          </w:tcPr>
          <w:p>
            <w:pPr>
              <w:pStyle w:val="TableContents"/>
              <w:bidi w:val="0"/>
              <w:spacing w:before="0" w:after="0"/>
              <w:ind w:left="0" w:right="0" w:hanging="0"/>
              <w:jc w:val="left"/>
              <w:rPr/>
            </w:pPr>
            <w:r>
              <w:rPr/>
              <w:t> </w:t>
            </w:r>
          </w:p>
        </w:tc>
      </w:tr>
      <w:tr>
        <w:trPr/>
        <w:tc>
          <w:tcPr>
            <w:tcW w:w="5145" w:type="dxa"/>
            <w:tcBorders/>
          </w:tcPr>
          <w:p>
            <w:pPr>
              <w:pStyle w:val="TableContents"/>
              <w:bidi w:val="0"/>
              <w:spacing w:before="0" w:after="0"/>
              <w:ind w:left="0" w:right="0" w:hanging="0"/>
              <w:jc w:val="left"/>
              <w:rPr/>
            </w:pPr>
            <w:r>
              <w:rPr/>
              <w:t> </w:t>
            </w:r>
          </w:p>
        </w:tc>
        <w:tc>
          <w:tcPr>
            <w:tcW w:w="3834"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Robert E. Cauley</w:t>
            </w:r>
          </w:p>
        </w:tc>
        <w:tc>
          <w:tcPr>
            <w:tcW w:w="1226" w:type="dxa"/>
            <w:tcBorders/>
          </w:tcPr>
          <w:p>
            <w:pPr>
              <w:pStyle w:val="TableContents"/>
              <w:bidi w:val="0"/>
              <w:spacing w:before="0" w:after="0"/>
              <w:ind w:left="0" w:right="0" w:hanging="0"/>
              <w:jc w:val="left"/>
              <w:rPr/>
            </w:pPr>
            <w:r>
              <w:rPr/>
              <w:t> </w:t>
            </w:r>
          </w:p>
        </w:tc>
      </w:tr>
      <w:tr>
        <w:trPr/>
        <w:tc>
          <w:tcPr>
            <w:tcW w:w="5145" w:type="dxa"/>
            <w:tcBorders/>
          </w:tcPr>
          <w:p>
            <w:pPr>
              <w:pStyle w:val="TableContents"/>
              <w:bidi w:val="0"/>
              <w:spacing w:before="0" w:after="0"/>
              <w:ind w:left="0" w:right="0" w:hanging="0"/>
              <w:jc w:val="left"/>
              <w:rPr/>
            </w:pPr>
            <w:r>
              <w:rPr/>
              <w:t> </w:t>
            </w:r>
          </w:p>
        </w:tc>
        <w:tc>
          <w:tcPr>
            <w:tcW w:w="3834"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of the Board, Chief Executive Officer and</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w:t>
            </w:r>
          </w:p>
        </w:tc>
        <w:tc>
          <w:tcPr>
            <w:tcW w:w="1226" w:type="dxa"/>
            <w:tcBorders/>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7" w:name="ex_951323.htm"/>
      <w:bookmarkStart w:id="28" w:name="ksex_951323"/>
      <w:bookmarkEnd w:id="27"/>
      <w:bookmarkEnd w:id="28"/>
      <w:r>
        <w:rPr>
          <w:rFonts w:ascii="Times New Roman" w:hAnsi="Times New Roman"/>
          <w:b/>
          <w:caps w:val="false"/>
          <w:smallCaps w:val="false"/>
          <w:sz w:val="20"/>
        </w:rPr>
        <w:t>Exhibit 31.2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George H. Haas, certify that:</w:t>
      </w:r>
    </w:p>
    <w:p>
      <w:pPr>
        <w:pStyle w:val="TextBody"/>
        <w:bidi w:val="0"/>
        <w:spacing w:before="0" w:after="0"/>
        <w:ind w:left="0" w:right="0" w:hanging="0"/>
        <w:jc w:val="left"/>
        <w:rPr>
          <w:caps w:val="false"/>
          <w:smallCaps w:val="false"/>
        </w:rPr>
      </w:pPr>
      <w:r>
        <w:rPr>
          <w:caps w:val="false"/>
          <w:smallCaps w:val="false"/>
        </w:rPr>
        <w:t> </w:t>
      </w:r>
    </w:p>
    <w:tbl>
      <w:tblPr>
        <w:tblW w:w="8170" w:type="dxa"/>
        <w:jc w:val="left"/>
        <w:tblInd w:w="0" w:type="dxa"/>
        <w:tblLayout w:type="fixed"/>
        <w:tblCellMar>
          <w:top w:w="0" w:type="dxa"/>
          <w:left w:w="0" w:type="dxa"/>
          <w:bottom w:w="0" w:type="dxa"/>
          <w:right w:w="0" w:type="dxa"/>
        </w:tblCellMar>
      </w:tblPr>
      <w:tblGrid>
        <w:gridCol w:w="60"/>
        <w:gridCol w:w="170"/>
        <w:gridCol w:w="79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79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have reviewed this quarterly report on Form 10-Q of Orchid Island Capital, Inc. (the "registrant");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2"/>
        <w:gridCol w:w="10003"/>
      </w:tblGrid>
      <w:tr>
        <w:trPr/>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1"/>
        <w:gridCol w:w="10004"/>
      </w:tblGrid>
      <w:tr>
        <w:trPr/>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100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100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5225" w:type="dxa"/>
        <w:jc w:val="left"/>
        <w:tblInd w:w="0" w:type="dxa"/>
        <w:tblLayout w:type="fixed"/>
        <w:tblCellMar>
          <w:top w:w="0" w:type="dxa"/>
          <w:left w:w="0" w:type="dxa"/>
          <w:bottom w:w="0" w:type="dxa"/>
          <w:right w:w="0" w:type="dxa"/>
        </w:tblCellMar>
      </w:tblPr>
      <w:tblGrid>
        <w:gridCol w:w="2694"/>
        <w:gridCol w:w="1885"/>
        <w:gridCol w:w="646"/>
      </w:tblGrid>
      <w:tr>
        <w:trPr/>
        <w:tc>
          <w:tcPr>
            <w:tcW w:w="2694" w:type="dxa"/>
            <w:tcBorders/>
          </w:tcPr>
          <w:p>
            <w:pPr>
              <w:pStyle w:val="TableContents"/>
              <w:bidi w:val="0"/>
              <w:spacing w:before="0" w:after="0"/>
              <w:ind w:left="0" w:right="0" w:hanging="0"/>
              <w:jc w:val="left"/>
              <w:rPr/>
            </w:pPr>
            <w:r>
              <w:rPr/>
              <w:t> </w:t>
            </w:r>
            <w:r>
              <w:rPr>
                <w:rFonts w:ascii="Times New Roman;Times;serif" w:hAnsi="Times New Roman;Times;serif"/>
                <w:sz w:val="20"/>
              </w:rPr>
              <w:t xml:space="preserve">Date: </w:t>
            </w:r>
            <w:bookmarkStart w:id="29" w:name="led384257F20232241679683497620"/>
            <w:bookmarkEnd w:id="29"/>
            <w:r>
              <w:rPr>
                <w:rFonts w:ascii="Times New Roman;Times;serif" w:hAnsi="Times New Roman;Times;serif"/>
                <w:sz w:val="20"/>
              </w:rPr>
              <w:t>July 24, 2026</w:t>
            </w:r>
          </w:p>
        </w:tc>
        <w:tc>
          <w:tcPr>
            <w:tcW w:w="1885"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George H. Haas, IV</w:t>
            </w:r>
          </w:p>
        </w:tc>
        <w:tc>
          <w:tcPr>
            <w:tcW w:w="646" w:type="dxa"/>
            <w:tcBorders/>
          </w:tcPr>
          <w:p>
            <w:pPr>
              <w:pStyle w:val="TableContents"/>
              <w:bidi w:val="0"/>
              <w:spacing w:before="0" w:after="0"/>
              <w:ind w:left="0" w:right="0" w:hanging="0"/>
              <w:jc w:val="left"/>
              <w:rPr/>
            </w:pPr>
            <w:r>
              <w:rPr/>
              <w:t> </w:t>
            </w:r>
          </w:p>
        </w:tc>
      </w:tr>
      <w:tr>
        <w:trPr/>
        <w:tc>
          <w:tcPr>
            <w:tcW w:w="2694" w:type="dxa"/>
            <w:tcBorders/>
          </w:tcPr>
          <w:p>
            <w:pPr>
              <w:pStyle w:val="TableContents"/>
              <w:bidi w:val="0"/>
              <w:spacing w:before="0" w:after="0"/>
              <w:ind w:left="0" w:right="0" w:hanging="0"/>
              <w:jc w:val="left"/>
              <w:rPr/>
            </w:pPr>
            <w:r>
              <w:rPr/>
              <w:t> </w:t>
            </w:r>
          </w:p>
        </w:tc>
        <w:tc>
          <w:tcPr>
            <w:tcW w:w="188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George H. Haas, IV</w:t>
            </w:r>
          </w:p>
        </w:tc>
        <w:tc>
          <w:tcPr>
            <w:tcW w:w="646" w:type="dxa"/>
            <w:tcBorders/>
          </w:tcPr>
          <w:p>
            <w:pPr>
              <w:pStyle w:val="TableContents"/>
              <w:bidi w:val="0"/>
              <w:spacing w:before="0" w:after="0"/>
              <w:ind w:left="0" w:right="0" w:hanging="0"/>
              <w:jc w:val="left"/>
              <w:rPr/>
            </w:pPr>
            <w:r>
              <w:rPr/>
              <w:t> </w:t>
            </w:r>
          </w:p>
        </w:tc>
      </w:tr>
      <w:tr>
        <w:trPr/>
        <w:tc>
          <w:tcPr>
            <w:tcW w:w="2694" w:type="dxa"/>
            <w:tcBorders/>
          </w:tcPr>
          <w:p>
            <w:pPr>
              <w:pStyle w:val="TableContents"/>
              <w:bidi w:val="0"/>
              <w:spacing w:before="0" w:after="0"/>
              <w:ind w:left="0" w:right="0" w:hanging="0"/>
              <w:jc w:val="left"/>
              <w:rPr/>
            </w:pPr>
            <w:r>
              <w:rPr/>
              <w:t> </w:t>
            </w:r>
          </w:p>
        </w:tc>
        <w:tc>
          <w:tcPr>
            <w:tcW w:w="188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646" w:type="dxa"/>
            <w:tcBorders/>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30" w:name="ex_951324.htm"/>
      <w:bookmarkStart w:id="31" w:name="ksex_951324"/>
      <w:bookmarkEnd w:id="30"/>
      <w:bookmarkEnd w:id="31"/>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CERTIFICATION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PURSUANT TO SECTION 906 OF THE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SARBANES-OXLEY ACT OF 2002, 18 U.S.C. SECTION 1350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In connection with the quarterly report on Form 10-Q of Orchid Island Capital, Inc. (the “Company”) for the period ended </w:t>
      </w:r>
      <w:bookmarkStart w:id="32" w:name="led384257F20232241679683464933"/>
      <w:bookmarkEnd w:id="32"/>
      <w:r>
        <w:rPr>
          <w:rFonts w:ascii="Times New Roman" w:hAnsi="Times New Roman"/>
          <w:caps w:val="false"/>
          <w:smallCaps w:val="false"/>
          <w:sz w:val="20"/>
        </w:rPr>
        <w:t>June 30, 2026 to be filed with the Securities and Exchange Commission on or about the date hereof (the ”Report”), I, Robert E. Cauley, Chairman of the Board and Chief Executive Officer of the Company, certify, pursuant to Section 906 of the Sarbanes-Oxley Act of 2002, 18 U.S.C. Section 1350,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1003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1005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 at the dates of, and for the periods covered by, the Report.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 is not intended that this statement be deemed to be filed for purposes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221" w:type="dxa"/>
        <w:jc w:val="left"/>
        <w:tblInd w:w="0" w:type="dxa"/>
        <w:tblLayout w:type="fixed"/>
        <w:tblCellMar>
          <w:top w:w="0" w:type="dxa"/>
          <w:left w:w="0" w:type="dxa"/>
          <w:bottom w:w="0" w:type="dxa"/>
          <w:right w:w="0" w:type="dxa"/>
        </w:tblCellMar>
      </w:tblPr>
      <w:tblGrid>
        <w:gridCol w:w="3207"/>
        <w:gridCol w:w="2245"/>
        <w:gridCol w:w="769"/>
      </w:tblGrid>
      <w:tr>
        <w:trPr/>
        <w:tc>
          <w:tcPr>
            <w:tcW w:w="3207" w:type="dxa"/>
            <w:tcBorders/>
          </w:tcPr>
          <w:p>
            <w:pPr>
              <w:pStyle w:val="TableContents"/>
              <w:bidi w:val="0"/>
              <w:spacing w:before="0" w:after="0"/>
              <w:ind w:left="0" w:right="0" w:hanging="0"/>
              <w:jc w:val="left"/>
              <w:rPr>
                <w:rFonts w:ascii="Times New Roman;Times;serif" w:hAnsi="Times New Roman;Times;serif"/>
                <w:sz w:val="20"/>
              </w:rPr>
            </w:pPr>
            <w:bookmarkStart w:id="33" w:name="led384257F20232241679683450493"/>
            <w:bookmarkEnd w:id="33"/>
            <w:r>
              <w:rPr>
                <w:rFonts w:ascii="Times New Roman;Times;serif" w:hAnsi="Times New Roman;Times;serif"/>
                <w:sz w:val="20"/>
              </w:rPr>
              <w:t>July 24, 2026</w:t>
            </w:r>
          </w:p>
        </w:tc>
        <w:tc>
          <w:tcPr>
            <w:tcW w:w="2245"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Robert E. Cauley</w:t>
            </w:r>
          </w:p>
        </w:tc>
        <w:tc>
          <w:tcPr>
            <w:tcW w:w="769" w:type="dxa"/>
            <w:tcBorders/>
          </w:tcPr>
          <w:p>
            <w:pPr>
              <w:pStyle w:val="TableContents"/>
              <w:bidi w:val="0"/>
              <w:spacing w:before="0" w:after="0"/>
              <w:ind w:left="0" w:right="0" w:hanging="0"/>
              <w:jc w:val="left"/>
              <w:rPr/>
            </w:pPr>
            <w:r>
              <w:rPr/>
              <w:t> </w:t>
            </w:r>
          </w:p>
        </w:tc>
      </w:tr>
      <w:tr>
        <w:trPr/>
        <w:tc>
          <w:tcPr>
            <w:tcW w:w="3207" w:type="dxa"/>
            <w:tcBorders/>
          </w:tcPr>
          <w:p>
            <w:pPr>
              <w:pStyle w:val="TableContents"/>
              <w:bidi w:val="0"/>
              <w:spacing w:before="0" w:after="0"/>
              <w:ind w:left="0" w:right="0" w:hanging="0"/>
              <w:jc w:val="left"/>
              <w:rPr/>
            </w:pPr>
            <w:r>
              <w:rPr/>
              <w:t> </w:t>
            </w:r>
          </w:p>
        </w:tc>
        <w:tc>
          <w:tcPr>
            <w:tcW w:w="224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Robert E. Cauley,</w:t>
            </w:r>
          </w:p>
        </w:tc>
        <w:tc>
          <w:tcPr>
            <w:tcW w:w="769" w:type="dxa"/>
            <w:tcBorders/>
          </w:tcPr>
          <w:p>
            <w:pPr>
              <w:pStyle w:val="TableContents"/>
              <w:bidi w:val="0"/>
              <w:spacing w:before="0" w:after="0"/>
              <w:ind w:left="0" w:right="0" w:hanging="0"/>
              <w:jc w:val="left"/>
              <w:rPr/>
            </w:pPr>
            <w:r>
              <w:rPr/>
              <w:t> </w:t>
            </w:r>
          </w:p>
        </w:tc>
      </w:tr>
      <w:tr>
        <w:trPr/>
        <w:tc>
          <w:tcPr>
            <w:tcW w:w="3207" w:type="dxa"/>
            <w:tcBorders/>
          </w:tcPr>
          <w:p>
            <w:pPr>
              <w:pStyle w:val="TableContents"/>
              <w:bidi w:val="0"/>
              <w:spacing w:before="0" w:after="0"/>
              <w:ind w:left="0" w:right="0" w:hanging="0"/>
              <w:jc w:val="left"/>
              <w:rPr/>
            </w:pPr>
            <w:r>
              <w:rPr/>
              <w:t> </w:t>
            </w:r>
          </w:p>
        </w:tc>
        <w:tc>
          <w:tcPr>
            <w:tcW w:w="224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of the Board and</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c>
          <w:tcPr>
            <w:tcW w:w="769" w:type="dxa"/>
            <w:tcBorders/>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34" w:name="ex_951325.htm"/>
      <w:bookmarkStart w:id="35" w:name="ksex_951325"/>
      <w:bookmarkEnd w:id="34"/>
      <w:bookmarkEnd w:id="35"/>
      <w:r>
        <w:rPr>
          <w:rFonts w:ascii="Times New Roman" w:hAnsi="Times New Roman"/>
          <w:b/>
          <w:caps w:val="false"/>
          <w:smallCaps w:val="false"/>
          <w:sz w:val="20"/>
        </w:rPr>
        <w:t>Exhibit 32.2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CERTIFICATION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PURSUANT TO SECTION 906 OF THE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SARBANES-OXLEY ACT OF 2002, 18 U.S.C. SECTION 1350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In connection with the quarterly report on Form 10-Q of Orchid Island Capital, Inc. (the “Company”) for the period ended </w:t>
      </w:r>
      <w:bookmarkStart w:id="36" w:name="led384257F20232241679683422668"/>
      <w:bookmarkEnd w:id="36"/>
      <w:r>
        <w:rPr>
          <w:rFonts w:ascii="Times New Roman" w:hAnsi="Times New Roman"/>
          <w:caps w:val="false"/>
          <w:smallCaps w:val="false"/>
          <w:sz w:val="20"/>
        </w:rPr>
        <w:t>June 30, 2026 to be filed with the Securities and Exchange Commission on or about the date hereof (the ”Report”), I, George H. Haas, Chief Financial Officer of the Company, certify, pursuant to Section 906 of the Sarbanes-Oxley Act of 2002, 18 U.S.C. Section 1350,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1003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5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 at the dates of, and for the periods covered by, the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 is not intended that this statement be deemed to be filed for purposes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223" w:type="dxa"/>
        <w:jc w:val="left"/>
        <w:tblInd w:w="0" w:type="dxa"/>
        <w:tblLayout w:type="fixed"/>
        <w:tblCellMar>
          <w:top w:w="0" w:type="dxa"/>
          <w:left w:w="0" w:type="dxa"/>
          <w:bottom w:w="0" w:type="dxa"/>
          <w:right w:w="0" w:type="dxa"/>
        </w:tblCellMar>
      </w:tblPr>
      <w:tblGrid>
        <w:gridCol w:w="2692"/>
        <w:gridCol w:w="1885"/>
        <w:gridCol w:w="646"/>
      </w:tblGrid>
      <w:tr>
        <w:trPr/>
        <w:tc>
          <w:tcPr>
            <w:tcW w:w="2692" w:type="dxa"/>
            <w:tcBorders/>
          </w:tcPr>
          <w:p>
            <w:pPr>
              <w:pStyle w:val="TableContents"/>
              <w:bidi w:val="0"/>
              <w:spacing w:before="0" w:after="0"/>
              <w:ind w:left="0" w:right="0" w:hanging="0"/>
              <w:jc w:val="left"/>
              <w:rPr>
                <w:rFonts w:ascii="Times New Roman;Times;serif" w:hAnsi="Times New Roman;Times;serif"/>
                <w:sz w:val="20"/>
              </w:rPr>
            </w:pPr>
            <w:bookmarkStart w:id="37" w:name="led384257F20232241679683406084"/>
            <w:bookmarkEnd w:id="37"/>
            <w:r>
              <w:rPr>
                <w:rFonts w:ascii="Times New Roman;Times;serif" w:hAnsi="Times New Roman;Times;serif"/>
                <w:sz w:val="20"/>
              </w:rPr>
              <w:t>July 24, 2026</w:t>
            </w:r>
          </w:p>
        </w:tc>
        <w:tc>
          <w:tcPr>
            <w:tcW w:w="1885"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George H. Haas, IV</w:t>
            </w:r>
          </w:p>
        </w:tc>
        <w:tc>
          <w:tcPr>
            <w:tcW w:w="646" w:type="dxa"/>
            <w:tcBorders/>
          </w:tcPr>
          <w:p>
            <w:pPr>
              <w:pStyle w:val="TableContents"/>
              <w:bidi w:val="0"/>
              <w:spacing w:before="0" w:after="0"/>
              <w:ind w:left="0" w:right="0" w:hanging="0"/>
              <w:jc w:val="left"/>
              <w:rPr/>
            </w:pPr>
            <w:r>
              <w:rPr/>
              <w:t> </w:t>
            </w:r>
          </w:p>
        </w:tc>
      </w:tr>
      <w:tr>
        <w:trPr/>
        <w:tc>
          <w:tcPr>
            <w:tcW w:w="2692" w:type="dxa"/>
            <w:tcBorders/>
          </w:tcPr>
          <w:p>
            <w:pPr>
              <w:pStyle w:val="TableContents"/>
              <w:bidi w:val="0"/>
              <w:spacing w:before="0" w:after="0"/>
              <w:ind w:left="0" w:right="0" w:hanging="0"/>
              <w:jc w:val="left"/>
              <w:rPr/>
            </w:pPr>
            <w:r>
              <w:rPr/>
              <w:t> </w:t>
            </w:r>
          </w:p>
        </w:tc>
        <w:tc>
          <w:tcPr>
            <w:tcW w:w="188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George H. Haas, IV</w:t>
            </w:r>
          </w:p>
        </w:tc>
        <w:tc>
          <w:tcPr>
            <w:tcW w:w="646" w:type="dxa"/>
            <w:tcBorders/>
          </w:tcPr>
          <w:p>
            <w:pPr>
              <w:pStyle w:val="TableContents"/>
              <w:bidi w:val="0"/>
              <w:spacing w:before="0" w:after="0"/>
              <w:ind w:left="0" w:right="0" w:hanging="0"/>
              <w:jc w:val="left"/>
              <w:rPr/>
            </w:pPr>
            <w:r>
              <w:rPr/>
              <w:t> </w:t>
            </w:r>
          </w:p>
        </w:tc>
      </w:tr>
      <w:tr>
        <w:trPr/>
        <w:tc>
          <w:tcPr>
            <w:tcW w:w="2692" w:type="dxa"/>
            <w:tcBorders/>
          </w:tcPr>
          <w:p>
            <w:pPr>
              <w:pStyle w:val="TableContents"/>
              <w:bidi w:val="0"/>
              <w:spacing w:before="0" w:after="0"/>
              <w:ind w:left="0" w:right="0" w:hanging="0"/>
              <w:jc w:val="left"/>
              <w:rPr/>
            </w:pPr>
            <w:r>
              <w:rPr/>
              <w:t> </w:t>
            </w:r>
          </w:p>
        </w:tc>
        <w:tc>
          <w:tcPr>
            <w:tcW w:w="188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646" w:type="dxa"/>
            <w:tcBorders/>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518621/000119312512483809/d427065dex31.htm" TargetMode="External"/><Relationship Id="rId4" Type="http://schemas.openxmlformats.org/officeDocument/2006/relationships/hyperlink" Target="http://www.sec.gov/Archives/edgar/data/1518621/000127547719000023/orc10k20181231x32.htm" TargetMode="External"/><Relationship Id="rId5" Type="http://schemas.openxmlformats.org/officeDocument/2006/relationships/hyperlink" Target="http://www.sec.gov/Archives/edgar/data/1518621/000151862122000095/orc8k20220830x31.htm" TargetMode="External"/><Relationship Id="rId6" Type="http://schemas.openxmlformats.org/officeDocument/2006/relationships/hyperlink" Target="http://www.sec.gov/Archives/edgar/data/1518621/000143774925004044/ex_777893.htm" TargetMode="External"/><Relationship Id="rId7" Type="http://schemas.openxmlformats.org/officeDocument/2006/relationships/hyperlink" Target="http://www.sec.gov/Archives/edgar/data/1518621/000143774925031728/ex_875222.htm" TargetMode="External"/><Relationship Id="rId8" Type="http://schemas.openxmlformats.org/officeDocument/2006/relationships/hyperlink" Target="http://www.sec.gov/Archives/edgar/data/1518621/000151862122000117/orc8k20221213x31.htm" TargetMode="External"/><Relationship Id="rId9" Type="http://schemas.openxmlformats.org/officeDocument/2006/relationships/hyperlink" Target="http://www.sec.gov/Archives/edgar/data/1518621/000119312512483809/d427065dex41.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34832</Words>
  <Characters>184436</Characters>
  <CharactersWithSpaces>224039</CharactersWithSpaces>
  <Paragraphs>13937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