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23,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Orchid Island Capital,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441" w:right="339" w:bottom="1440" w:gutter="0" w:footer="0" w:header="0"/>
        </w:sectPr>
      </w:pPr>
    </w:p>
    <w:p>
      <w:pPr>
        <w:spacing w:after="0" w:line="20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001-35236</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27-3269228</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840" w:space="720"/>
            <w:col w:w="2800" w:space="720"/>
            <w:col w:w="3160"/>
          </w:cols>
          <w:pgMar w:left="320" w:top="441" w:right="339" w:bottom="1440" w:gutter="0" w:footer="0" w:header="0"/>
          <w:type w:val="continuous"/>
        </w:sectPr>
      </w:pPr>
    </w:p>
    <w:p>
      <w:pPr>
        <w:spacing w:after="0" w:line="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3305 Flamingo Drive, Vero Beach, Florida 32963</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441"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(772) 231-1400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09"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60" w:type="dxa"/>
            <w:vAlign w:val="bottom"/>
            <w:tcBorders>
              <w:top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3"/>
        </w:trPr>
        <w:tc>
          <w:tcPr>
            <w:tcW w:w="41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760" w:type="dxa"/>
            <w:vAlign w:val="bottom"/>
            <w:tcBorders>
              <w:bottom w:val="single" w:sz="8" w:color="auto"/>
              <w:right w:val="single" w:sz="8" w:color="auto"/>
            </w:tcBorders>
          </w:tcPr>
          <w:p>
            <w:pPr>
              <w:ind w:left="1200"/>
              <w:spacing w:after="0" w:line="193" w:lineRule="exact"/>
              <w:rPr>
                <w:sz w:val="20"/>
                <w:szCs w:val="20"/>
                <w:color w:val="auto"/>
              </w:rPr>
            </w:pPr>
            <w:r>
              <w:rPr>
                <w:rFonts w:ascii="Times New Roman" w:cs="Times New Roman" w:eastAsia="Times New Roman" w:hAnsi="Times New Roman"/>
                <w:sz w:val="18"/>
                <w:szCs w:val="18"/>
                <w:color w:val="auto"/>
              </w:rPr>
              <w:t>ORC</w:t>
            </w:r>
          </w:p>
        </w:tc>
        <w:tc>
          <w:tcPr>
            <w:tcW w:w="43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NYSE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23, 2026, Orchid Island Capital, Inc. (the “Company”) issued the press release attached hereto as Exhibit 99.1 announcing the Company’s results of operations for the three month period ended March 31, 2026. In addition, the Company posted supplemental financial information on the investor relations section of its website (https://ir.orchidislandcapital.com). The press release, attached as Exhibit 99.1, is being furnished under this “Item 2.02 Results of Operations and Financial Condition,” and shall not be deemed “filed” for purposes of Section 18 of the Securities Exchange Act of 1934, nor shall it be deemed incorporated by reference in any disclosure document of the Company, except as shall be expressly set forth by specific reference in such document.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About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and other federal securities laws, including, but not limited to, statements regarding interest rates, inflation, liquidity, pledging of our structured RMBS, funding levels and spreads, prepayment speeds, portfolio composition, positioning and repositioning, hedging levels, leverage ratio, dividends, investment and return opportunities, the supply and demand for Agency RMBS and the performance of the Agency RMBS sector generally, the effect of actual or expected actions of the U.S. government, including the Federal Reserve, market expectations, capital raising, future opportunities and prospects of the Company, the stock repurchase program, geopolitical uncertainty and general economic conditions (including the effects of artificial intelligence, wars, tariffs, trade wars, inflation, the U.S. deficit, and the strength of the U.S. dollar). These forward-looking statements are based upon the Company’s present expectations, but the Company cannot assure investors that actual results will not vary from the expectations contained in the forward-looking statements. Investors should not place undue reliance upon forward-looking statements. For further discussion of the factors that could affect outcomes, please refer to the “Risk Factors” section of the Company's Annual Report on Form 10-K for the fiscal year ended December 31, 2025, which has been filed with the Securities and Exchange Commission ("SEC"), and other documents that the Company files with the SEC. All forward-looking statements speak only as of the date on which they are made. New risks and uncertainties arise over time, and it is not possible to predict those events or how they may affect the Company. Except as required by law, the Company is not obligated to, and does not intend to, update or revise any forward-looking statements, whether as a result of new information, future events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2"/>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No.</w:t>
            </w:r>
          </w:p>
        </w:tc>
        <w:tc>
          <w:tcPr>
            <w:tcW w:w="260" w:type="dxa"/>
            <w:vAlign w:val="bottom"/>
          </w:tcPr>
          <w:p>
            <w:pPr>
              <w:spacing w:after="0"/>
              <w:rPr>
                <w:sz w:val="24"/>
                <w:szCs w:val="24"/>
                <w:color w:val="auto"/>
              </w:rPr>
            </w:pPr>
          </w:p>
        </w:tc>
        <w:tc>
          <w:tcPr>
            <w:tcW w:w="6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760" w:type="dxa"/>
            <w:vAlign w:val="bottom"/>
          </w:tcPr>
          <w:p>
            <w:pPr>
              <w:spacing w:after="0"/>
              <w:rPr>
                <w:sz w:val="24"/>
                <w:szCs w:val="24"/>
                <w:color w:val="auto"/>
              </w:rPr>
            </w:pPr>
          </w:p>
        </w:tc>
      </w:tr>
      <w:tr>
        <w:trPr>
          <w:trHeight w:val="169"/>
        </w:trPr>
        <w:tc>
          <w:tcPr>
            <w:tcW w:w="11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4"/>
                <w:szCs w:val="14"/>
                <w:color w:val="auto"/>
              </w:rPr>
            </w:pPr>
          </w:p>
        </w:tc>
        <w:tc>
          <w:tcPr>
            <w:tcW w:w="252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dated April 23, 2026</w:t>
            </w:r>
          </w:p>
        </w:tc>
        <w:tc>
          <w:tcPr>
            <w:tcW w:w="3540" w:type="dxa"/>
            <w:vAlign w:val="bottom"/>
          </w:tcPr>
          <w:p>
            <w:pPr>
              <w:spacing w:after="0"/>
              <w:rPr>
                <w:sz w:val="14"/>
                <w:szCs w:val="14"/>
                <w:color w:val="auto"/>
              </w:rPr>
            </w:pPr>
          </w:p>
        </w:tc>
        <w:tc>
          <w:tcPr>
            <w:tcW w:w="3760" w:type="dxa"/>
            <w:vAlign w:val="bottom"/>
          </w:tcPr>
          <w:p>
            <w:pPr>
              <w:spacing w:after="0"/>
              <w:rPr>
                <w:sz w:val="14"/>
                <w:szCs w:val="14"/>
                <w:color w:val="auto"/>
              </w:rPr>
            </w:pPr>
          </w:p>
        </w:tc>
      </w:tr>
      <w:tr>
        <w:trPr>
          <w:trHeight w:val="23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760" w:type="dxa"/>
            <w:vAlign w:val="bottom"/>
          </w:tcPr>
          <w:p>
            <w:pPr>
              <w:spacing w:after="0"/>
              <w:rPr>
                <w:sz w:val="20"/>
                <w:szCs w:val="20"/>
                <w:color w:val="auto"/>
              </w:rPr>
            </w:pPr>
          </w:p>
        </w:tc>
      </w:tr>
      <w:tr>
        <w:trPr>
          <w:trHeight w:val="574"/>
        </w:trPr>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6400" w:val="left"/>
        </w:tabs>
        <w:rPr>
          <w:sz w:val="20"/>
          <w:szCs w:val="20"/>
          <w:color w:val="auto"/>
        </w:rPr>
      </w:pPr>
      <w:r>
        <w:rPr>
          <w:rFonts w:ascii="Times New Roman" w:cs="Times New Roman" w:eastAsia="Times New Roman" w:hAnsi="Times New Roman"/>
          <w:sz w:val="18"/>
          <w:szCs w:val="18"/>
          <w:color w:val="auto"/>
        </w:rPr>
        <w:t>Date: April 23, 2026</w:t>
      </w:r>
      <w:r>
        <w:rPr>
          <w:sz w:val="20"/>
          <w:szCs w:val="20"/>
          <w:color w:val="auto"/>
        </w:rPr>
        <w:tab/>
      </w:r>
      <w:r>
        <w:rPr>
          <w:rFonts w:ascii="Times New Roman" w:cs="Times New Roman" w:eastAsia="Times New Roman" w:hAnsi="Times New Roman"/>
          <w:sz w:val="17"/>
          <w:szCs w:val="17"/>
          <w:color w:val="auto"/>
        </w:rPr>
        <w:t>ORCHID ISLAND CAPITAL, INC.</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 /s/ Robert E. 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Robert E. Cauley</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156845</wp:posOffset>
            </wp:positionV>
            <wp:extent cx="1851660" cy="394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ORCHID ISLAND CAPITAL ANNOUNCES FIRST QUARTER 2026 RESULTS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VERO BEACH, Fla. (April 23, 2026) – Orchid Island Capital, Inc. (NYSE:ORC) ("Orchid” or the "Company"), a real estate investment trust ("REIT"), today announced results of operations for the three month period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Results</w:t>
      </w:r>
    </w:p>
    <w:p>
      <w:pPr>
        <w:spacing w:after="0" w:line="3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$(20.0) million, or $0.11 per common share, which consists 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of $57.1 million, or $0.30 per common share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expenses of $7.4 million, or $0.04 per common share</w:t>
      </w:r>
    </w:p>
    <w:p>
      <w:pPr>
        <w:spacing w:after="0" w:line="9" w:lineRule="exact"/>
        <w:rPr>
          <w:rFonts w:ascii="Times New Roman" w:cs="Times New Roman" w:eastAsia="Times New Roman" w:hAnsi="Times New Roman"/>
          <w:sz w:val="18"/>
          <w:szCs w:val="18"/>
          <w:color w:val="auto"/>
        </w:rPr>
      </w:pPr>
    </w:p>
    <w:p>
      <w:pPr>
        <w:ind w:left="660" w:right="48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realized and unrealized losses of $69.6 million, or $0.37 per common share, on RMBS and derivative instruments, including net interest income on interest rate swaps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dividends declared and paid of $0.36 per common share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 per common share of $7.08 at March 31, 2026</w:t>
      </w:r>
    </w:p>
    <w:p>
      <w:pPr>
        <w:spacing w:after="0" w:line="9" w:lineRule="exact"/>
        <w:rPr>
          <w:rFonts w:ascii="Times New Roman" w:cs="Times New Roman" w:eastAsia="Times New Roman" w:hAnsi="Times New Roman"/>
          <w:sz w:val="18"/>
          <w:szCs w:val="18"/>
          <w:color w:val="auto"/>
        </w:rPr>
      </w:pPr>
    </w:p>
    <w:p>
      <w:pPr>
        <w:ind w:left="660" w:right="72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of (1.33)%, comprised of $0.36 dividend per common share and $0.46 decrease in book value per common share, divided by beginning book value per common share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Highlights</w:t>
      </w:r>
    </w:p>
    <w:p>
      <w:pPr>
        <w:spacing w:after="0" w:line="31" w:lineRule="exact"/>
        <w:rPr>
          <w:sz w:val="20"/>
          <w:szCs w:val="20"/>
          <w:color w:val="auto"/>
        </w:rPr>
      </w:pPr>
    </w:p>
    <w:p>
      <w:pPr>
        <w:ind w:left="660" w:right="2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Orchid maintained a strong liquidity position of $759.0 million in cash and cash equivalents and unpledged securities, or approximately 55% of stockholders' equity as of March 31, 2026</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capacity in excess of March 31, 2026 outstanding repurchase agreement balances of $10.9 billion, spread across 28 active lenders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to discuss results on Friday, April 24, 2026, at 10:00 AM ET</w:t>
      </w:r>
    </w:p>
    <w:p>
      <w:pPr>
        <w:spacing w:after="0" w:line="9" w:lineRule="exact"/>
        <w:rPr>
          <w:rFonts w:ascii="Times New Roman" w:cs="Times New Roman" w:eastAsia="Times New Roman" w:hAnsi="Times New Roman"/>
          <w:sz w:val="18"/>
          <w:szCs w:val="18"/>
          <w:color w:val="auto"/>
        </w:rPr>
      </w:pPr>
    </w:p>
    <w:p>
      <w:pPr>
        <w:ind w:left="660" w:right="94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materials to be discussed on the call can be downloaded from the investor relations section of the Company’s website at https://ir.orchidislandcapital.com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Commenting on the first quarter results, Robert E. Cauley, Chairman and Chief Executive Officer, said, “On February 28, 2026, the markets turned sharply when war broke out in the Middle East after Israel and the United States attacked Iran. Up to that point, the Agency RMBS market was performing very well, the catalyst being a pronouncement by President Trump on January 8, 2026 that the GSEs would seek to buy $200 billion of Agency RMBS in an effort to drive mortgage rates down and the affordability of housing higher. Interest rate volatility continued to decline, as it has since April of 2025, supportive of the sector as well. Away from the mortgage market, there were troubling signs in the economy as private credit concerns mounted, artificial intelligence began to emerge as a significant threat to software developers and many tech firms, previously the leaders of market performance over the last year or so, sold off dramatically. Interest rates, particularly the 10-year U.S. Treasury, declined in yield over the course of February, falling below 4% and mortgage rates declined towards 6%. Prepayment fears mounted quickly, and in fact speeds did increase dramatically in March. These later developments began to erode the strong performance of the sector triggered by the President’s announcement on January 8, 2026.</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onset of war dramatically changed things. The immediate reaction was for interest rates to increase, risk markets – particularly the stock market</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sold off, and implied interest rate volatility increased dramatically. Mortgage sector performance deteriorated quickly as well. Mortgage spreads widened and ended the quarter slightly wider than the end of 2025. Orchid generated a negative 1.3% economic return for the quarter as our book value decline, caused by the widening of mortgages, offset our dividend by $0.10 on a per share basis. Since quarter end, the sector has recovered as implied interest rate volatility has retraced nearly all of the increase triggered by the onset of war and mortgages have tightened, reversing approximately half the war-induced widening as well. A final observation on the impact of the war would be to point out that the market seems equally concerned with the impact of the war on growth, as inflation and longer maturity rates have remained near the levels that existed at the beginning of the war. Conversely, shorter term rates remain elevated, and market pricing of future policy changes on the part of the Fed are at or near zero, resulting in a flatter rate curve. This leaves us with slightly lower return prospects in the mortgage market going forward, but returns are still quite attractive in a historical context. We feel comfortable with our slightly revised dividend rate and view current market conditions as still quite conducive to the performance of levered Agency RMBS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Details of First Quarter 2026 Results of Operations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reported net loss of $(20.0) million for the three month period ended March 31, 2026, compared with a net income of $17.1 million for the three month period ended March 31, 2025. Interest income on the portfolio in the first quarter was up approximately $25.7 million from the fourth quarter of 2025. The yield on our average Agency RMBS increased from 5.57% in the fourth quarter of 2025 to 5.75% for the first quarter of 2026, and our repurchase agreement borrowing costs decreased from 4.14% for the fourth quarter of 2025 to 3.84% for the first quarter of 2026. Book value decreased by $0.46 per share in the first quarter of 2026. The decrease in book value reflects our net loss of $0.11 per share and the dividend distribution of $0.36 per share. The Company recorded net realized and unrealized losses of $69.6 million on Agency RMBS assets and derivative instruments, including net interest income on interest rate swaps.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Prepayments</w:t>
      </w:r>
    </w:p>
    <w:p>
      <w:pPr>
        <w:spacing w:after="0" w:line="22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For the quarter ended March 31, 2026, Orchid received $404.7 million in scheduled and unscheduled principal repayments and prepayments, which equated to a 3-month constant prepayment rate (“CPR”) of approximately 14.7%. Prepayment rates on the two RMBS sub-portfolios were as follows (in CPR):</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20" w:type="dxa"/>
            <w:vAlign w:val="bottom"/>
            <w:tcBorders>
              <w:top w:val="single" w:sz="8" w:color="auto"/>
            </w:tcBorders>
          </w:tcPr>
          <w:p>
            <w:pPr>
              <w:spacing w:after="0"/>
              <w:rPr>
                <w:sz w:val="19"/>
                <w:szCs w:val="19"/>
                <w:color w:val="auto"/>
              </w:rPr>
            </w:pPr>
          </w:p>
        </w:tc>
        <w:tc>
          <w:tcPr>
            <w:tcW w:w="5520" w:type="dxa"/>
            <w:vAlign w:val="bottom"/>
            <w:tcBorders>
              <w:top w:val="single" w:sz="8" w:color="auto"/>
            </w:tcBorders>
          </w:tcPr>
          <w:p>
            <w:pPr>
              <w:jc w:val="center"/>
              <w:ind w:left="3779"/>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203"/>
        </w:trPr>
        <w:tc>
          <w:tcPr>
            <w:tcW w:w="5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520" w:type="dxa"/>
            <w:vAlign w:val="bottom"/>
            <w:tcBorders>
              <w:bottom w:val="single" w:sz="8" w:color="auto"/>
            </w:tcBorders>
            <w:shd w:val="clear" w:color="auto" w:fill="CCEEFF"/>
          </w:tcPr>
          <w:p>
            <w:pPr>
              <w:jc w:val="center"/>
              <w:ind w:left="3779"/>
              <w:spacing w:after="0"/>
              <w:rPr>
                <w:sz w:val="20"/>
                <w:szCs w:val="20"/>
                <w:color w:val="auto"/>
              </w:rPr>
            </w:pPr>
            <w:r>
              <w:rPr>
                <w:rFonts w:ascii="Times New Roman" w:cs="Times New Roman" w:eastAsia="Times New Roman" w:hAnsi="Times New Roman"/>
                <w:sz w:val="16"/>
                <w:szCs w:val="16"/>
                <w:b w:val="1"/>
                <w:bCs w:val="1"/>
                <w:color w:val="auto"/>
              </w:rPr>
              <w:t>Portfolio (%)</w:t>
            </w:r>
          </w:p>
        </w:tc>
      </w:tr>
      <w:tr>
        <w:trPr>
          <w:trHeight w:val="196"/>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5520" w:type="dxa"/>
            <w:vAlign w:val="bottom"/>
          </w:tcPr>
          <w:p>
            <w:pPr>
              <w:jc w:val="center"/>
              <w:ind w:left="3879"/>
              <w:spacing w:after="0"/>
              <w:rPr>
                <w:sz w:val="20"/>
                <w:szCs w:val="20"/>
                <w:color w:val="auto"/>
              </w:rPr>
            </w:pPr>
            <w:r>
              <w:rPr>
                <w:rFonts w:ascii="Times New Roman" w:cs="Times New Roman" w:eastAsia="Times New Roman" w:hAnsi="Times New Roman"/>
                <w:sz w:val="16"/>
                <w:szCs w:val="16"/>
                <w:color w:val="auto"/>
                <w:w w:val="99"/>
              </w:rPr>
              <w:t>14.7</w:t>
            </w:r>
          </w:p>
        </w:tc>
      </w:tr>
      <w:tr>
        <w:trPr>
          <w:trHeight w:val="20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5520" w:type="dxa"/>
            <w:vAlign w:val="bottom"/>
            <w:shd w:val="clear" w:color="auto" w:fill="CCEEFF"/>
          </w:tcPr>
          <w:p>
            <w:pPr>
              <w:jc w:val="center"/>
              <w:ind w:left="3879"/>
              <w:spacing w:after="0"/>
              <w:rPr>
                <w:sz w:val="20"/>
                <w:szCs w:val="20"/>
                <w:color w:val="auto"/>
              </w:rPr>
            </w:pPr>
            <w:r>
              <w:rPr>
                <w:rFonts w:ascii="Times New Roman" w:cs="Times New Roman" w:eastAsia="Times New Roman" w:hAnsi="Times New Roman"/>
                <w:sz w:val="16"/>
                <w:szCs w:val="16"/>
                <w:color w:val="auto"/>
                <w:w w:val="99"/>
              </w:rPr>
              <w:t>15.7</w:t>
            </w: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5520" w:type="dxa"/>
            <w:vAlign w:val="bottom"/>
          </w:tcPr>
          <w:p>
            <w:pPr>
              <w:jc w:val="center"/>
              <w:ind w:left="3879"/>
              <w:spacing w:after="0"/>
              <w:rPr>
                <w:sz w:val="20"/>
                <w:szCs w:val="20"/>
                <w:color w:val="auto"/>
              </w:rPr>
            </w:pPr>
            <w:r>
              <w:rPr>
                <w:rFonts w:ascii="Times New Roman" w:cs="Times New Roman" w:eastAsia="Times New Roman" w:hAnsi="Times New Roman"/>
                <w:sz w:val="16"/>
                <w:szCs w:val="16"/>
                <w:color w:val="auto"/>
                <w:w w:val="99"/>
              </w:rPr>
              <w:t>10.1</w:t>
            </w:r>
          </w:p>
        </w:tc>
      </w:tr>
      <w:tr>
        <w:trPr>
          <w:trHeight w:val="20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5520" w:type="dxa"/>
            <w:vAlign w:val="bottom"/>
            <w:shd w:val="clear" w:color="auto" w:fill="CCEEFF"/>
          </w:tcPr>
          <w:p>
            <w:pPr>
              <w:jc w:val="center"/>
              <w:ind w:left="3879"/>
              <w:spacing w:after="0"/>
              <w:rPr>
                <w:sz w:val="20"/>
                <w:szCs w:val="20"/>
                <w:color w:val="auto"/>
              </w:rPr>
            </w:pPr>
            <w:r>
              <w:rPr>
                <w:rFonts w:ascii="Times New Roman" w:cs="Times New Roman" w:eastAsia="Times New Roman" w:hAnsi="Times New Roman"/>
                <w:sz w:val="16"/>
                <w:szCs w:val="16"/>
                <w:color w:val="auto"/>
                <w:w w:val="99"/>
              </w:rPr>
              <w:t>10.1</w:t>
            </w:r>
          </w:p>
        </w:tc>
      </w:tr>
      <w:tr>
        <w:trPr>
          <w:trHeight w:val="203"/>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5520" w:type="dxa"/>
            <w:vAlign w:val="bottom"/>
            <w:tcBorders>
              <w:bottom w:val="single" w:sz="8" w:color="auto"/>
            </w:tcBorders>
          </w:tcPr>
          <w:p>
            <w:pPr>
              <w:jc w:val="center"/>
              <w:ind w:left="3879"/>
              <w:spacing w:after="0"/>
              <w:rPr>
                <w:sz w:val="20"/>
                <w:szCs w:val="20"/>
                <w:color w:val="auto"/>
              </w:rPr>
            </w:pPr>
            <w:r>
              <w:rPr>
                <w:rFonts w:ascii="Times New Roman" w:cs="Times New Roman" w:eastAsia="Times New Roman" w:hAnsi="Times New Roman"/>
                <w:sz w:val="16"/>
                <w:szCs w:val="16"/>
                <w:color w:val="auto"/>
                <w:w w:val="99"/>
              </w:rPr>
              <w:t>7.8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w:t>
      </w:r>
    </w:p>
    <w:p>
      <w:pPr>
        <w:spacing w:after="0" w:line="229"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certain characteristics of Orchid’s PT RMBS (as defined below) and structured RMBS as of March 31, 2026 and December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3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340" w:type="dxa"/>
            <w:vAlign w:val="bottom"/>
          </w:tcPr>
          <w:p>
            <w:pPr>
              <w:spacing w:after="0"/>
              <w:rPr>
                <w:sz w:val="17"/>
                <w:szCs w:val="17"/>
                <w:color w:val="auto"/>
              </w:rPr>
            </w:pPr>
          </w:p>
        </w:tc>
        <w:tc>
          <w:tcPr>
            <w:tcW w:w="13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89"/>
              </w:rPr>
              <w:t>of</w:t>
            </w:r>
          </w:p>
        </w:tc>
        <w:tc>
          <w:tcPr>
            <w:tcW w:w="13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44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Entire</w:t>
            </w:r>
          </w:p>
        </w:tc>
        <w:tc>
          <w:tcPr>
            <w:tcW w:w="13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3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89"/>
              </w:rPr>
              <w:t>in</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Longest</w:t>
            </w:r>
          </w:p>
        </w:tc>
      </w:tr>
      <w:tr>
        <w:trPr>
          <w:trHeight w:val="215"/>
        </w:trPr>
        <w:tc>
          <w:tcPr>
            <w:tcW w:w="3600" w:type="dxa"/>
            <w:vAlign w:val="bottom"/>
          </w:tcPr>
          <w:p>
            <w:pPr>
              <w:ind w:left="166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110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4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Portfolio</w:t>
            </w:r>
          </w:p>
        </w:tc>
        <w:tc>
          <w:tcPr>
            <w:tcW w:w="13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Coupon</w:t>
            </w:r>
          </w:p>
        </w:tc>
        <w:tc>
          <w:tcPr>
            <w:tcW w:w="13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Months</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Maturity</w:t>
            </w:r>
          </w:p>
        </w:tc>
      </w:tr>
      <w:tr>
        <w:trPr>
          <w:trHeight w:val="199"/>
        </w:trPr>
        <w:tc>
          <w:tcPr>
            <w:tcW w:w="3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Fixed Rate RMBS</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11,326,089</w:t>
            </w:r>
          </w:p>
        </w:tc>
        <w:tc>
          <w:tcPr>
            <w:tcW w:w="14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99.9%</w:t>
            </w: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5.60%</w:t>
            </w:r>
          </w:p>
        </w:tc>
        <w:tc>
          <w:tcPr>
            <w:tcW w:w="13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339</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1-Mar-56</w:t>
            </w:r>
          </w:p>
        </w:tc>
        <w:tc>
          <w:tcPr>
            <w:tcW w:w="20" w:type="dxa"/>
            <w:vAlign w:val="bottom"/>
          </w:tcPr>
          <w:p>
            <w:pPr>
              <w:spacing w:after="0"/>
              <w:rPr>
                <w:sz w:val="17"/>
                <w:szCs w:val="17"/>
                <w:color w:val="auto"/>
              </w:rPr>
            </w:pPr>
          </w:p>
        </w:tc>
      </w:tr>
      <w:tr>
        <w:trPr>
          <w:trHeight w:val="203"/>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12,452</w:t>
            </w:r>
          </w:p>
        </w:tc>
        <w:tc>
          <w:tcPr>
            <w:tcW w:w="14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1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3.35%</w:t>
            </w:r>
          </w:p>
        </w:tc>
        <w:tc>
          <w:tcPr>
            <w:tcW w:w="13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207</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25-Jul-48</w:t>
            </w:r>
          </w:p>
        </w:tc>
        <w:tc>
          <w:tcPr>
            <w:tcW w:w="20" w:type="dxa"/>
            <w:vAlign w:val="bottom"/>
          </w:tcPr>
          <w:p>
            <w:pPr>
              <w:spacing w:after="0"/>
              <w:rPr>
                <w:sz w:val="17"/>
                <w:szCs w:val="17"/>
                <w:color w:val="auto"/>
              </w:rPr>
            </w:pPr>
          </w:p>
        </w:tc>
      </w:tr>
      <w:tr>
        <w:trPr>
          <w:trHeight w:val="236"/>
        </w:trPr>
        <w:tc>
          <w:tcPr>
            <w:tcW w:w="3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Mortgage Assets</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11,338,541</w:t>
            </w: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100.0%</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5.58%</w:t>
            </w: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338</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1-Mar-56</w:t>
            </w:r>
          </w:p>
        </w:tc>
        <w:tc>
          <w:tcPr>
            <w:tcW w:w="20" w:type="dxa"/>
            <w:vAlign w:val="bottom"/>
          </w:tcPr>
          <w:p>
            <w:pPr>
              <w:spacing w:after="0"/>
              <w:rPr>
                <w:sz w:val="20"/>
                <w:szCs w:val="20"/>
                <w:color w:val="auto"/>
              </w:rPr>
            </w:pPr>
          </w:p>
        </w:tc>
      </w:tr>
      <w:tr>
        <w:trPr>
          <w:trHeight w:val="183"/>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Fixed Rate RMBS</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10,615,570</w:t>
            </w:r>
          </w:p>
        </w:tc>
        <w:tc>
          <w:tcPr>
            <w:tcW w:w="14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99.9%</w:t>
            </w: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5.67%</w:t>
            </w:r>
          </w:p>
        </w:tc>
        <w:tc>
          <w:tcPr>
            <w:tcW w:w="13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341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1-Jan-56</w:t>
            </w:r>
          </w:p>
        </w:tc>
        <w:tc>
          <w:tcPr>
            <w:tcW w:w="20" w:type="dxa"/>
            <w:vAlign w:val="bottom"/>
          </w:tcPr>
          <w:p>
            <w:pPr>
              <w:spacing w:after="0"/>
              <w:rPr>
                <w:sz w:val="17"/>
                <w:szCs w:val="17"/>
                <w:color w:val="auto"/>
              </w:rPr>
            </w:pPr>
          </w:p>
        </w:tc>
      </w:tr>
      <w:tr>
        <w:trPr>
          <w:trHeight w:val="203"/>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13,088</w:t>
            </w:r>
          </w:p>
        </w:tc>
        <w:tc>
          <w:tcPr>
            <w:tcW w:w="14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1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3.25%</w:t>
            </w:r>
          </w:p>
        </w:tc>
        <w:tc>
          <w:tcPr>
            <w:tcW w:w="13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210</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25-Jul-48</w:t>
            </w:r>
          </w:p>
        </w:tc>
        <w:tc>
          <w:tcPr>
            <w:tcW w:w="20" w:type="dxa"/>
            <w:vAlign w:val="bottom"/>
          </w:tcPr>
          <w:p>
            <w:pPr>
              <w:spacing w:after="0"/>
              <w:rPr>
                <w:sz w:val="17"/>
                <w:szCs w:val="17"/>
                <w:color w:val="auto"/>
              </w:rPr>
            </w:pPr>
          </w:p>
        </w:tc>
      </w:tr>
      <w:tr>
        <w:trPr>
          <w:trHeight w:val="236"/>
        </w:trPr>
        <w:tc>
          <w:tcPr>
            <w:tcW w:w="3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Mortgage Assets</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10,628,658</w:t>
            </w: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100.0%</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5.64%</w:t>
            </w: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340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1-Jan-56</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6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2"/>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Borders>
              <w:top w:val="single" w:sz="8" w:color="auto"/>
              <w:bottom w:val="single" w:sz="8" w:color="auto"/>
            </w:tcBorders>
          </w:tcPr>
          <w:p>
            <w:pPr>
              <w:spacing w:after="0"/>
              <w:rPr>
                <w:sz w:val="18"/>
                <w:szCs w:val="18"/>
                <w:color w:val="auto"/>
              </w:rPr>
            </w:pPr>
          </w:p>
        </w:tc>
        <w:tc>
          <w:tcPr>
            <w:tcW w:w="2420" w:type="dxa"/>
            <w:vAlign w:val="bottom"/>
            <w:tcBorders>
              <w:top w:val="single" w:sz="8" w:color="auto"/>
              <w:bottom w:val="single" w:sz="8" w:color="auto"/>
            </w:tcBorders>
            <w:gridSpan w:val="2"/>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Pr>
          <w:p>
            <w:pPr>
              <w:spacing w:after="0"/>
              <w:rPr>
                <w:sz w:val="18"/>
                <w:szCs w:val="18"/>
                <w:color w:val="auto"/>
              </w:rPr>
            </w:pPr>
          </w:p>
        </w:tc>
      </w:tr>
      <w:tr>
        <w:trPr>
          <w:trHeight w:val="180"/>
        </w:trPr>
        <w:tc>
          <w:tcPr>
            <w:tcW w:w="34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jc w:val="right"/>
              <w:ind w:right="199"/>
              <w:spacing w:after="0" w:line="181"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20" w:type="dxa"/>
            <w:vAlign w:val="bottom"/>
          </w:tcPr>
          <w:p>
            <w:pPr>
              <w:spacing w:after="0"/>
              <w:rPr>
                <w:sz w:val="15"/>
                <w:szCs w:val="15"/>
                <w:color w:val="auto"/>
              </w:rPr>
            </w:pPr>
          </w:p>
        </w:tc>
      </w:tr>
      <w:tr>
        <w:trPr>
          <w:trHeight w:val="215"/>
        </w:trPr>
        <w:tc>
          <w:tcPr>
            <w:tcW w:w="3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Agency</w:t>
            </w:r>
          </w:p>
        </w:tc>
        <w:tc>
          <w:tcPr>
            <w:tcW w:w="266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Entire Portfolio</w:t>
            </w:r>
          </w:p>
        </w:tc>
        <w:tc>
          <w:tcPr>
            <w:tcW w:w="20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Entire Portfolio</w:t>
            </w:r>
          </w:p>
        </w:tc>
      </w:tr>
      <w:tr>
        <w:trPr>
          <w:trHeight w:val="199"/>
        </w:trPr>
        <w:tc>
          <w:tcPr>
            <w:tcW w:w="3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Fannie Mae</w:t>
            </w:r>
          </w:p>
        </w:tc>
        <w:tc>
          <w:tcPr>
            <w:tcW w:w="2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5,900,504</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5,675,461</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20" w:type="dxa"/>
            <w:vAlign w:val="bottom"/>
          </w:tcPr>
          <w:p>
            <w:pPr>
              <w:spacing w:after="0"/>
              <w:rPr>
                <w:sz w:val="17"/>
                <w:szCs w:val="17"/>
                <w:color w:val="auto"/>
              </w:rPr>
            </w:pPr>
          </w:p>
        </w:tc>
      </w:tr>
      <w:tr>
        <w:trPr>
          <w:trHeight w:val="203"/>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Freddie Mac</w:t>
            </w:r>
          </w:p>
        </w:tc>
        <w:tc>
          <w:tcPr>
            <w:tcW w:w="2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5,438,037</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4,953,197</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20" w:type="dxa"/>
            <w:vAlign w:val="bottom"/>
          </w:tcPr>
          <w:p>
            <w:pPr>
              <w:spacing w:after="0"/>
              <w:rPr>
                <w:sz w:val="17"/>
                <w:szCs w:val="17"/>
                <w:color w:val="auto"/>
              </w:rPr>
            </w:pPr>
          </w:p>
        </w:tc>
      </w:tr>
      <w:tr>
        <w:trPr>
          <w:trHeight w:val="236"/>
        </w:trPr>
        <w:tc>
          <w:tcPr>
            <w:tcW w:w="3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Portfolio</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11,338,541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10,628,658</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tcPr>
          <w:p>
            <w:pPr>
              <w:spacing w:after="0"/>
              <w:rPr>
                <w:sz w:val="20"/>
                <w:szCs w:val="20"/>
                <w:color w:val="auto"/>
              </w:rPr>
            </w:pPr>
          </w:p>
        </w:tc>
      </w:tr>
    </w:tbl>
    <w:p>
      <w:pPr>
        <w:spacing w:after="0" w:line="184"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the Company's portfolio had an effective duration of 3.005, indicating that an interest rate increase of 1.0% would be expected to cause a 3.005% decrease in the value of the RMBS in the Company’s investment portfolio. As of December 31, 2025, the Company's portfolio had</w:t>
      </w:r>
    </w:p>
    <w:p>
      <w:pPr>
        <w:jc w:val="both"/>
        <w:ind w:right="140"/>
        <w:spacing w:after="0" w:line="260" w:lineRule="auto"/>
        <w:rPr>
          <w:sz w:val="20"/>
          <w:szCs w:val="20"/>
          <w:color w:val="auto"/>
        </w:rPr>
      </w:pPr>
      <w:r>
        <w:rPr>
          <w:rFonts w:ascii="Times New Roman" w:cs="Times New Roman" w:eastAsia="Times New Roman" w:hAnsi="Times New Roman"/>
          <w:sz w:val="18"/>
          <w:szCs w:val="18"/>
          <w:color w:val="auto"/>
        </w:rPr>
        <w:t>an effective duration of 2.513, indicating that an interest rate increase of 1.0% would be expected to cause a 2.513% decrease in the value of the RMBS in the Company’s investment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Financing, Leverage and Liquidity</w:t>
      </w:r>
    </w:p>
    <w:p>
      <w:pPr>
        <w:spacing w:after="0" w:line="229"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As of March 31, 2026, the Company had outstanding repurchase obligations of approximately $10.9 billion with a net weighted average borrowing rate of 3.79%. These agreements were collateralized by RMBS with a fair value, including accrued interest, of approximately $11.3 billion and cash pledged to counterparties of approximately $82.6 million. The Company’s adjusted leverage ratio, defined as the balance of repurchase agreement liabilities divided by stockholders' equity, at March 31, 2026 was 7.8 to 1. At March 31, 2026, the Company’s liquidity was approximately $759.0 million consisting of cash and cash equivalents and unpledged securities. Below is a list of our outstanding borrowings under repurchase obligations at March 31,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2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6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7"/>
              </w:rPr>
              <w:t>Weighted</w:t>
            </w:r>
          </w:p>
        </w:tc>
      </w:tr>
      <w:tr>
        <w:trPr>
          <w:trHeight w:val="203"/>
        </w:trPr>
        <w:tc>
          <w:tcPr>
            <w:tcW w:w="4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320" w:type="dxa"/>
            <w:vAlign w:val="bottom"/>
          </w:tcPr>
          <w:p>
            <w:pPr>
              <w:spacing w:after="0"/>
              <w:rPr>
                <w:sz w:val="17"/>
                <w:szCs w:val="17"/>
                <w:color w:val="auto"/>
              </w:rPr>
            </w:pPr>
          </w:p>
        </w:tc>
        <w:tc>
          <w:tcPr>
            <w:tcW w:w="136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4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32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 of</w:t>
            </w:r>
          </w:p>
        </w:tc>
        <w:tc>
          <w:tcPr>
            <w:tcW w:w="136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Maturity</w:t>
            </w:r>
          </w:p>
        </w:tc>
      </w:tr>
      <w:tr>
        <w:trPr>
          <w:trHeight w:val="215"/>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18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w w:val="99"/>
              </w:rPr>
              <w:t>Balances</w:t>
            </w:r>
          </w:p>
        </w:tc>
        <w:tc>
          <w:tcPr>
            <w:tcW w:w="13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6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Rate</w:t>
            </w: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 Days</w:t>
            </w:r>
          </w:p>
        </w:tc>
      </w:tr>
      <w:tr>
        <w:trPr>
          <w:trHeight w:val="19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Wells Fargo Securities, LLC</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548,008</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5.02%</w:t>
            </w: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3.79%</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Citigroup Global Markets Inc</w:t>
            </w:r>
          </w:p>
        </w:tc>
        <w:tc>
          <w:tcPr>
            <w:tcW w:w="1840" w:type="dxa"/>
            <w:vAlign w:val="bottom"/>
          </w:tcPr>
          <w:p>
            <w:pPr>
              <w:spacing w:after="0"/>
              <w:rPr>
                <w:sz w:val="17"/>
                <w:szCs w:val="17"/>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505,729</w:t>
            </w: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4.65%</w:t>
            </w: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3.78%</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Marex Capital Markets Inc.</w:t>
            </w:r>
          </w:p>
        </w:tc>
        <w:tc>
          <w:tcPr>
            <w:tcW w:w="18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504,786</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4.65%</w:t>
            </w: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3.76%</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Hidden Road Partners Civ US LLC</w:t>
            </w:r>
          </w:p>
        </w:tc>
        <w:tc>
          <w:tcPr>
            <w:tcW w:w="1840" w:type="dxa"/>
            <w:vAlign w:val="bottom"/>
          </w:tcPr>
          <w:p>
            <w:pPr>
              <w:spacing w:after="0"/>
              <w:rPr>
                <w:sz w:val="17"/>
                <w:szCs w:val="17"/>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501,964</w:t>
            </w: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4.62%</w:t>
            </w: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3.78%</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ABN AMRO Bank N.V.</w:t>
            </w:r>
          </w:p>
        </w:tc>
        <w:tc>
          <w:tcPr>
            <w:tcW w:w="18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497,665</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4.58%</w:t>
            </w: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3.77%</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ASL Capital Markets Inc.</w:t>
            </w:r>
          </w:p>
        </w:tc>
        <w:tc>
          <w:tcPr>
            <w:tcW w:w="1840" w:type="dxa"/>
            <w:vAlign w:val="bottom"/>
          </w:tcPr>
          <w:p>
            <w:pPr>
              <w:spacing w:after="0"/>
              <w:rPr>
                <w:sz w:val="17"/>
                <w:szCs w:val="17"/>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489,064</w:t>
            </w: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4.50%</w:t>
            </w: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3.80%</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w:t>
            </w: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StoneX Financial Inc.</w:t>
            </w:r>
          </w:p>
        </w:tc>
        <w:tc>
          <w:tcPr>
            <w:tcW w:w="18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488,036</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4.49%</w:t>
            </w: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3.79%</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w:t>
            </w: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The Bank of Nova Scotia</w:t>
            </w:r>
          </w:p>
        </w:tc>
        <w:tc>
          <w:tcPr>
            <w:tcW w:w="1840" w:type="dxa"/>
            <w:vAlign w:val="bottom"/>
          </w:tcPr>
          <w:p>
            <w:pPr>
              <w:spacing w:after="0"/>
              <w:rPr>
                <w:sz w:val="17"/>
                <w:szCs w:val="17"/>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482,071</w:t>
            </w: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4.44%</w:t>
            </w: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3.79%</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South Street Securities, LLC</w:t>
            </w:r>
          </w:p>
        </w:tc>
        <w:tc>
          <w:tcPr>
            <w:tcW w:w="18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477,914</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4.40%</w:t>
            </w: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3.83%</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w:t>
            </w: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J.P. Morgan Securities LLC</w:t>
            </w:r>
          </w:p>
        </w:tc>
        <w:tc>
          <w:tcPr>
            <w:tcW w:w="1840" w:type="dxa"/>
            <w:vAlign w:val="bottom"/>
          </w:tcPr>
          <w:p>
            <w:pPr>
              <w:spacing w:after="0"/>
              <w:rPr>
                <w:sz w:val="17"/>
                <w:szCs w:val="17"/>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470,564</w:t>
            </w: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4.33%</w:t>
            </w: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3.78%</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RBC Capital Markets, LLC</w:t>
            </w:r>
          </w:p>
        </w:tc>
        <w:tc>
          <w:tcPr>
            <w:tcW w:w="18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454,708</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4.19%</w:t>
            </w: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3.83%</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w:t>
            </w: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DV Securities, LLC Repo</w:t>
            </w:r>
          </w:p>
        </w:tc>
        <w:tc>
          <w:tcPr>
            <w:tcW w:w="1840" w:type="dxa"/>
            <w:vAlign w:val="bottom"/>
          </w:tcPr>
          <w:p>
            <w:pPr>
              <w:spacing w:after="0"/>
              <w:rPr>
                <w:sz w:val="17"/>
                <w:szCs w:val="17"/>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450,719</w:t>
            </w: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4.15%</w:t>
            </w: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3.78%</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w:t>
            </w: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Cantor Fitzgerald &amp; Co</w:t>
            </w:r>
          </w:p>
        </w:tc>
        <w:tc>
          <w:tcPr>
            <w:tcW w:w="18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445,482</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4.10%</w:t>
            </w: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3.79%</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Clear Street LLC</w:t>
            </w:r>
          </w:p>
        </w:tc>
        <w:tc>
          <w:tcPr>
            <w:tcW w:w="1840" w:type="dxa"/>
            <w:vAlign w:val="bottom"/>
          </w:tcPr>
          <w:p>
            <w:pPr>
              <w:spacing w:after="0"/>
              <w:rPr>
                <w:sz w:val="17"/>
                <w:szCs w:val="17"/>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437,924</w:t>
            </w: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4.03%</w:t>
            </w: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3.79%</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w:t>
            </w: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Daiwa Securities America Inc.</w:t>
            </w:r>
          </w:p>
        </w:tc>
        <w:tc>
          <w:tcPr>
            <w:tcW w:w="18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432,054</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3.98%</w:t>
            </w: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3.79%</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Banco Santander SA</w:t>
            </w:r>
          </w:p>
        </w:tc>
        <w:tc>
          <w:tcPr>
            <w:tcW w:w="1840" w:type="dxa"/>
            <w:vAlign w:val="bottom"/>
          </w:tcPr>
          <w:p>
            <w:pPr>
              <w:spacing w:after="0"/>
              <w:rPr>
                <w:sz w:val="17"/>
                <w:szCs w:val="17"/>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428,017</w:t>
            </w: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3.94%</w:t>
            </w: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3.79%</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of Montreal</w:t>
            </w:r>
          </w:p>
        </w:tc>
        <w:tc>
          <w:tcPr>
            <w:tcW w:w="18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424,162</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3.90%</w:t>
            </w: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3.80%</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Goldman, Sachs &amp; Co</w:t>
            </w:r>
          </w:p>
        </w:tc>
        <w:tc>
          <w:tcPr>
            <w:tcW w:w="1840" w:type="dxa"/>
            <w:vAlign w:val="bottom"/>
          </w:tcPr>
          <w:p>
            <w:pPr>
              <w:spacing w:after="0"/>
              <w:rPr>
                <w:sz w:val="17"/>
                <w:szCs w:val="17"/>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412,584</w:t>
            </w: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3.80%</w:t>
            </w: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3.80%</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Merrill Lynch, Pierce, Fenner &amp; Smith</w:t>
            </w:r>
          </w:p>
        </w:tc>
        <w:tc>
          <w:tcPr>
            <w:tcW w:w="18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384,964</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3.54%</w:t>
            </w: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3.81%</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ING Financial Markets LLC</w:t>
            </w:r>
          </w:p>
        </w:tc>
        <w:tc>
          <w:tcPr>
            <w:tcW w:w="1840" w:type="dxa"/>
            <w:vAlign w:val="bottom"/>
          </w:tcPr>
          <w:p>
            <w:pPr>
              <w:spacing w:after="0"/>
              <w:rPr>
                <w:sz w:val="17"/>
                <w:szCs w:val="17"/>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376,852</w:t>
            </w: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3.47%</w:t>
            </w: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3.80%</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Mirae Asset Securities (USA) Inc.</w:t>
            </w:r>
          </w:p>
        </w:tc>
        <w:tc>
          <w:tcPr>
            <w:tcW w:w="18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332,010</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3.06%</w:t>
            </w: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3.80%</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r>
      <w:tr>
        <w:trPr>
          <w:trHeight w:val="20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Brean Capital, LLC</w:t>
            </w:r>
          </w:p>
        </w:tc>
        <w:tc>
          <w:tcPr>
            <w:tcW w:w="1840" w:type="dxa"/>
            <w:vAlign w:val="bottom"/>
          </w:tcPr>
          <w:p>
            <w:pPr>
              <w:spacing w:after="0"/>
              <w:rPr>
                <w:sz w:val="17"/>
                <w:szCs w:val="17"/>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286,317</w:t>
            </w: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2.64%</w:t>
            </w: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3.79%</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Mitsubishi UFJ Securities (USA), Inc.</w:t>
            </w:r>
          </w:p>
        </w:tc>
        <w:tc>
          <w:tcPr>
            <w:tcW w:w="18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246,498</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2.27%</w:t>
            </w: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3.80%</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MUFG Securities Canada, Ltd.</w:t>
            </w:r>
          </w:p>
        </w:tc>
        <w:tc>
          <w:tcPr>
            <w:tcW w:w="1840" w:type="dxa"/>
            <w:vAlign w:val="bottom"/>
          </w:tcPr>
          <w:p>
            <w:pPr>
              <w:spacing w:after="0"/>
              <w:rPr>
                <w:sz w:val="17"/>
                <w:szCs w:val="17"/>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236,975</w:t>
            </w: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2.18%</w:t>
            </w: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3.78%</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Nomura Securities International, Inc.</w:t>
            </w:r>
          </w:p>
        </w:tc>
        <w:tc>
          <w:tcPr>
            <w:tcW w:w="18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222,189</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2.05%</w:t>
            </w: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3.79%</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w:t>
            </w: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Mizuho Securities USA LLC</w:t>
            </w:r>
          </w:p>
        </w:tc>
        <w:tc>
          <w:tcPr>
            <w:tcW w:w="1840" w:type="dxa"/>
            <w:vAlign w:val="bottom"/>
          </w:tcPr>
          <w:p>
            <w:pPr>
              <w:spacing w:after="0"/>
              <w:rPr>
                <w:sz w:val="17"/>
                <w:szCs w:val="17"/>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197,403</w:t>
            </w: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1.82%</w:t>
            </w: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3.78%</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Natixis, New York Branch</w:t>
            </w:r>
          </w:p>
        </w:tc>
        <w:tc>
          <w:tcPr>
            <w:tcW w:w="18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97,612</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0.90%</w:t>
            </w: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3.79%</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r>
      <w:tr>
        <w:trPr>
          <w:trHeight w:val="203"/>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Lucid Prime Fund, LLC</w:t>
            </w:r>
          </w:p>
        </w:tc>
        <w:tc>
          <w:tcPr>
            <w:tcW w:w="18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32,452</w:t>
            </w:r>
          </w:p>
        </w:tc>
        <w:tc>
          <w:tcPr>
            <w:tcW w:w="1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0.30%</w:t>
            </w: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3.79%</w:t>
            </w: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236"/>
        </w:trPr>
        <w:tc>
          <w:tcPr>
            <w:tcW w:w="4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 Weighted Average</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10,864,723</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100.00%</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3.79%</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its interest rate risk management strategy, the Company economically hedges a portion of the cost of its repurchase agreement funding against a rise in interest rates by entering into derivative financial instrument contracts. The Company has not elected hedging treatment under U.S. generally accepted accounting principles (“GAAP”) in order to align the accounting treatment of its derivative instruments with the treatment of its portfolio assets under the fair value option election. As such, all gains or losses on these instruments are reflected in earnings for all periods presented.</w:t>
      </w:r>
    </w:p>
    <w:p>
      <w:pPr>
        <w:spacing w:after="0" w:line="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At March 31, 2026, such instruments were comprised of U.S. Treasury note (“T-Note”) and Secured Overnight Financing Rate ("SOFR") futures contracts, interest rate swap agreements and contracts to sell to-be-announced ("TBA")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ind w:left="340"/>
        <w:spacing w:after="0"/>
        <w:rPr>
          <w:sz w:val="20"/>
          <w:szCs w:val="20"/>
          <w:color w:val="auto"/>
        </w:rPr>
      </w:pPr>
      <w:r>
        <w:rPr>
          <w:rFonts w:ascii="Times New Roman" w:cs="Times New Roman" w:eastAsia="Times New Roman" w:hAnsi="Times New Roman"/>
          <w:sz w:val="18"/>
          <w:szCs w:val="18"/>
          <w:color w:val="auto"/>
        </w:rPr>
        <w:t>The table below presents information related to the Company’s T-Note and SOFR futures contracts at March 31,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8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spacing w:after="0"/>
              <w:rPr>
                <w:sz w:val="13"/>
                <w:szCs w:val="13"/>
                <w:color w:val="auto"/>
              </w:rPr>
            </w:pPr>
          </w:p>
        </w:tc>
        <w:tc>
          <w:tcPr>
            <w:tcW w:w="2620" w:type="dxa"/>
            <w:vAlign w:val="bottom"/>
            <w:tcBorders>
              <w:top w:val="single" w:sz="8" w:color="auto"/>
              <w:bottom w:val="single" w:sz="8" w:color="auto"/>
            </w:tcBorders>
            <w:gridSpan w:val="2"/>
          </w:tcPr>
          <w:p>
            <w:pPr>
              <w:jc w:val="right"/>
              <w:ind w:right="888"/>
              <w:spacing w:after="0" w:line="155"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jc w:val="center"/>
              <w:ind w:right="348"/>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400" w:type="dxa"/>
            <w:vAlign w:val="bottom"/>
          </w:tcPr>
          <w:p>
            <w:pPr>
              <w:jc w:val="center"/>
              <w:ind w:right="228"/>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20" w:type="dxa"/>
            <w:vAlign w:val="bottom"/>
          </w:tcPr>
          <w:p>
            <w:pPr>
              <w:jc w:val="center"/>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368"/>
              <w:spacing w:after="0" w:line="149"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140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2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4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Open</w:t>
            </w:r>
          </w:p>
        </w:tc>
        <w:tc>
          <w:tcPr>
            <w:tcW w:w="0" w:type="dxa"/>
            <w:vAlign w:val="bottom"/>
          </w:tcPr>
          <w:p>
            <w:pPr>
              <w:spacing w:after="0"/>
              <w:rPr>
                <w:sz w:val="1"/>
                <w:szCs w:val="1"/>
                <w:color w:val="auto"/>
              </w:rPr>
            </w:pPr>
          </w:p>
        </w:tc>
      </w:tr>
      <w:tr>
        <w:trPr>
          <w:trHeight w:val="148"/>
        </w:trPr>
        <w:tc>
          <w:tcPr>
            <w:tcW w:w="5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Expiration Year</w:t>
            </w:r>
          </w:p>
        </w:tc>
        <w:tc>
          <w:tcPr>
            <w:tcW w:w="180" w:type="dxa"/>
            <w:vAlign w:val="bottom"/>
          </w:tcPr>
          <w:p>
            <w:pPr>
              <w:spacing w:after="0"/>
              <w:rPr>
                <w:sz w:val="12"/>
                <w:szCs w:val="12"/>
                <w:color w:val="auto"/>
              </w:rPr>
            </w:pPr>
          </w:p>
        </w:tc>
        <w:tc>
          <w:tcPr>
            <w:tcW w:w="1200" w:type="dxa"/>
            <w:vAlign w:val="bottom"/>
          </w:tcPr>
          <w:p>
            <w:pPr>
              <w:jc w:val="center"/>
              <w:ind w:right="368"/>
              <w:spacing w:after="0" w:line="149"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40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Entry</w:t>
            </w:r>
          </w:p>
        </w:tc>
        <w:tc>
          <w:tcPr>
            <w:tcW w:w="122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9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22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Equity</w:t>
            </w: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142"/>
        </w:trPr>
        <w:tc>
          <w:tcPr>
            <w:tcW w:w="59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U.S. Treasury Note Futures Contracts (Short Positions)</w:t>
            </w:r>
            <w:r>
              <w:rPr>
                <w:rFonts w:ascii="Times New Roman" w:cs="Times New Roman" w:eastAsia="Times New Roman" w:hAnsi="Times New Roman"/>
                <w:sz w:val="11"/>
                <w:szCs w:val="11"/>
                <w:b w:val="1"/>
                <w:bCs w:val="1"/>
                <w:color w:val="auto"/>
              </w:rPr>
              <w:t>(2)</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June 2026 5-year T-Note futures (Jun 2026 - Jun 2031 Hedge Period)</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180,000</w:t>
            </w:r>
          </w:p>
        </w:tc>
        <w:tc>
          <w:tcPr>
            <w:tcW w:w="14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3.86%</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2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520</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June 2026 10-year T-Note futures (Jun 2026 - Jun 2036 Hedge Period)</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53,000</w:t>
            </w:r>
          </w:p>
        </w:tc>
        <w:tc>
          <w:tcPr>
            <w:tcW w:w="140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148"/>
        </w:trPr>
        <w:tc>
          <w:tcPr>
            <w:tcW w:w="5980" w:type="dxa"/>
            <w:vAlign w:val="bottom"/>
            <w:tcBorders>
              <w:bottom w:val="single" w:sz="8" w:color="auto"/>
            </w:tcBorders>
          </w:tcPr>
          <w:p>
            <w:pPr>
              <w:ind w:left="180"/>
              <w:spacing w:after="0" w:line="149" w:lineRule="exact"/>
              <w:rPr>
                <w:sz w:val="20"/>
                <w:szCs w:val="20"/>
                <w:color w:val="auto"/>
              </w:rPr>
            </w:pPr>
            <w:r>
              <w:rPr>
                <w:rFonts w:ascii="Times New Roman" w:cs="Times New Roman" w:eastAsia="Times New Roman" w:hAnsi="Times New Roman"/>
                <w:sz w:val="14"/>
                <w:szCs w:val="14"/>
                <w:color w:val="auto"/>
              </w:rPr>
              <w:t>June 2026 10-year Ultra futures (Jun 2026 - Jun 2036 Hedge Period)</w:t>
            </w: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60,000</w:t>
            </w:r>
          </w:p>
        </w:tc>
        <w:tc>
          <w:tcPr>
            <w:tcW w:w="140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4.09%</w:t>
            </w: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1,223</w:t>
            </w:r>
          </w:p>
        </w:tc>
        <w:tc>
          <w:tcPr>
            <w:tcW w:w="0" w:type="dxa"/>
            <w:vAlign w:val="bottom"/>
          </w:tcPr>
          <w:p>
            <w:pPr>
              <w:spacing w:after="0"/>
              <w:rPr>
                <w:sz w:val="1"/>
                <w:szCs w:val="1"/>
                <w:color w:val="auto"/>
              </w:rPr>
            </w:pPr>
          </w:p>
        </w:tc>
      </w:tr>
      <w:tr>
        <w:trPr>
          <w:trHeight w:val="142"/>
        </w:trPr>
        <w:tc>
          <w:tcPr>
            <w:tcW w:w="59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SOFR Futures Contracts (Short Positions)</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June 2026 3-Month SOFR futures (Mar 2026 - Jun 2026 Hedge Period)</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97,500</w:t>
            </w:r>
          </w:p>
        </w:tc>
        <w:tc>
          <w:tcPr>
            <w:tcW w:w="14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3.55%</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2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September 2026 3-Month SOFR futures (Jun 2026 - Sep 2026 Hedge Period)</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97,500</w:t>
            </w:r>
          </w:p>
        </w:tc>
        <w:tc>
          <w:tcPr>
            <w:tcW w:w="140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3.38%</w:t>
            </w: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48"/>
        </w:trPr>
        <w:tc>
          <w:tcPr>
            <w:tcW w:w="59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December 2026 3-Month SOFR futures (Sep 2026 - Dec 2026 Hedge Period)</w:t>
            </w:r>
          </w:p>
        </w:tc>
        <w:tc>
          <w:tcPr>
            <w:tcW w:w="180" w:type="dxa"/>
            <w:vAlign w:val="bottom"/>
          </w:tcPr>
          <w:p>
            <w:pPr>
              <w:spacing w:after="0"/>
              <w:rPr>
                <w:sz w:val="12"/>
                <w:szCs w:val="12"/>
                <w:color w:val="auto"/>
              </w:rPr>
            </w:pPr>
          </w:p>
        </w:tc>
        <w:tc>
          <w:tcPr>
            <w:tcW w:w="12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97,500</w:t>
            </w:r>
          </w:p>
        </w:tc>
        <w:tc>
          <w:tcPr>
            <w:tcW w:w="14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22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386</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March 2027 3-Month SOFR futures (Dec 2026 - Mar 2027 Hedge Period)</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97,500</w:t>
            </w:r>
          </w:p>
        </w:tc>
        <w:tc>
          <w:tcPr>
            <w:tcW w:w="140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149"/>
        </w:trPr>
        <w:tc>
          <w:tcPr>
            <w:tcW w:w="5980" w:type="dxa"/>
            <w:vAlign w:val="bottom"/>
            <w:tcBorders>
              <w:bottom w:val="single" w:sz="8" w:color="auto"/>
            </w:tcBorders>
          </w:tcPr>
          <w:p>
            <w:pPr>
              <w:ind w:left="180"/>
              <w:spacing w:after="0" w:line="149" w:lineRule="exact"/>
              <w:rPr>
                <w:sz w:val="20"/>
                <w:szCs w:val="20"/>
                <w:color w:val="auto"/>
              </w:rPr>
            </w:pPr>
            <w:r>
              <w:rPr>
                <w:rFonts w:ascii="Times New Roman" w:cs="Times New Roman" w:eastAsia="Times New Roman" w:hAnsi="Times New Roman"/>
                <w:sz w:val="14"/>
                <w:szCs w:val="14"/>
                <w:color w:val="auto"/>
              </w:rPr>
              <w:t>June 2027 3-Month SOFR futures (Mar 2027 - Jun 2027 Hedge Period)</w:t>
            </w: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97,500</w:t>
            </w:r>
          </w:p>
        </w:tc>
        <w:tc>
          <w:tcPr>
            <w:tcW w:w="140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142"/>
        </w:trPr>
        <w:tc>
          <w:tcPr>
            <w:tcW w:w="59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ERIS SOFR Swap Futures Contracts (Short Positions)</w:t>
            </w:r>
            <w:r>
              <w:rPr>
                <w:rFonts w:ascii="Times New Roman" w:cs="Times New Roman" w:eastAsia="Times New Roman" w:hAnsi="Times New Roman"/>
                <w:sz w:val="11"/>
                <w:szCs w:val="11"/>
                <w:b w:val="1"/>
                <w:bCs w:val="1"/>
                <w:color w:val="auto"/>
              </w:rPr>
              <w:t>(3)</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Borders>
              <w:bottom w:val="single" w:sz="8" w:color="auto"/>
            </w:tcBorders>
          </w:tcPr>
          <w:p>
            <w:pPr>
              <w:ind w:left="180"/>
              <w:spacing w:after="0" w:line="149" w:lineRule="exact"/>
              <w:rPr>
                <w:sz w:val="20"/>
                <w:szCs w:val="20"/>
                <w:color w:val="auto"/>
              </w:rPr>
            </w:pPr>
            <w:r>
              <w:rPr>
                <w:rFonts w:ascii="Times New Roman" w:cs="Times New Roman" w:eastAsia="Times New Roman" w:hAnsi="Times New Roman"/>
                <w:sz w:val="14"/>
                <w:szCs w:val="14"/>
                <w:color w:val="auto"/>
              </w:rPr>
              <w:t>June 2026 5-Year Term, 3.75% fixed rate, (Jun 2026 - June 2031 Hedge Period)</w:t>
            </w: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40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3.42%</w:t>
            </w: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2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Open equity represents the cumulative gains (losses) recorded on open futures positions from inception.</w:t>
      </w:r>
    </w:p>
    <w:p>
      <w:pPr>
        <w:spacing w:after="0" w:line="26" w:lineRule="exact"/>
        <w:rPr>
          <w:rFonts w:ascii="Times New Roman" w:cs="Times New Roman" w:eastAsia="Times New Roman" w:hAnsi="Times New Roman"/>
          <w:sz w:val="16"/>
          <w:szCs w:val="16"/>
          <w:color w:val="auto"/>
        </w:rPr>
      </w:pPr>
    </w:p>
    <w:p>
      <w:pPr>
        <w:ind w:left="340" w:right="40" w:hanging="332"/>
        <w:spacing w:after="0" w:line="264"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5-Year T-Note futures contracts were valued at a price of $108.18 at March 31, 2026. The aggregate contract values of the short positions were $194.7 million at March 31, 2026. 10-Year T-Note futures contracts were valued at a price of $111.05 at March 31, 2026. The aggregate contract values of the short positions were $58.9 million at March 31, 2026. 10-Year Ultra futures contracts were valued at a price of $113.52 at March 31, 2026. The aggregate contract values of the short positions were $68.1 million at March 31, 2026.</w:t>
      </w:r>
    </w:p>
    <w:p>
      <w:pPr>
        <w:ind w:left="340" w:hanging="332"/>
        <w:spacing w:after="0"/>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ERIS swap futures are exchange traded futures that replicate the cash flows of an underlying swap position.</w:t>
      </w: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information related to the Company’s interest rate swap positions at March 31, 2026.</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6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Fixed</w:t>
            </w:r>
          </w:p>
        </w:tc>
        <w:tc>
          <w:tcPr>
            <w:tcW w:w="1340" w:type="dxa"/>
            <w:vAlign w:val="bottom"/>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2"/>
        </w:trPr>
        <w:tc>
          <w:tcPr>
            <w:tcW w:w="3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40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Pay</w:t>
            </w:r>
          </w:p>
        </w:tc>
        <w:tc>
          <w:tcPr>
            <w:tcW w:w="1340" w:type="dxa"/>
            <w:vAlign w:val="bottom"/>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Receive</w:t>
            </w: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Maturity</w:t>
            </w:r>
          </w:p>
        </w:tc>
      </w:tr>
      <w:tr>
        <w:trPr>
          <w:trHeight w:val="215"/>
        </w:trPr>
        <w:tc>
          <w:tcPr>
            <w:tcW w:w="38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340" w:type="dxa"/>
            <w:vAlign w:val="bottom"/>
            <w:tcBorders>
              <w:bottom w:val="single" w:sz="8" w:color="auto"/>
            </w:tcBorders>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Rate</w:t>
            </w:r>
          </w:p>
        </w:tc>
        <w:tc>
          <w:tcPr>
            <w:tcW w:w="11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4"/>
              </w:rPr>
              <w:t>(Years)</w:t>
            </w:r>
          </w:p>
        </w:tc>
      </w:tr>
      <w:tr>
        <w:trPr>
          <w:trHeight w:val="19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Expiration &gt; 1 to ≤ 5 years</w:t>
            </w:r>
          </w:p>
        </w:tc>
        <w:tc>
          <w:tcPr>
            <w:tcW w:w="2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4,792,800</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3.40%</w:t>
            </w:r>
          </w:p>
        </w:tc>
        <w:tc>
          <w:tcPr>
            <w:tcW w:w="1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3.68%</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r>
      <w:tr>
        <w:trPr>
          <w:trHeight w:val="203"/>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Expiration &gt; 5 years</w:t>
            </w:r>
          </w:p>
        </w:tc>
        <w:tc>
          <w:tcPr>
            <w:tcW w:w="2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2,221,400</w:t>
            </w: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3.90%</w:t>
            </w:r>
          </w:p>
        </w:tc>
        <w:tc>
          <w:tcPr>
            <w:tcW w:w="13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3.68%</w:t>
            </w: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8.0</w:t>
            </w:r>
          </w:p>
        </w:tc>
      </w:tr>
      <w:tr>
        <w:trPr>
          <w:trHeight w:val="236"/>
        </w:trPr>
        <w:tc>
          <w:tcPr>
            <w:tcW w:w="3860" w:type="dxa"/>
            <w:vAlign w:val="bottom"/>
            <w:tcBorders>
              <w:bottom w:val="single" w:sz="8" w:color="auto"/>
            </w:tcBorders>
            <w:shd w:val="clear" w:color="auto" w:fill="CCEEFF"/>
          </w:tcPr>
          <w:p>
            <w:pPr>
              <w:spacing w:after="0"/>
              <w:rPr>
                <w:sz w:val="20"/>
                <w:szCs w:val="20"/>
                <w:color w:val="auto"/>
              </w:rPr>
            </w:pPr>
          </w:p>
        </w:tc>
        <w:tc>
          <w:tcPr>
            <w:tcW w:w="2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7,014,200</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3.56%</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3.68%</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contracts to sell TBA securities as of March 31, 2026.</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Long</w:t>
            </w:r>
          </w:p>
        </w:tc>
        <w:tc>
          <w:tcPr>
            <w:tcW w:w="300" w:type="dxa"/>
            <w:vAlign w:val="bottom"/>
          </w:tcPr>
          <w:p>
            <w:pPr>
              <w:spacing w:after="0"/>
              <w:rPr>
                <w:sz w:val="17"/>
                <w:szCs w:val="17"/>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80" w:type="dxa"/>
            <w:vAlign w:val="bottom"/>
          </w:tcPr>
          <w:p>
            <w:pPr>
              <w:spacing w:after="0"/>
              <w:rPr>
                <w:sz w:val="17"/>
                <w:szCs w:val="17"/>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280" w:type="dxa"/>
            <w:vAlign w:val="bottom"/>
          </w:tcPr>
          <w:p>
            <w:pPr>
              <w:spacing w:after="0"/>
              <w:rPr>
                <w:sz w:val="17"/>
                <w:szCs w:val="17"/>
                <w:color w:val="auto"/>
              </w:rPr>
            </w:pPr>
          </w:p>
        </w:tc>
        <w:tc>
          <w:tcPr>
            <w:tcW w:w="114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12"/>
        </w:trPr>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160" w:type="dxa"/>
            <w:vAlign w:val="bottom"/>
          </w:tcPr>
          <w:p>
            <w:pPr>
              <w:spacing w:after="0"/>
              <w:rPr>
                <w:sz w:val="18"/>
                <w:szCs w:val="18"/>
                <w:color w:val="auto"/>
              </w:rPr>
            </w:pPr>
          </w:p>
        </w:tc>
        <w:tc>
          <w:tcPr>
            <w:tcW w:w="120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(Short)(1)</w:t>
            </w:r>
          </w:p>
        </w:tc>
        <w:tc>
          <w:tcPr>
            <w:tcW w:w="30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Basis(2)</w:t>
            </w:r>
          </w:p>
        </w:tc>
        <w:tc>
          <w:tcPr>
            <w:tcW w:w="280" w:type="dxa"/>
            <w:vAlign w:val="bottom"/>
          </w:tcPr>
          <w:p>
            <w:pPr>
              <w:spacing w:after="0"/>
              <w:rPr>
                <w:sz w:val="18"/>
                <w:szCs w:val="18"/>
                <w:color w:val="auto"/>
              </w:rPr>
            </w:pPr>
          </w:p>
        </w:tc>
        <w:tc>
          <w:tcPr>
            <w:tcW w:w="11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Value(3)</w:t>
            </w:r>
          </w:p>
        </w:tc>
        <w:tc>
          <w:tcPr>
            <w:tcW w:w="280" w:type="dxa"/>
            <w:vAlign w:val="bottom"/>
          </w:tcPr>
          <w:p>
            <w:pPr>
              <w:spacing w:after="0"/>
              <w:rPr>
                <w:sz w:val="18"/>
                <w:szCs w:val="18"/>
                <w:color w:val="auto"/>
              </w:rPr>
            </w:pPr>
          </w:p>
        </w:tc>
        <w:tc>
          <w:tcPr>
            <w:tcW w:w="114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8"/>
              </w:rPr>
              <w:t>Value(4)</w:t>
            </w:r>
          </w:p>
        </w:tc>
        <w:tc>
          <w:tcPr>
            <w:tcW w:w="0" w:type="dxa"/>
            <w:vAlign w:val="bottom"/>
          </w:tcPr>
          <w:p>
            <w:pPr>
              <w:spacing w:after="0"/>
              <w:rPr>
                <w:sz w:val="1"/>
                <w:szCs w:val="1"/>
                <w:color w:val="auto"/>
              </w:rPr>
            </w:pPr>
          </w:p>
        </w:tc>
      </w:tr>
      <w:tr>
        <w:trPr>
          <w:trHeight w:val="205"/>
        </w:trPr>
        <w:tc>
          <w:tcPr>
            <w:tcW w:w="3560" w:type="dxa"/>
            <w:vAlign w:val="bottom"/>
            <w:tcBorders>
              <w:bottom w:val="single" w:sz="8" w:color="auto"/>
            </w:tcBorders>
            <w:vMerge w:val="continue"/>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15-Year TBA securities:</w:t>
            </w:r>
          </w:p>
        </w:tc>
        <w:tc>
          <w:tcPr>
            <w:tcW w:w="2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2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250,000</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248,506</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247,871</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30-Year TBA securities:</w:t>
            </w:r>
          </w:p>
        </w:tc>
        <w:tc>
          <w:tcPr>
            <w:tcW w:w="2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6.5%</w:t>
            </w:r>
          </w:p>
        </w:tc>
        <w:tc>
          <w:tcPr>
            <w:tcW w:w="2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(160,595)</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(160,214)</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95,000</w:t>
            </w:r>
          </w:p>
        </w:tc>
        <w:tc>
          <w:tcPr>
            <w:tcW w:w="3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87,911</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87,657</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Notional amount represents the par value (or principal balance) of the underlying Agency RMBS.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basis represents the forward price to be paid (received) for the underlying Agency RMBS.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represents the current market value of the TBA securities (or of the underlying Agency RMBS) as of period-end.</w:t>
      </w:r>
    </w:p>
    <w:p>
      <w:pPr>
        <w:spacing w:after="0" w:line="9" w:lineRule="exact"/>
        <w:rPr>
          <w:rFonts w:ascii="Times New Roman" w:cs="Times New Roman" w:eastAsia="Times New Roman" w:hAnsi="Times New Roman"/>
          <w:sz w:val="18"/>
          <w:szCs w:val="18"/>
          <w:color w:val="auto"/>
        </w:rPr>
      </w:pPr>
    </w:p>
    <w:p>
      <w:pPr>
        <w:ind w:left="260" w:right="520" w:hanging="252"/>
        <w:spacing w:after="0" w:line="260" w:lineRule="auto"/>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carrying value represents the difference between the market value and the cost basis of the TBA securities as of period-end and is reported in derivative assets (liabilities) at fair value in our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addition to other requirements that must be satisfied to qualify as a REIT, we must pay annual dividends to our stockholders of at least 90% of our REIT taxable income, determined without regard to the deduction for dividends paid and excluding any net capital gains. We intend to pay regular monthly dividends to our stockholders and have declared the following dividends since our February 2013 IPO.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36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Per Share Amount</w:t>
            </w:r>
          </w:p>
        </w:tc>
        <w:tc>
          <w:tcPr>
            <w:tcW w:w="4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2013</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6.975</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4,662</w:t>
            </w: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2014</w:t>
            </w:r>
          </w:p>
        </w:tc>
        <w:tc>
          <w:tcPr>
            <w:tcW w:w="360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10.800</w:t>
            </w:r>
          </w:p>
        </w:tc>
        <w:tc>
          <w:tcPr>
            <w:tcW w:w="4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22,643</w:t>
            </w:r>
          </w:p>
        </w:tc>
      </w:tr>
      <w:tr>
        <w:trPr>
          <w:trHeight w:val="20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2015</w:t>
            </w:r>
          </w:p>
        </w:tc>
        <w:tc>
          <w:tcPr>
            <w:tcW w:w="3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9.600</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38,748</w:t>
            </w: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2016</w:t>
            </w:r>
          </w:p>
        </w:tc>
        <w:tc>
          <w:tcPr>
            <w:tcW w:w="360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8.400</w:t>
            </w:r>
          </w:p>
        </w:tc>
        <w:tc>
          <w:tcPr>
            <w:tcW w:w="4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41,388</w:t>
            </w:r>
          </w:p>
        </w:tc>
      </w:tr>
      <w:tr>
        <w:trPr>
          <w:trHeight w:val="20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2017</w:t>
            </w:r>
          </w:p>
        </w:tc>
        <w:tc>
          <w:tcPr>
            <w:tcW w:w="3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8.400</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70,717</w:t>
            </w: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2018</w:t>
            </w:r>
          </w:p>
        </w:tc>
        <w:tc>
          <w:tcPr>
            <w:tcW w:w="360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5.350</w:t>
            </w:r>
          </w:p>
        </w:tc>
        <w:tc>
          <w:tcPr>
            <w:tcW w:w="4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55,814</w:t>
            </w:r>
          </w:p>
        </w:tc>
      </w:tr>
      <w:tr>
        <w:trPr>
          <w:trHeight w:val="20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2019</w:t>
            </w:r>
          </w:p>
        </w:tc>
        <w:tc>
          <w:tcPr>
            <w:tcW w:w="3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4.800</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54,421</w:t>
            </w: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2020</w:t>
            </w:r>
          </w:p>
        </w:tc>
        <w:tc>
          <w:tcPr>
            <w:tcW w:w="360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3.950</w:t>
            </w:r>
          </w:p>
        </w:tc>
        <w:tc>
          <w:tcPr>
            <w:tcW w:w="4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53,570</w:t>
            </w:r>
          </w:p>
        </w:tc>
      </w:tr>
      <w:tr>
        <w:trPr>
          <w:trHeight w:val="20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w:t>
            </w:r>
          </w:p>
        </w:tc>
        <w:tc>
          <w:tcPr>
            <w:tcW w:w="3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3.900</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97,601</w:t>
            </w: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360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2.475</w:t>
            </w:r>
          </w:p>
        </w:tc>
        <w:tc>
          <w:tcPr>
            <w:tcW w:w="4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87,906</w:t>
            </w:r>
          </w:p>
        </w:tc>
      </w:tr>
      <w:tr>
        <w:trPr>
          <w:trHeight w:val="20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3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1.800</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81,127</w:t>
            </w:r>
          </w:p>
        </w:tc>
      </w:tr>
      <w:tr>
        <w:trPr>
          <w:trHeight w:val="20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360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1.440</w:t>
            </w:r>
          </w:p>
        </w:tc>
        <w:tc>
          <w:tcPr>
            <w:tcW w:w="4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96,309</w:t>
            </w:r>
          </w:p>
        </w:tc>
      </w:tr>
      <w:tr>
        <w:trPr>
          <w:trHeight w:val="20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36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1.440</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190,930</w:t>
            </w:r>
          </w:p>
        </w:tc>
      </w:tr>
      <w:tr>
        <w:trPr>
          <w:trHeight w:val="203"/>
        </w:trPr>
        <w:tc>
          <w:tcPr>
            <w:tcW w:w="448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5"/>
                <w:szCs w:val="15"/>
                <w:color w:val="auto"/>
              </w:rPr>
              <w:t>2026 - YTD</w:t>
            </w:r>
            <w:r>
              <w:rPr>
                <w:rFonts w:ascii="Times New Roman" w:cs="Times New Roman" w:eastAsia="Times New Roman" w:hAnsi="Times New Roman"/>
                <w:sz w:val="23"/>
                <w:szCs w:val="23"/>
                <w:color w:val="auto"/>
                <w:vertAlign w:val="superscript"/>
              </w:rPr>
              <w:t>(1)</w:t>
            </w:r>
          </w:p>
        </w:tc>
        <w:tc>
          <w:tcPr>
            <w:tcW w:w="36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0.460</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89,100</w:t>
            </w:r>
          </w:p>
        </w:tc>
      </w:tr>
      <w:tr>
        <w:trPr>
          <w:trHeight w:val="236"/>
        </w:trPr>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Totals</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69.790</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984,936</w:t>
            </w:r>
          </w:p>
        </w:tc>
      </w:tr>
    </w:tbl>
    <w:p>
      <w:pPr>
        <w:spacing w:after="0" w:line="202" w:lineRule="exact"/>
        <w:rPr>
          <w:sz w:val="20"/>
          <w:szCs w:val="20"/>
          <w:color w:val="auto"/>
        </w:rPr>
      </w:pPr>
    </w:p>
    <w:p>
      <w:pPr>
        <w:ind w:left="340" w:right="60" w:hanging="332"/>
        <w:spacing w:after="0" w:line="298"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15, 2026, the Company declared a dividend of $0.10 per share to be paid on May 28, 2026. The effect of this dividend is included in the table above but is not reflected in the Company’s financial statements as of March 31,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 Value Per Share</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Company's book value per share at March 31, 2026 was $7.08. The Company computes book value per share by dividing total stockholders' equity by the total number of shares outstanding of the Company's common stock. At March 31, 2026, the Company's stockholders' equity was $1,391.8 million with 196,700,226 shares of common stock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Offerings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On June 11, 2024, we entered into an equity distribution agreement (the “June 2024 Equity Distribution Agreement”) with three sales agents pursuant to which we could offer and sell, from time to time, up to an aggregate amount of $250,000,000 of gross proceeds from the sales of shares of our common stock in transactions that were deemed to be “at the market” offerings and privately negotiated transactions. We issued a total of 30,513,253 shares under the June 2024 Equity Distribution Agreement for aggregate gross proceeds of approximately $250.0 million and net proceeds of approximately $245.8 million, after commissions and fees, prior to its termination in February 2025.</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24, 2025, we entered into an equity distribution agreement (the “February 2025 Equity Distribution Agreement”) with four sales agents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which we could offer and sell, from time to time, up to an aggregate amount of $350,000,000 of gross proceeds from the sales of shares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transactions that were deemed to be “at the market” offerings and privately negotiated transactions. On July 28, 2025, the February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Distribution Agreement was amended to increase the aggregate amount of gross proceeds from the sales of shares that may be offered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$150,000,000 to a total of $500,000,000. During the three months ended December 31, 2025, we issued a total of 3,472,759 shares under the February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Equity Distribution Agreement for aggregate gross proceeds of approximately $24.9 million and net proceeds of approximately $24.5 million,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commissions and fees. We issued a total of 59,492,504 shares under the February 2025 Equity Distribution Agreement for aggregate gross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$445.1 million and net proceeds of approximately $438.0 million, after commissions and fees, prior to its termination in October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October 27, 2025, we entered into an equity distribution agreement (the “October 2025 Equity Distribution Agreement”) with four sales agents pursuant to which we may offer and sell, from time to time, up to an aggregate amount of $500,000,000 of gross proceeds from the sales of shares of our common stock in transactions that are deemed to be “at the market” offerings and privately negotiated transactions. From inception through March 31, 2026, we issued a total of 44,824,644 shares under the October 2025 Equity Distribution Agreement for aggregate gross proceeds of approximately $332.7 million, and net proceeds of approximately $327.5 million, after commissions and fees. For the three months ended March 31, 2026, we issued a total of 14,558,681 shares under the October 2025 Equity Distribution Agreement for aggregate gross proceeds of approximately $109.5 million, and net proceeds of approximately $107.8 million, after commissions and fees. Subsequent to March 31, 2026, we issued a total of 4,000,000 shares under the October</w:t>
      </w:r>
    </w:p>
    <w:p>
      <w:pPr>
        <w:spacing w:after="0" w:line="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2025 Equity Distribution Agreement for aggregate gross proceeds of approximately $28.2 million, and net proceeds of approximately $27.8 million, after commissions and fees.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July 29, 2015, the Company’s Board of Directors authorized the repurchase of up to 400,000 shares of our common stock. The timing, manner, price and amount of any repurchases is determined by the Company in its discretion and is subject to economic and market conditions, stock price, applicable legal requirements and other factors. The authorization does not obligate the Company to acquire any particular amount of common stock and the program may be suspended or discontinued at the Company’s discretion without prior notice. On February 8, 2018, the Board of Directors approved an increase in the stock repurchase program for up to an additional 904,564 shares of the Company’s common stock. Coupled with the 156,751 shares remaining from the original 400,000 share authorization, the increased authorization brought the total authorization to 1,061,316 shares, representing 10% of the Company’s then outstanding share count. On December 9, 2021, the Board of Directors approved an increase in the number of shares of the Company’s common stock available in the stock repurchase program for up to an additional 3,372,399 shares, bringing the remaining authorization under the stock repurchase program to 3,539,861 shares, representing approximately 10% of the Company’s then outstanding shares of common stock. On October 12, 2022, the Board of Directors approved an increase in the number of shares of the Company’s common stock available in the stock repurchase program for up to an additional 4,300,000 shares, bringing the remaining authorization under the stock repurchase program to 6,183,601 shares, representing approximately 18% of the Company’s then outstanding shares of common stock. This stock repurchase program has no termination date.</w:t>
      </w:r>
    </w:p>
    <w:p>
      <w:pPr>
        <w:spacing w:after="0" w:line="19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From the inception of the stock repurchase program through March 31, 2026, the Company repurchased a total of 6,257,826 shares at an aggregate cost of approximately $84.8 million, including commissions and fees, for a weighted average price of $13.55 per share. There were no shares repurchased during the three months ended March 31, 2026. The remaining authorization under the stock repurchase program as of April 24, 2026 was 2,719,137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 Details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An earnings conference call and live audio webcast will be hosted Friday, April 24, 2026, at 10:00 AM ET. Participants can register and receive dial-in information at https://register-conf.media-server.com/register/BI266e379979aa4520a3ba4758231f2955. A live audio webcast of the conference call can be accessed at https://edge.media-server.com/mmc/p/pp74w7ci or via the investor relations section of the Company's website at https://ir.orchidislandcapital.com. An audio archive of the webcast will be available for 30 days after the call.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Orchid Island Capital, Inc.</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Orchid Island Capital, Inc. is a specialty finance company that invests on a leveraged basis in Agency RMBS. Our investment strategy focuses on, and our portfolio consists of, two categories of Agency RMBS: (i) traditional pass-through Agency RMBS, such as mortgage pass-through certificates, and CMOs issued by the GSEs, and (ii) structured Agency RMBS, such as IOs, IIOs and principal only securities, among other types of structured Agency RMBS. Orchid is managed by Bimini Advisors, LLC, a registered investment adviser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Statements herein relating to matters that are not historical facts, including, but not limited to statements regarding interest rates, inflation, liquidity, pledging of our structured RMBS, funding levels and spreads, prepayment speeds, portfolio composition, positioning and repositioning, hedging levels, leverage ratio, dividends, investment and return opportunities, the supply and demand for Agency RMBS and the performance of the Agency RMBS sector generally, the effect of actual or expected actions of the U.S. government, including the Fed, market expectations, capital raising, future opportunities and prospects of the Company, the stock repurchase program, geopolitical uncertainty and general economic conditions (including the effects of artificial intelligence, wars, tariffs, trade wars, inflation, the U.S. deficit, U.S. government shutdowns, and the strength of the U.S. dollar), are forward-looking statements as defined in the Private Securities Litigation Reform Act of 1995. The reader is cautioned that such forward-looking statements are based on information available at the time and on management's good faith belief with respect to future events, and are subject to risks and uncertainties that could cause actual performance or results to differ materially from those expressed in such forward-looking statements. Important factors that could cause such differences are described in Orchid Island Capital, Inc.'s filings with the Securities and Exchange Commission, including its most recent Annual Report on Form 10-K and Quarterly Reports on Form 10-Q. Orchid Island Capital, Inc. assumes no obligation to update forward-looking statements to reflect subsequent results, changes in assumptions or changes in other factors affecting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Orchid Island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E. Cauley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772-231-1400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https://ir.orchidislandcapital.com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0" w:name="page11"/>
    <w:bookmarkEnd w:id="10"/>
    <w:p>
      <w:pPr>
        <w:ind w:left="160"/>
        <w:spacing w:after="0"/>
        <w:rPr>
          <w:sz w:val="20"/>
          <w:szCs w:val="20"/>
          <w:color w:val="auto"/>
        </w:rPr>
      </w:pPr>
      <w:r>
        <w:rPr>
          <w:rFonts w:ascii="Times New Roman" w:cs="Times New Roman" w:eastAsia="Times New Roman" w:hAnsi="Times New Roman"/>
          <w:sz w:val="18"/>
          <w:szCs w:val="18"/>
          <w:b w:val="1"/>
          <w:bCs w:val="1"/>
          <w:color w:val="auto"/>
        </w:rPr>
        <w:t>Summarized Financial Statements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summarized presentation of the unaudited balance sheets as of March 31, 2026, and December 31, 2025, and the unaudited quarterly statements of operations for the three months ended March 31, 2026 and 2025. Amounts presented are subject to change.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ORCHID ISLAND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Amounts Subject to Change)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6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Mortgage-backed securities, at fair value</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11,338,541</w:t>
            </w:r>
          </w:p>
        </w:tc>
        <w:tc>
          <w:tcPr>
            <w:tcW w:w="4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10,628,658</w:t>
            </w:r>
          </w:p>
        </w:tc>
      </w:tr>
      <w:tr>
        <w:trPr>
          <w:trHeight w:val="20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Treasury securities, available-for-sale</w:t>
            </w:r>
          </w:p>
        </w:tc>
        <w:tc>
          <w:tcPr>
            <w:tcW w:w="1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155,095</w:t>
            </w: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135,133</w:t>
            </w: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18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760,134</w:t>
            </w:r>
          </w:p>
        </w:tc>
        <w:tc>
          <w:tcPr>
            <w:tcW w:w="4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724,561</w:t>
            </w:r>
          </w:p>
        </w:tc>
      </w:tr>
      <w:tr>
        <w:trPr>
          <w:trHeight w:val="20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53,880</w:t>
            </w: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49,127</w:t>
            </w: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18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3,008</w:t>
            </w:r>
          </w:p>
        </w:tc>
        <w:tc>
          <w:tcPr>
            <w:tcW w:w="4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9,253</w:t>
            </w:r>
          </w:p>
        </w:tc>
      </w:tr>
      <w:tr>
        <w:trPr>
          <w:trHeight w:val="20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Reverse repurchase agreements</w:t>
            </w:r>
          </w:p>
        </w:tc>
        <w:tc>
          <w:tcPr>
            <w:tcW w:w="1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358,740</w:t>
            </w: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128,613</w:t>
            </w: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Receivable for investment securities and TBA transactions</w:t>
            </w:r>
          </w:p>
        </w:tc>
        <w:tc>
          <w:tcPr>
            <w:tcW w:w="118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597</w:t>
            </w:r>
          </w:p>
        </w:tc>
        <w:tc>
          <w:tcPr>
            <w:tcW w:w="4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1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1,396</w:t>
            </w:r>
          </w:p>
        </w:tc>
        <w:tc>
          <w:tcPr>
            <w:tcW w:w="4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648</w:t>
            </w:r>
          </w:p>
        </w:tc>
      </w:tr>
      <w:tr>
        <w:trPr>
          <w:trHeight w:val="196"/>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12,671,391</w:t>
            </w:r>
          </w:p>
        </w:tc>
        <w:tc>
          <w:tcPr>
            <w:tcW w:w="4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11,675,993</w:t>
            </w: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69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agreements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10,864,723</w:t>
            </w:r>
          </w:p>
        </w:tc>
        <w:tc>
          <w:tcPr>
            <w:tcW w:w="4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10,115,466</w:t>
            </w: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Payable for investment securities and TBA transactions</w:t>
            </w:r>
          </w:p>
        </w:tc>
        <w:tc>
          <w:tcPr>
            <w:tcW w:w="118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1,519</w:t>
            </w:r>
          </w:p>
        </w:tc>
      </w:tr>
      <w:tr>
        <w:trPr>
          <w:trHeight w:val="20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payable</w:t>
            </w:r>
          </w:p>
        </w:tc>
        <w:tc>
          <w:tcPr>
            <w:tcW w:w="1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23,629</w:t>
            </w: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21,865</w:t>
            </w: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18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635</w:t>
            </w:r>
          </w:p>
        </w:tc>
        <w:tc>
          <w:tcPr>
            <w:tcW w:w="4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1,846</w:t>
            </w:r>
          </w:p>
        </w:tc>
      </w:tr>
      <w:tr>
        <w:trPr>
          <w:trHeight w:val="20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interest payable</w:t>
            </w:r>
          </w:p>
        </w:tc>
        <w:tc>
          <w:tcPr>
            <w:tcW w:w="1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28,458</w:t>
            </w: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31,397</w:t>
            </w: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Due to affiliates</w:t>
            </w:r>
          </w:p>
        </w:tc>
        <w:tc>
          <w:tcPr>
            <w:tcW w:w="118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1,788</w:t>
            </w:r>
          </w:p>
        </w:tc>
        <w:tc>
          <w:tcPr>
            <w:tcW w:w="4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1,661</w:t>
            </w:r>
          </w:p>
        </w:tc>
      </w:tr>
      <w:tr>
        <w:trPr>
          <w:trHeight w:val="20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Obligation to return securities borrowed under reverse repurchase agreements, at fair value</w:t>
            </w:r>
          </w:p>
        </w:tc>
        <w:tc>
          <w:tcPr>
            <w:tcW w:w="1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359,202</w:t>
            </w: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128,724</w:t>
            </w:r>
          </w:p>
        </w:tc>
      </w:tr>
      <w:tr>
        <w:trPr>
          <w:trHeight w:val="203"/>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1,148</w:t>
            </w: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1,567</w:t>
            </w:r>
          </w:p>
        </w:tc>
      </w:tr>
      <w:tr>
        <w:trPr>
          <w:trHeight w:val="19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11,279,583</w:t>
            </w: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10,304,045</w:t>
            </w:r>
          </w:p>
        </w:tc>
      </w:tr>
      <w:tr>
        <w:trPr>
          <w:trHeight w:val="203"/>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1,391,808</w:t>
            </w: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1,371,948</w:t>
            </w:r>
          </w:p>
        </w:tc>
      </w:tr>
      <w:tr>
        <w:trPr>
          <w:trHeight w:val="236"/>
        </w:trPr>
        <w:tc>
          <w:tcPr>
            <w:tcW w:w="6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12,671,391</w:t>
            </w:r>
          </w:p>
        </w:tc>
        <w:tc>
          <w:tcPr>
            <w:tcW w:w="4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11,675,993</w:t>
            </w:r>
          </w:p>
        </w:tc>
      </w:tr>
      <w:tr>
        <w:trPr>
          <w:trHeight w:val="18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Common shares outstanding</w:t>
            </w:r>
          </w:p>
        </w:tc>
        <w:tc>
          <w:tcPr>
            <w:tcW w:w="1180" w:type="dxa"/>
            <w:vAlign w:val="bottom"/>
          </w:tcPr>
          <w:p>
            <w:pPr>
              <w:spacing w:after="0"/>
              <w:rPr>
                <w:sz w:val="15"/>
                <w:szCs w:val="15"/>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196,700,226</w:t>
            </w:r>
          </w:p>
        </w:tc>
        <w:tc>
          <w:tcPr>
            <w:tcW w:w="460" w:type="dxa"/>
            <w:vAlign w:val="bottom"/>
          </w:tcPr>
          <w:p>
            <w:pPr>
              <w:spacing w:after="0"/>
              <w:rPr>
                <w:sz w:val="15"/>
                <w:szCs w:val="15"/>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181,985,900</w:t>
            </w:r>
          </w:p>
        </w:tc>
      </w:tr>
      <w:tr>
        <w:trPr>
          <w:trHeight w:val="203"/>
        </w:trPr>
        <w:tc>
          <w:tcPr>
            <w:tcW w:w="6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Book value per share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7.08</w:t>
            </w:r>
          </w:p>
        </w:tc>
        <w:tc>
          <w:tcPr>
            <w:tcW w:w="4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7.54</w:t>
            </w:r>
          </w:p>
        </w:tc>
      </w:tr>
      <w:tr>
        <w:trPr>
          <w:trHeight w:val="783"/>
        </w:trPr>
        <w:tc>
          <w:tcPr>
            <w:tcW w:w="69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ORCHID ISLAND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Amounts Subject to Change)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0" w:type="dxa"/>
            <w:vAlign w:val="bottom"/>
          </w:tcPr>
          <w:p>
            <w:pPr>
              <w:spacing w:after="0"/>
              <w:rPr>
                <w:sz w:val="18"/>
                <w:szCs w:val="18"/>
                <w:color w:val="auto"/>
              </w:rPr>
            </w:pPr>
          </w:p>
        </w:tc>
      </w:tr>
      <w:tr>
        <w:trPr>
          <w:trHeight w:val="215"/>
        </w:trPr>
        <w:tc>
          <w:tcPr>
            <w:tcW w:w="7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r>
      <w:tr>
        <w:trPr>
          <w:trHeight w:val="19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157,838</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81,090</w:t>
            </w:r>
          </w:p>
        </w:tc>
        <w:tc>
          <w:tcPr>
            <w:tcW w:w="20" w:type="dxa"/>
            <w:vAlign w:val="bottom"/>
          </w:tcPr>
          <w:p>
            <w:pPr>
              <w:spacing w:after="0"/>
              <w:rPr>
                <w:sz w:val="17"/>
                <w:szCs w:val="17"/>
                <w:color w:val="auto"/>
              </w:rPr>
            </w:pPr>
          </w:p>
        </w:tc>
      </w:tr>
      <w:tr>
        <w:trPr>
          <w:trHeight w:val="203"/>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(100,775)</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(61,377)</w:t>
            </w:r>
          </w:p>
        </w:tc>
        <w:tc>
          <w:tcPr>
            <w:tcW w:w="20" w:type="dxa"/>
            <w:vAlign w:val="bottom"/>
          </w:tcPr>
          <w:p>
            <w:pPr>
              <w:spacing w:after="0"/>
              <w:rPr>
                <w:sz w:val="17"/>
                <w:szCs w:val="17"/>
                <w:color w:val="auto"/>
              </w:rPr>
            </w:pPr>
          </w:p>
        </w:tc>
      </w:tr>
      <w:tr>
        <w:trPr>
          <w:trHeight w:val="19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interest income</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57,063</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19,713</w:t>
            </w:r>
          </w:p>
        </w:tc>
        <w:tc>
          <w:tcPr>
            <w:tcW w:w="20" w:type="dxa"/>
            <w:vAlign w:val="bottom"/>
          </w:tcPr>
          <w:p>
            <w:pPr>
              <w:spacing w:after="0"/>
              <w:rPr>
                <w:sz w:val="17"/>
                <w:szCs w:val="17"/>
                <w:color w:val="auto"/>
              </w:rPr>
            </w:pPr>
          </w:p>
        </w:tc>
      </w:tr>
      <w:tr>
        <w:trPr>
          <w:trHeight w:val="203"/>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Losses (gains) on RMBS and derivative contracts</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(69,621)</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1,635</w:t>
            </w:r>
          </w:p>
        </w:tc>
        <w:tc>
          <w:tcPr>
            <w:tcW w:w="20" w:type="dxa"/>
            <w:vAlign w:val="bottom"/>
          </w:tcPr>
          <w:p>
            <w:pPr>
              <w:spacing w:after="0"/>
              <w:rPr>
                <w:sz w:val="17"/>
                <w:szCs w:val="17"/>
                <w:color w:val="auto"/>
              </w:rPr>
            </w:pPr>
          </w:p>
        </w:tc>
      </w:tr>
      <w:tr>
        <w:trPr>
          <w:trHeight w:val="19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portfolio (loss) income</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(12,558)</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21,348</w:t>
            </w:r>
          </w:p>
        </w:tc>
        <w:tc>
          <w:tcPr>
            <w:tcW w:w="20" w:type="dxa"/>
            <w:vAlign w:val="bottom"/>
          </w:tcPr>
          <w:p>
            <w:pPr>
              <w:spacing w:after="0"/>
              <w:rPr>
                <w:sz w:val="17"/>
                <w:szCs w:val="17"/>
                <w:color w:val="auto"/>
              </w:rPr>
            </w:pPr>
          </w:p>
        </w:tc>
      </w:tr>
      <w:tr>
        <w:trPr>
          <w:trHeight w:val="203"/>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Expenses</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7,397</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4,226</w:t>
            </w:r>
          </w:p>
        </w:tc>
        <w:tc>
          <w:tcPr>
            <w:tcW w:w="20" w:type="dxa"/>
            <w:vAlign w:val="bottom"/>
          </w:tcPr>
          <w:p>
            <w:pPr>
              <w:spacing w:after="0"/>
              <w:rPr>
                <w:sz w:val="17"/>
                <w:szCs w:val="17"/>
                <w:color w:val="auto"/>
              </w:rPr>
            </w:pPr>
          </w:p>
        </w:tc>
      </w:tr>
      <w:tr>
        <w:trPr>
          <w:trHeight w:val="19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(19,955)</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17,122</w:t>
            </w:r>
          </w:p>
        </w:tc>
        <w:tc>
          <w:tcPr>
            <w:tcW w:w="20" w:type="dxa"/>
            <w:vAlign w:val="bottom"/>
          </w:tcPr>
          <w:p>
            <w:pPr>
              <w:spacing w:after="0"/>
              <w:rPr>
                <w:sz w:val="17"/>
                <w:szCs w:val="17"/>
                <w:color w:val="auto"/>
              </w:rPr>
            </w:pPr>
          </w:p>
        </w:tc>
      </w:tr>
      <w:tr>
        <w:trPr>
          <w:trHeight w:val="203"/>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250</w:t>
            </w:r>
          </w:p>
        </w:tc>
        <w:tc>
          <w:tcPr>
            <w:tcW w:w="20" w:type="dxa"/>
            <w:vAlign w:val="bottom"/>
          </w:tcPr>
          <w:p>
            <w:pPr>
              <w:spacing w:after="0"/>
              <w:rPr>
                <w:sz w:val="17"/>
                <w:szCs w:val="17"/>
                <w:color w:val="auto"/>
              </w:rPr>
            </w:pPr>
          </w:p>
        </w:tc>
      </w:tr>
      <w:tr>
        <w:trPr>
          <w:trHeight w:val="236"/>
        </w:trPr>
        <w:tc>
          <w:tcPr>
            <w:tcW w:w="7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net</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(20,234)</w:t>
            </w:r>
          </w:p>
        </w:tc>
        <w:tc>
          <w:tcPr>
            <w:tcW w:w="4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17,372</w:t>
            </w:r>
          </w:p>
        </w:tc>
        <w:tc>
          <w:tcPr>
            <w:tcW w:w="20" w:type="dxa"/>
            <w:vAlign w:val="bottom"/>
          </w:tcPr>
          <w:p>
            <w:pPr>
              <w:spacing w:after="0"/>
              <w:rPr>
                <w:sz w:val="20"/>
                <w:szCs w:val="20"/>
                <w:color w:val="auto"/>
              </w:rPr>
            </w:pPr>
          </w:p>
        </w:tc>
      </w:tr>
      <w:tr>
        <w:trPr>
          <w:trHeight w:val="183"/>
        </w:trPr>
        <w:tc>
          <w:tcPr>
            <w:tcW w:w="7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and diluted net (loss) income per share</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0.18</w:t>
            </w:r>
          </w:p>
        </w:tc>
        <w:tc>
          <w:tcPr>
            <w:tcW w:w="20" w:type="dxa"/>
            <w:vAlign w:val="bottom"/>
          </w:tcPr>
          <w:p>
            <w:pPr>
              <w:spacing w:after="0"/>
              <w:rPr>
                <w:sz w:val="17"/>
                <w:szCs w:val="17"/>
                <w:color w:val="auto"/>
              </w:rPr>
            </w:pPr>
          </w:p>
        </w:tc>
      </w:tr>
      <w:tr>
        <w:trPr>
          <w:trHeight w:val="203"/>
        </w:trPr>
        <w:tc>
          <w:tcPr>
            <w:tcW w:w="7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28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189,259,574</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95,174,719</w:t>
            </w:r>
          </w:p>
        </w:tc>
        <w:tc>
          <w:tcPr>
            <w:tcW w:w="20" w:type="dxa"/>
            <w:vAlign w:val="bottom"/>
          </w:tcPr>
          <w:p>
            <w:pPr>
              <w:spacing w:after="0"/>
              <w:rPr>
                <w:sz w:val="17"/>
                <w:szCs w:val="17"/>
                <w:color w:val="auto"/>
              </w:rPr>
            </w:pPr>
          </w:p>
        </w:tc>
      </w:tr>
      <w:tr>
        <w:trPr>
          <w:trHeight w:val="20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Dividends Declared Per Common Share:</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0.36</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0.36</w:t>
            </w:r>
          </w:p>
        </w:tc>
        <w:tc>
          <w:tcPr>
            <w:tcW w:w="20" w:type="dxa"/>
            <w:vAlign w:val="bottom"/>
          </w:tcPr>
          <w:p>
            <w:pPr>
              <w:spacing w:after="0"/>
              <w:rPr>
                <w:sz w:val="17"/>
                <w:szCs w:val="17"/>
                <w:color w:val="auto"/>
              </w:rPr>
            </w:pPr>
          </w:p>
        </w:tc>
      </w:tr>
      <w:tr>
        <w:trPr>
          <w:trHeight w:val="223"/>
        </w:trPr>
        <w:tc>
          <w:tcPr>
            <w:tcW w:w="7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0" w:type="dxa"/>
            <w:vAlign w:val="bottom"/>
            <w:gridSpan w:val="4"/>
          </w:tcPr>
          <w:p>
            <w:pPr>
              <w:spacing w:after="0"/>
              <w:rPr>
                <w:sz w:val="19"/>
                <w:szCs w:val="19"/>
                <w:color w:val="auto"/>
              </w:rPr>
            </w:pPr>
          </w:p>
        </w:tc>
      </w:tr>
      <w:tr>
        <w:trPr>
          <w:trHeight w:val="203"/>
        </w:trPr>
        <w:tc>
          <w:tcPr>
            <w:tcW w:w="798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2980" w:type="dxa"/>
            <w:vAlign w:val="bottom"/>
            <w:tcBorders>
              <w:top w:val="single" w:sz="8" w:color="auto"/>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0" w:type="dxa"/>
            <w:vAlign w:val="bottom"/>
          </w:tcPr>
          <w:p>
            <w:pPr>
              <w:spacing w:after="0"/>
              <w:rPr>
                <w:sz w:val="17"/>
                <w:szCs w:val="17"/>
                <w:color w:val="auto"/>
              </w:rPr>
            </w:pPr>
          </w:p>
        </w:tc>
      </w:tr>
      <w:tr>
        <w:trPr>
          <w:trHeight w:val="196"/>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Key Balance Sheet Metrics</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r>
      <w:tr>
        <w:trPr>
          <w:trHeight w:val="196"/>
        </w:trPr>
        <w:tc>
          <w:tcPr>
            <w:tcW w:w="7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Average RMBS</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10,983,600</w:t>
            </w:r>
          </w:p>
        </w:tc>
        <w:tc>
          <w:tcPr>
            <w:tcW w:w="4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5,995,702</w:t>
            </w:r>
          </w:p>
        </w:tc>
        <w:tc>
          <w:tcPr>
            <w:tcW w:w="20" w:type="dxa"/>
            <w:vAlign w:val="bottom"/>
          </w:tcPr>
          <w:p>
            <w:pPr>
              <w:spacing w:after="0"/>
              <w:rPr>
                <w:sz w:val="17"/>
                <w:szCs w:val="17"/>
                <w:color w:val="auto"/>
              </w:rPr>
            </w:pPr>
          </w:p>
        </w:tc>
      </w:tr>
      <w:tr>
        <w:trPr>
          <w:trHeight w:val="203"/>
        </w:trPr>
        <w:tc>
          <w:tcPr>
            <w:tcW w:w="798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Average repurchase agreements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7"/>
                <w:szCs w:val="17"/>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10,490,095</w:t>
            </w:r>
          </w:p>
        </w:tc>
        <w:tc>
          <w:tcPr>
            <w:tcW w:w="40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5,722,092</w:t>
            </w:r>
          </w:p>
        </w:tc>
        <w:tc>
          <w:tcPr>
            <w:tcW w:w="20" w:type="dxa"/>
            <w:vAlign w:val="bottom"/>
          </w:tcPr>
          <w:p>
            <w:pPr>
              <w:spacing w:after="0"/>
              <w:rPr>
                <w:sz w:val="17"/>
                <w:szCs w:val="17"/>
                <w:color w:val="auto"/>
              </w:rPr>
            </w:pPr>
          </w:p>
        </w:tc>
      </w:tr>
      <w:tr>
        <w:trPr>
          <w:trHeight w:val="203"/>
        </w:trPr>
        <w:tc>
          <w:tcPr>
            <w:tcW w:w="79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Average stockholders' equity</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1,381,878</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762,190</w:t>
            </w:r>
          </w:p>
        </w:tc>
        <w:tc>
          <w:tcPr>
            <w:tcW w:w="20" w:type="dxa"/>
            <w:vAlign w:val="bottom"/>
          </w:tcPr>
          <w:p>
            <w:pPr>
              <w:spacing w:after="0"/>
              <w:rPr>
                <w:sz w:val="17"/>
                <w:szCs w:val="17"/>
                <w:color w:val="auto"/>
              </w:rPr>
            </w:pPr>
          </w:p>
        </w:tc>
      </w:tr>
      <w:tr>
        <w:trPr>
          <w:trHeight w:val="203"/>
        </w:trPr>
        <w:tc>
          <w:tcPr>
            <w:tcW w:w="798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Adjusted leverage ratio</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7"/>
                <w:szCs w:val="17"/>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7.8:1</w:t>
            </w:r>
          </w:p>
        </w:tc>
        <w:tc>
          <w:tcPr>
            <w:tcW w:w="40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7.5:1</w:t>
            </w:r>
          </w:p>
        </w:tc>
        <w:tc>
          <w:tcPr>
            <w:tcW w:w="20" w:type="dxa"/>
            <w:vAlign w:val="bottom"/>
          </w:tcPr>
          <w:p>
            <w:pPr>
              <w:spacing w:after="0"/>
              <w:rPr>
                <w:sz w:val="17"/>
                <w:szCs w:val="17"/>
                <w:color w:val="auto"/>
              </w:rPr>
            </w:pPr>
          </w:p>
        </w:tc>
      </w:tr>
      <w:tr>
        <w:trPr>
          <w:trHeight w:val="203"/>
        </w:trPr>
        <w:tc>
          <w:tcPr>
            <w:tcW w:w="79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Economic leverage ratio</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7.9:1</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7.8:1</w:t>
            </w:r>
          </w:p>
        </w:tc>
        <w:tc>
          <w:tcPr>
            <w:tcW w:w="20" w:type="dxa"/>
            <w:vAlign w:val="bottom"/>
          </w:tcPr>
          <w:p>
            <w:pPr>
              <w:spacing w:after="0"/>
              <w:rPr>
                <w:sz w:val="17"/>
                <w:szCs w:val="17"/>
                <w:color w:val="auto"/>
              </w:rPr>
            </w:pPr>
          </w:p>
        </w:tc>
      </w:tr>
      <w:tr>
        <w:trPr>
          <w:trHeight w:val="202"/>
        </w:trPr>
        <w:tc>
          <w:tcPr>
            <w:tcW w:w="7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Key Performance Metrics</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98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Average yield on RMBS</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20" w:type="dxa"/>
            <w:vAlign w:val="bottom"/>
          </w:tcPr>
          <w:p>
            <w:pPr>
              <w:spacing w:after="0"/>
              <w:rPr>
                <w:sz w:val="17"/>
                <w:szCs w:val="17"/>
                <w:color w:val="auto"/>
              </w:rPr>
            </w:pPr>
          </w:p>
        </w:tc>
      </w:tr>
      <w:tr>
        <w:trPr>
          <w:trHeight w:val="203"/>
        </w:trPr>
        <w:tc>
          <w:tcPr>
            <w:tcW w:w="79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Average cost of funds</w:t>
            </w:r>
            <w:r>
              <w:rPr>
                <w:rFonts w:ascii="Times New Roman" w:cs="Times New Roman" w:eastAsia="Times New Roman" w:hAnsi="Times New Roman"/>
                <w:sz w:val="23"/>
                <w:szCs w:val="23"/>
                <w:color w:val="auto"/>
                <w:vertAlign w:val="superscript"/>
              </w:rPr>
              <w:t>(4)</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20" w:type="dxa"/>
            <w:vAlign w:val="bottom"/>
          </w:tcPr>
          <w:p>
            <w:pPr>
              <w:spacing w:after="0"/>
              <w:rPr>
                <w:sz w:val="17"/>
                <w:szCs w:val="17"/>
                <w:color w:val="auto"/>
              </w:rPr>
            </w:pPr>
          </w:p>
        </w:tc>
      </w:tr>
      <w:tr>
        <w:trPr>
          <w:trHeight w:val="203"/>
        </w:trPr>
        <w:tc>
          <w:tcPr>
            <w:tcW w:w="798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Average economic cost of funds</w:t>
            </w:r>
            <w:r>
              <w:rPr>
                <w:rFonts w:ascii="Times New Roman" w:cs="Times New Roman" w:eastAsia="Times New Roman" w:hAnsi="Times New Roman"/>
                <w:sz w:val="23"/>
                <w:szCs w:val="23"/>
                <w:color w:val="auto"/>
                <w:vertAlign w:val="superscript"/>
              </w:rPr>
              <w:t>(5)</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20" w:type="dxa"/>
            <w:vAlign w:val="bottom"/>
          </w:tcPr>
          <w:p>
            <w:pPr>
              <w:spacing w:after="0"/>
              <w:rPr>
                <w:sz w:val="17"/>
                <w:szCs w:val="17"/>
                <w:color w:val="auto"/>
              </w:rPr>
            </w:pPr>
          </w:p>
        </w:tc>
      </w:tr>
      <w:tr>
        <w:trPr>
          <w:trHeight w:val="203"/>
        </w:trPr>
        <w:tc>
          <w:tcPr>
            <w:tcW w:w="79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Average interest rate spread</w:t>
            </w:r>
            <w:r>
              <w:rPr>
                <w:rFonts w:ascii="Times New Roman" w:cs="Times New Roman" w:eastAsia="Times New Roman" w:hAnsi="Times New Roman"/>
                <w:sz w:val="23"/>
                <w:szCs w:val="23"/>
                <w:color w:val="auto"/>
                <w:vertAlign w:val="superscript"/>
              </w:rPr>
              <w:t>(6)</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0" w:type="dxa"/>
            <w:vAlign w:val="bottom"/>
          </w:tcPr>
          <w:p>
            <w:pPr>
              <w:spacing w:after="0"/>
              <w:rPr>
                <w:sz w:val="17"/>
                <w:szCs w:val="17"/>
                <w:color w:val="auto"/>
              </w:rPr>
            </w:pPr>
          </w:p>
        </w:tc>
      </w:tr>
      <w:tr>
        <w:trPr>
          <w:trHeight w:val="203"/>
        </w:trPr>
        <w:tc>
          <w:tcPr>
            <w:tcW w:w="798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5"/>
                <w:szCs w:val="15"/>
                <w:color w:val="auto"/>
              </w:rPr>
              <w:t>Average economic interest rate spread</w:t>
            </w:r>
            <w:r>
              <w:rPr>
                <w:rFonts w:ascii="Times New Roman" w:cs="Times New Roman" w:eastAsia="Times New Roman" w:hAnsi="Times New Roman"/>
                <w:sz w:val="23"/>
                <w:szCs w:val="23"/>
                <w:color w:val="auto"/>
                <w:vertAlign w:val="superscript"/>
              </w:rPr>
              <w:t>(7)</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ind w:left="880" w:hanging="319"/>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RMBS, borrowings and stockholders’ equity balances are calculated using two data points, the beginning and ending balances.</w:t>
      </w:r>
    </w:p>
    <w:p>
      <w:pPr>
        <w:spacing w:after="0" w:line="26" w:lineRule="exact"/>
        <w:rPr>
          <w:rFonts w:ascii="Times New Roman" w:cs="Times New Roman" w:eastAsia="Times New Roman" w:hAnsi="Times New Roman"/>
          <w:sz w:val="16"/>
          <w:szCs w:val="16"/>
          <w:color w:val="auto"/>
        </w:rPr>
      </w:pPr>
    </w:p>
    <w:p>
      <w:pPr>
        <w:ind w:left="880" w:hanging="319"/>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adjusted leverage ratio is calculated by dividing ending repurchase agreement liabilities by ending stockholders’ equity.</w:t>
      </w:r>
    </w:p>
    <w:p>
      <w:pPr>
        <w:spacing w:after="0" w:line="18" w:lineRule="exact"/>
        <w:rPr>
          <w:rFonts w:ascii="Times New Roman" w:cs="Times New Roman" w:eastAsia="Times New Roman" w:hAnsi="Times New Roman"/>
          <w:sz w:val="16"/>
          <w:szCs w:val="16"/>
          <w:color w:val="auto"/>
        </w:rPr>
      </w:pPr>
    </w:p>
    <w:p>
      <w:pPr>
        <w:ind w:left="880" w:right="460" w:hanging="319"/>
        <w:spacing w:after="0" w:line="264" w:lineRule="auto"/>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economic leverage ratio is calculated by dividing ending total liabilities, adjusted for net notional TBA positions and securities borrowed, by ending stockholders' equity.</w:t>
      </w:r>
    </w:p>
    <w:p>
      <w:pPr>
        <w:ind w:left="880" w:right="60" w:hanging="319"/>
        <w:spacing w:after="0" w:line="264" w:lineRule="auto"/>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Portfolio yields and costs of funds are calculated based on the average balances of the underlying investment portfolio/borrowings balances and are annualized for the quarterly periods presented.</w:t>
      </w:r>
    </w:p>
    <w:p>
      <w:pPr>
        <w:ind w:left="880" w:right="140" w:hanging="319"/>
        <w:spacing w:after="0" w:line="264" w:lineRule="auto"/>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interest cost of our borrowings and the effect of derivative agreements attributed to the period related to hedging activities, divided by average borrowings.</w:t>
      </w:r>
    </w:p>
    <w:p>
      <w:pPr>
        <w:ind w:left="880" w:hanging="319"/>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interest rate spread is calculated by subtracting average cost of funds from average yield on RMBS.</w:t>
      </w:r>
    </w:p>
    <w:p>
      <w:pPr>
        <w:spacing w:after="0" w:line="18" w:lineRule="exact"/>
        <w:rPr>
          <w:rFonts w:ascii="Times New Roman" w:cs="Times New Roman" w:eastAsia="Times New Roman" w:hAnsi="Times New Roman"/>
          <w:sz w:val="16"/>
          <w:szCs w:val="16"/>
          <w:color w:val="auto"/>
        </w:rPr>
      </w:pPr>
    </w:p>
    <w:p>
      <w:pPr>
        <w:ind w:left="880" w:hanging="319"/>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economic interest rate spread is calculated by subtracting average economic cost of funds from average yield on RMBS.</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endash "/>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2026-04-23T16:32:10Z</dcterms:created>
  <dcterms:modified xsi:type="dcterms:W3CDTF">2026-04-23T16:32:10Z</dcterms:modified>
</cp:coreProperties>
</file>