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1524635</wp:posOffset>
            </wp:positionH>
            <wp:positionV relativeFrom="page">
              <wp:posOffset>1107440</wp:posOffset>
            </wp:positionV>
            <wp:extent cx="4645660" cy="859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45660" cy="859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Calibri" w:cs="Calibri" w:eastAsia="Calibri" w:hAnsi="Calibri"/>
          <w:sz w:val="96"/>
          <w:szCs w:val="96"/>
          <w:color w:val="auto"/>
        </w:rPr>
        <w:t>20Ϯϱ</w:t>
      </w:r>
      <w:r>
        <w:rPr>
          <w:rFonts w:ascii="PMingLiU" w:cs="PMingLiU" w:eastAsia="PMingLiU" w:hAnsi="PMingLiU"/>
          <w:sz w:val="96"/>
          <w:szCs w:val="96"/>
          <w:color w:val="auto"/>
        </w:rPr>
        <w:t/>
      </w:r>
      <w:r>
        <w:rPr>
          <w:rFonts w:ascii="Calibri" w:cs="Calibri" w:eastAsia="Calibri" w:hAnsi="Calibri"/>
          <w:sz w:val="96"/>
          <w:szCs w:val="96"/>
          <w:color w:val="auto"/>
        </w:rPr>
        <w:t>ANNUAL</w:t>
      </w:r>
      <w:r>
        <w:rPr>
          <w:rFonts w:ascii="PMingLiU" w:cs="PMingLiU" w:eastAsia="PMingLiU" w:hAnsi="PMingLiU"/>
          <w:sz w:val="96"/>
          <w:szCs w:val="96"/>
          <w:color w:val="auto"/>
        </w:rPr>
        <w:t/>
      </w:r>
      <w:r>
        <w:rPr>
          <w:rFonts w:ascii="Calibri" w:cs="Calibri" w:eastAsia="Calibri" w:hAnsi="Calibri"/>
          <w:sz w:val="96"/>
          <w:szCs w:val="96"/>
          <w:color w:val="auto"/>
        </w:rPr>
        <w:t>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33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854075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921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67.25pt" to="576pt,67.25pt" o:allowincell="f" strokecolor="#000000" strokeweight="2.3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1076960</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889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84.8pt" to="576pt,84.8pt" o:allowincell="f" strokecolor="#000000" strokeweight="0.7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2571115</wp:posOffset>
                </wp:positionH>
                <wp:positionV relativeFrom="paragraph">
                  <wp:posOffset>170180</wp:posOffset>
                </wp:positionV>
                <wp:extent cx="17145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887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5pt,13.4pt" to="337.45pt,13.4pt" o:allowincell="f" strokecolor="#000000" strokeweight="0.6989pt"/>
            </w:pict>
          </mc:Fallback>
        </mc:AlternateConten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81" w:lineRule="exact"/>
        <w:rPr>
          <w:sz w:val="20"/>
          <w:szCs w:val="20"/>
          <w:color w:val="auto"/>
        </w:rPr>
      </w:pPr>
    </w:p>
    <w:p>
      <w:pPr>
        <w:jc w:val="center"/>
        <w:ind w:left="3520" w:right="400" w:hanging="3122"/>
        <w:spacing w:after="0" w:line="419" w:lineRule="auto"/>
        <w:tabs>
          <w:tab w:leader="none" w:pos="630" w:val="left"/>
        </w:tabs>
        <w:numPr>
          <w:ilvl w:val="1"/>
          <w:numId w:val="1"/>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2025</w:t>
      </w:r>
    </w:p>
    <w:p>
      <w:pPr>
        <w:spacing w:after="0" w:line="89" w:lineRule="exact"/>
        <w:rPr>
          <w:rFonts w:ascii="Segoe UI" w:cs="Segoe UI" w:eastAsia="Segoe UI" w:hAnsi="Segoe UI"/>
          <w:sz w:val="20"/>
          <w:szCs w:val="20"/>
          <w:color w:val="auto"/>
        </w:rPr>
      </w:pPr>
    </w:p>
    <w:p>
      <w:pPr>
        <w:jc w:val="center"/>
        <w:ind w:left="3740" w:right="200" w:hanging="3550"/>
        <w:spacing w:after="0" w:line="448" w:lineRule="auto"/>
        <w:tabs>
          <w:tab w:leader="none" w:pos="406" w:val="left"/>
        </w:tabs>
        <w:numPr>
          <w:ilvl w:val="0"/>
          <w:numId w:val="1"/>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 to __</w:t>
      </w:r>
    </w:p>
    <w:p>
      <w:pPr>
        <w:ind w:left="3860"/>
        <w:spacing w:after="0"/>
        <w:rPr>
          <w:rFonts w:ascii="Segoe UI" w:cs="Segoe UI" w:eastAsia="Segoe UI" w:hAnsi="Segoe UI"/>
          <w:sz w:val="20"/>
          <w:szCs w:val="20"/>
          <w:color w:val="auto"/>
        </w:rPr>
      </w:pPr>
      <w:r>
        <w:rPr>
          <w:rFonts w:ascii="Times New Roman" w:cs="Times New Roman" w:eastAsia="Times New Roman" w:hAnsi="Times New Roman"/>
          <w:sz w:val="20"/>
          <w:szCs w:val="20"/>
          <w:color w:val="auto"/>
        </w:rPr>
        <w:t>Commission File Number</w:t>
      </w:r>
      <w:r>
        <w:rPr>
          <w:rFonts w:ascii="Times New Roman" w:cs="Times New Roman" w:eastAsia="Times New Roman" w:hAnsi="Times New Roman"/>
          <w:sz w:val="20"/>
          <w:szCs w:val="20"/>
          <w:b w:val="1"/>
          <w:bCs w:val="1"/>
          <w:color w:val="auto"/>
        </w:rPr>
        <w:t>: 001-35236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160655</wp:posOffset>
            </wp:positionV>
            <wp:extent cx="1962150" cy="419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extLst>
                    </a:blip>
                    <a:srcRect/>
                    <a:stretch>
                      <a:fillRect/>
                    </a:stretch>
                  </pic:blipFill>
                  <pic:spPr bwMode="auto">
                    <a:xfrm>
                      <a:off x="0" y="0"/>
                      <a:ext cx="1962150" cy="41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Orchid Island Capital,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3" w:lineRule="exact"/>
        <w:rPr>
          <w:sz w:val="20"/>
          <w:szCs w:val="20"/>
          <w:color w:val="auto"/>
        </w:rPr>
      </w:pPr>
    </w:p>
    <w:tbl>
      <w:tblPr>
        <w:tblLayout w:type="fixed"/>
        <w:tblInd w:w="2140" w:type="dxa"/>
        <w:tblCellMar>
          <w:top w:w="0" w:type="dxa"/>
          <w:left w:w="0" w:type="dxa"/>
          <w:bottom w:w="0" w:type="dxa"/>
          <w:right w:w="0" w:type="dxa"/>
        </w:tblCellMar>
      </w:tblPr>
      <w:tr>
        <w:trPr>
          <w:trHeight w:val="244"/>
        </w:trPr>
        <w:tc>
          <w:tcPr>
            <w:tcW w:w="3540" w:type="dxa"/>
            <w:vAlign w:val="bottom"/>
          </w:tcPr>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Maryland</w:t>
            </w:r>
          </w:p>
        </w:tc>
        <w:tc>
          <w:tcPr>
            <w:tcW w:w="2620" w:type="dxa"/>
            <w:vAlign w:val="bottom"/>
          </w:tcPr>
          <w:p>
            <w:pPr>
              <w:jc w:val="center"/>
              <w:ind w:left="1020"/>
              <w:spacing w:after="0"/>
              <w:rPr>
                <w:sz w:val="20"/>
                <w:szCs w:val="20"/>
                <w:color w:val="auto"/>
              </w:rPr>
            </w:pPr>
            <w:r>
              <w:rPr>
                <w:rFonts w:ascii="Times New Roman" w:cs="Times New Roman" w:eastAsia="Times New Roman" w:hAnsi="Times New Roman"/>
                <w:sz w:val="20"/>
                <w:szCs w:val="20"/>
                <w:b w:val="1"/>
                <w:bCs w:val="1"/>
                <w:color w:val="auto"/>
              </w:rPr>
              <w:t>27-3269228</w:t>
            </w:r>
          </w:p>
        </w:tc>
      </w:tr>
      <w:tr>
        <w:trPr>
          <w:trHeight w:val="230"/>
        </w:trPr>
        <w:tc>
          <w:tcPr>
            <w:tcW w:w="3540" w:type="dxa"/>
            <w:vAlign w:val="bottom"/>
          </w:tcPr>
          <w:p>
            <w:pPr>
              <w:jc w:val="center"/>
              <w:ind w:right="1040"/>
              <w:spacing w:after="0"/>
              <w:rPr>
                <w:sz w:val="20"/>
                <w:szCs w:val="20"/>
                <w:color w:val="auto"/>
              </w:rPr>
            </w:pPr>
            <w:r>
              <w:rPr>
                <w:rFonts w:ascii="Times New Roman" w:cs="Times New Roman" w:eastAsia="Times New Roman" w:hAnsi="Times New Roman"/>
                <w:sz w:val="20"/>
                <w:szCs w:val="20"/>
                <w:color w:val="auto"/>
                <w:w w:val="99"/>
              </w:rPr>
              <w:t>(State or other jurisdiction of</w:t>
            </w:r>
          </w:p>
        </w:tc>
        <w:tc>
          <w:tcPr>
            <w:tcW w:w="2620" w:type="dxa"/>
            <w:vAlign w:val="bottom"/>
          </w:tcPr>
          <w:p>
            <w:pPr>
              <w:jc w:val="center"/>
              <w:ind w:left="1020"/>
              <w:spacing w:after="0"/>
              <w:rPr>
                <w:sz w:val="20"/>
                <w:szCs w:val="20"/>
                <w:color w:val="auto"/>
              </w:rPr>
            </w:pPr>
            <w:r>
              <w:rPr>
                <w:rFonts w:ascii="Times New Roman" w:cs="Times New Roman" w:eastAsia="Times New Roman" w:hAnsi="Times New Roman"/>
                <w:sz w:val="20"/>
                <w:szCs w:val="20"/>
                <w:color w:val="auto"/>
              </w:rPr>
              <w:t>(I.R.S. Employer</w:t>
            </w:r>
          </w:p>
        </w:tc>
      </w:tr>
      <w:tr>
        <w:trPr>
          <w:trHeight w:val="265"/>
        </w:trPr>
        <w:tc>
          <w:tcPr>
            <w:tcW w:w="3540" w:type="dxa"/>
            <w:vAlign w:val="bottom"/>
          </w:tcPr>
          <w:p>
            <w:pPr>
              <w:jc w:val="center"/>
              <w:ind w:right="1040"/>
              <w:spacing w:after="0"/>
              <w:rPr>
                <w:sz w:val="20"/>
                <w:szCs w:val="20"/>
                <w:color w:val="auto"/>
              </w:rPr>
            </w:pPr>
            <w:r>
              <w:rPr>
                <w:rFonts w:ascii="Times New Roman" w:cs="Times New Roman" w:eastAsia="Times New Roman" w:hAnsi="Times New Roman"/>
                <w:sz w:val="20"/>
                <w:szCs w:val="20"/>
                <w:color w:val="auto"/>
                <w:w w:val="99"/>
              </w:rPr>
              <w:t>incorporation or organization)</w:t>
            </w:r>
          </w:p>
        </w:tc>
        <w:tc>
          <w:tcPr>
            <w:tcW w:w="2620" w:type="dxa"/>
            <w:vAlign w:val="bottom"/>
          </w:tcPr>
          <w:p>
            <w:pPr>
              <w:jc w:val="center"/>
              <w:ind w:left="1020"/>
              <w:spacing w:after="0"/>
              <w:rPr>
                <w:sz w:val="20"/>
                <w:szCs w:val="20"/>
                <w:color w:val="auto"/>
              </w:rPr>
            </w:pPr>
            <w:r>
              <w:rPr>
                <w:rFonts w:ascii="Times New Roman" w:cs="Times New Roman" w:eastAsia="Times New Roman" w:hAnsi="Times New Roman"/>
                <w:sz w:val="20"/>
                <w:szCs w:val="20"/>
                <w:color w:val="auto"/>
              </w:rPr>
              <w:t>Identification No.)</w:t>
            </w:r>
          </w:p>
        </w:tc>
      </w:tr>
    </w:tbl>
    <w:p>
      <w:pPr>
        <w:spacing w:after="0" w:line="19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3305 Flamingo Drive, Vero Beach, Florida 32963</w:t>
      </w:r>
    </w:p>
    <w:p>
      <w:pPr>
        <w:spacing w:after="0" w:line="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(772) 231-1400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2240" w:h="15840" w:orient="portrait"/>
          <w:cols w:equalWidth="0" w:num="1">
            <w:col w:w="10800"/>
          </w:cols>
          <w:pgMar w:left="720" w:top="1440" w:right="720" w:bottom="327" w:gutter="0" w:footer="0" w:header="0"/>
        </w:sectPr>
      </w:pP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Trading Symbol: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Name of Each Exchange on Which</w:t>
      </w:r>
    </w:p>
    <w:p>
      <w:pPr>
        <w:spacing w:after="0" w:line="4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Registered</w:t>
      </w:r>
    </w:p>
    <w:p>
      <w:pPr>
        <w:spacing w:after="0" w:line="12" w:lineRule="exact"/>
        <w:rPr>
          <w:sz w:val="20"/>
          <w:szCs w:val="20"/>
          <w:color w:val="auto"/>
        </w:rPr>
      </w:pPr>
    </w:p>
    <w:p>
      <w:pPr>
        <w:sectPr>
          <w:pgSz w:w="12240" w:h="15840" w:orient="portrait"/>
          <w:cols w:equalWidth="0" w:num="3">
            <w:col w:w="3980" w:space="720"/>
            <w:col w:w="2060" w:space="720"/>
            <w:col w:w="3320"/>
          </w:cols>
          <w:pgMar w:left="720" w:top="1440" w:right="720" w:bottom="327" w:gutter="0" w:footer="0" w:header="0"/>
          <w:type w:val="continuous"/>
        </w:sectPr>
      </w:pPr>
    </w:p>
    <w:p>
      <w:pPr>
        <w:ind w:left="560"/>
        <w:spacing w:after="0"/>
        <w:rPr>
          <w:sz w:val="20"/>
          <w:szCs w:val="20"/>
          <w:color w:val="auto"/>
        </w:rPr>
      </w:pPr>
      <w:r>
        <w:rPr>
          <w:rFonts w:ascii="Times New Roman" w:cs="Times New Roman" w:eastAsia="Times New Roman" w:hAnsi="Times New Roman"/>
          <w:sz w:val="20"/>
          <w:szCs w:val="20"/>
          <w:color w:val="auto"/>
        </w:rPr>
        <w:t>Common Stock, $0.01 par value</w:t>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Times New Roman" w:cs="Times New Roman" w:eastAsia="Times New Roman" w:hAnsi="Times New Roman"/>
          <w:sz w:val="19"/>
          <w:szCs w:val="19"/>
          <w:color w:val="auto"/>
        </w:rPr>
        <w:t>ORC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New York Stock Exchange</w:t>
      </w:r>
    </w:p>
    <w:p>
      <w:pPr>
        <w:spacing w:after="0" w:line="211" w:lineRule="exact"/>
        <w:rPr>
          <w:sz w:val="20"/>
          <w:szCs w:val="20"/>
          <w:color w:val="auto"/>
        </w:rPr>
      </w:pPr>
    </w:p>
    <w:p>
      <w:pPr>
        <w:sectPr>
          <w:pgSz w:w="12240" w:h="15840" w:orient="portrait"/>
          <w:cols w:equalWidth="0" w:num="3">
            <w:col w:w="4500" w:space="720"/>
            <w:col w:w="1940" w:space="720"/>
            <w:col w:w="2920"/>
          </w:cols>
          <w:pgMar w:left="720" w:top="1440" w:right="720" w:bottom="327" w:gutter="0" w:footer="0" w:header="0"/>
          <w:type w:val="continuous"/>
        </w:sectPr>
      </w:pP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spacing w:after="0" w:line="168" w:lineRule="exact"/>
        <w:rPr>
          <w:sz w:val="20"/>
          <w:szCs w:val="20"/>
          <w:color w:val="auto"/>
        </w:rPr>
      </w:pPr>
    </w:p>
    <w:p>
      <w:pPr>
        <w:ind w:right="120"/>
        <w:spacing w:after="0" w:line="475"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Indicate by check mark if the registrant is not required to file reports pursuant to Section 13 or Section 15(d) of the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(2) has been subject to such filing requirements for the past 90 days.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pacing w:after="0" w:line="20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was required to submit such files).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ectPr>
          <w:pgSz w:w="12240" w:h="15840" w:orient="portrait"/>
          <w:cols w:equalWidth="0" w:num="1">
            <w:col w:w="10800"/>
          </w:cols>
          <w:pgMar w:left="720" w:top="1440" w:right="720" w:bottom="327" w:gutter="0" w:footer="0" w:header="0"/>
          <w:type w:val="continuous"/>
        </w:sectPr>
      </w:pPr>
    </w:p>
    <w:bookmarkStart w:id="3" w:name="page4"/>
    <w:bookmarkEnd w:id="3"/>
    <w:p>
      <w:pPr>
        <w:jc w:val="both"/>
        <w:ind w:left="20"/>
        <w:spacing w:after="0" w:line="257"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304"/>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640" w:type="dxa"/>
            <w:vAlign w:val="bottom"/>
          </w:tcPr>
          <w:p>
            <w:pPr>
              <w:ind w:left="1340"/>
              <w:spacing w:after="0"/>
              <w:rPr>
                <w:sz w:val="20"/>
                <w:szCs w:val="20"/>
                <w:color w:val="auto"/>
              </w:rPr>
            </w:pPr>
            <w:r>
              <w:rPr>
                <w:rFonts w:ascii="Segoe UI" w:cs="Segoe UI" w:eastAsia="Segoe UI" w:hAnsi="Segoe UI"/>
                <w:sz w:val="20"/>
                <w:szCs w:val="20"/>
                <w:color w:val="auto"/>
              </w:rPr>
              <w:t>ց</w:t>
            </w:r>
          </w:p>
        </w:tc>
        <w:tc>
          <w:tcPr>
            <w:tcW w:w="3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Accelerated filer</w:t>
            </w:r>
          </w:p>
        </w:tc>
        <w:tc>
          <w:tcPr>
            <w:tcW w:w="1800" w:type="dxa"/>
            <w:vAlign w:val="bottom"/>
          </w:tcPr>
          <w:p>
            <w:pPr>
              <w:ind w:left="1620"/>
              <w:spacing w:after="0"/>
              <w:rPr>
                <w:sz w:val="20"/>
                <w:szCs w:val="20"/>
                <w:color w:val="auto"/>
              </w:rPr>
            </w:pPr>
            <w:r>
              <w:rPr>
                <w:rFonts w:ascii="Segoe UI" w:cs="Segoe UI" w:eastAsia="Segoe UI" w:hAnsi="Segoe UI"/>
                <w:sz w:val="20"/>
                <w:szCs w:val="20"/>
                <w:color w:val="auto"/>
                <w:w w:val="95"/>
              </w:rPr>
              <w:t>տ</w:t>
            </w:r>
          </w:p>
        </w:tc>
      </w:tr>
      <w:tr>
        <w:trPr>
          <w:trHeight w:val="276"/>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640" w:type="dxa"/>
            <w:vAlign w:val="bottom"/>
          </w:tcPr>
          <w:p>
            <w:pPr>
              <w:ind w:left="1340"/>
              <w:spacing w:after="0"/>
              <w:rPr>
                <w:sz w:val="20"/>
                <w:szCs w:val="20"/>
                <w:color w:val="auto"/>
              </w:rPr>
            </w:pPr>
            <w:r>
              <w:rPr>
                <w:rFonts w:ascii="Segoe UI" w:cs="Segoe UI" w:eastAsia="Segoe UI" w:hAnsi="Segoe UI"/>
                <w:sz w:val="20"/>
                <w:szCs w:val="20"/>
                <w:color w:val="auto"/>
              </w:rPr>
              <w:t>տ</w:t>
            </w:r>
          </w:p>
        </w:tc>
        <w:tc>
          <w:tcPr>
            <w:tcW w:w="3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1800" w:type="dxa"/>
            <w:vAlign w:val="bottom"/>
          </w:tcPr>
          <w:p>
            <w:pPr>
              <w:ind w:left="1620"/>
              <w:spacing w:after="0"/>
              <w:rPr>
                <w:sz w:val="20"/>
                <w:szCs w:val="20"/>
                <w:color w:val="auto"/>
              </w:rPr>
            </w:pPr>
            <w:r>
              <w:rPr>
                <w:rFonts w:ascii="Segoe UI" w:cs="Segoe UI" w:eastAsia="Segoe UI" w:hAnsi="Segoe UI"/>
                <w:sz w:val="20"/>
                <w:szCs w:val="20"/>
                <w:color w:val="auto"/>
                <w:w w:val="95"/>
              </w:rPr>
              <w:t>տ</w:t>
            </w:r>
          </w:p>
        </w:tc>
      </w:tr>
      <w:tr>
        <w:trPr>
          <w:trHeight w:val="453"/>
        </w:trPr>
        <w:tc>
          <w:tcPr>
            <w:tcW w:w="3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Emerging growth company</w:t>
            </w:r>
          </w:p>
        </w:tc>
        <w:tc>
          <w:tcPr>
            <w:tcW w:w="1800" w:type="dxa"/>
            <w:vAlign w:val="bottom"/>
          </w:tcPr>
          <w:p>
            <w:pPr>
              <w:ind w:left="1620"/>
              <w:spacing w:after="0"/>
              <w:rPr>
                <w:sz w:val="20"/>
                <w:szCs w:val="20"/>
                <w:color w:val="auto"/>
              </w:rPr>
            </w:pPr>
            <w:r>
              <w:rPr>
                <w:rFonts w:ascii="Segoe UI" w:cs="Segoe UI" w:eastAsia="Segoe UI" w:hAnsi="Segoe UI"/>
                <w:sz w:val="20"/>
                <w:szCs w:val="20"/>
                <w:color w:val="auto"/>
                <w:w w:val="95"/>
              </w:rPr>
              <w:t>տ</w:t>
            </w:r>
          </w:p>
        </w:tc>
      </w:tr>
    </w:tbl>
    <w:p>
      <w:pPr>
        <w:spacing w:after="0" w:line="83" w:lineRule="exact"/>
        <w:rPr>
          <w:sz w:val="20"/>
          <w:szCs w:val="20"/>
          <w:color w:val="auto"/>
        </w:rPr>
      </w:pPr>
    </w:p>
    <w:p>
      <w:pPr>
        <w:ind w:left="20"/>
        <w:spacing w:after="0" w:line="350"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20"/>
          <w:szCs w:val="20"/>
          <w:color w:val="auto"/>
        </w:rPr>
        <w:t>տ</w:t>
      </w:r>
    </w:p>
    <w:p>
      <w:pPr>
        <w:spacing w:after="0" w:line="2"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public accounting firm that prepared or issued its audit report. </w:t>
      </w:r>
      <w:r>
        <w:rPr>
          <w:rFonts w:ascii="Segoe UI" w:cs="Segoe UI" w:eastAsia="Segoe UI" w:hAnsi="Segoe UI"/>
          <w:sz w:val="20"/>
          <w:szCs w:val="20"/>
          <w:color w:val="auto"/>
        </w:rPr>
        <w:t>ց</w:t>
      </w:r>
    </w:p>
    <w:p>
      <w:pPr>
        <w:spacing w:after="0" w:line="212" w:lineRule="exact"/>
        <w:rPr>
          <w:sz w:val="20"/>
          <w:szCs w:val="20"/>
          <w:color w:val="auto"/>
        </w:rPr>
      </w:pPr>
    </w:p>
    <w:p>
      <w:pPr>
        <w:spacing w:after="0" w:line="350"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Segoe UI" w:cs="Segoe UI" w:eastAsia="Segoe UI" w:hAnsi="Segoe UI"/>
          <w:sz w:val="20"/>
          <w:szCs w:val="20"/>
          <w:color w:val="auto"/>
        </w:rPr>
        <w:t>տ</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officers during the relevant recovery period pursuant to Section 240.10D-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1(b). </w:t>
      </w:r>
      <w:r>
        <w:rPr>
          <w:rFonts w:ascii="Segoe UI" w:cs="Segoe UI" w:eastAsia="Segoe UI" w:hAnsi="Segoe UI"/>
          <w:sz w:val="20"/>
          <w:szCs w:val="20"/>
          <w:color w:val="auto"/>
        </w:rPr>
        <w:t>տ</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As of June 30, 2025 the aggregate market value of the common stock held by nonaffiliates was $881,144,340</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Number of shares outstanding at February 19, 2026: 190,693,392</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31" w:lineRule="exact"/>
        <w:rPr>
          <w:sz w:val="20"/>
          <w:szCs w:val="20"/>
          <w:color w:val="auto"/>
        </w:rPr>
      </w:pPr>
    </w:p>
    <w:p>
      <w:pPr>
        <w:ind w:left="20"/>
        <w:spacing w:after="0" w:line="313" w:lineRule="auto"/>
        <w:rPr>
          <w:sz w:val="20"/>
          <w:szCs w:val="20"/>
          <w:color w:val="auto"/>
        </w:rPr>
      </w:pPr>
      <w:r>
        <w:rPr>
          <w:rFonts w:ascii="Times New Roman" w:cs="Times New Roman" w:eastAsia="Times New Roman" w:hAnsi="Times New Roman"/>
          <w:sz w:val="19"/>
          <w:szCs w:val="19"/>
          <w:b w:val="1"/>
          <w:bCs w:val="1"/>
          <w:color w:val="auto"/>
        </w:rPr>
        <w:t xml:space="preserve">Portions of the Registrant's definitive Proxy Statement, to be issued in connection with the 2026 Annual Meeting of Stockholders of the Registrant, are incorporated by reference into Part III of this Annual Report on Form 10-K (this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Report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p>
    <w:p>
      <w:pPr>
        <w:sectPr>
          <w:pgSz w:w="12240" w:h="15840" w:orient="portrait"/>
          <w:cols w:equalWidth="0" w:num="1">
            <w:col w:w="10820"/>
          </w:cols>
          <w:pgMar w:left="700" w:top="557" w:right="72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ORCHID ISLAND CAPITAL,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700" w:type="dxa"/>
            <w:vAlign w:val="bottom"/>
          </w:tcPr>
          <w:p>
            <w:pPr>
              <w:jc w:val="center"/>
              <w:ind w:left="100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9700" w:type="dxa"/>
            <w:vAlign w:val="bottom"/>
            <w:vMerge w:val="restart"/>
          </w:tcPr>
          <w:p>
            <w:pPr>
              <w:jc w:val="center"/>
              <w:ind w:left="1020"/>
              <w:spacing w:after="0"/>
              <w:rPr>
                <w:sz w:val="20"/>
                <w:szCs w:val="20"/>
                <w:color w:val="auto"/>
              </w:rPr>
            </w:pPr>
            <w:r>
              <w:rPr>
                <w:rFonts w:ascii="Times New Roman" w:cs="Times New Roman" w:eastAsia="Times New Roman" w:hAnsi="Times New Roman"/>
                <w:sz w:val="20"/>
                <w:szCs w:val="20"/>
                <w:color w:val="auto"/>
                <w:w w:val="98"/>
              </w:rPr>
              <w:t>PART I</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33"/>
        </w:trPr>
        <w:tc>
          <w:tcPr>
            <w:tcW w:w="970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 Business.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1A. Risk Factors.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1B. Unresolved Staff Comments.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1C. Cybersecurity.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2. Properties.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3. Legal Proceedings.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4. Mine Safety Disclosures.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40"/>
        </w:trPr>
        <w:tc>
          <w:tcPr>
            <w:tcW w:w="9700" w:type="dxa"/>
            <w:vAlign w:val="bottom"/>
          </w:tcPr>
          <w:p>
            <w:pPr>
              <w:jc w:val="center"/>
              <w:ind w:left="1000"/>
              <w:spacing w:after="0"/>
              <w:rPr>
                <w:sz w:val="20"/>
                <w:szCs w:val="20"/>
                <w:color w:val="auto"/>
              </w:rPr>
            </w:pPr>
            <w:r>
              <w:rPr>
                <w:rFonts w:ascii="Times New Roman" w:cs="Times New Roman" w:eastAsia="Times New Roman" w:hAnsi="Times New Roman"/>
                <w:sz w:val="20"/>
                <w:szCs w:val="20"/>
                <w:color w:val="auto"/>
                <w:w w:val="97"/>
              </w:rPr>
              <w:t>PART II</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6. Reserved.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8. Financial Statements and Supplementary Data.</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9A. Controls and Procedures.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9B. Other Information.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0"/>
        </w:trPr>
        <w:tc>
          <w:tcPr>
            <w:tcW w:w="9700" w:type="dxa"/>
            <w:vAlign w:val="bottom"/>
          </w:tcPr>
          <w:p>
            <w:pPr>
              <w:jc w:val="center"/>
              <w:ind w:left="1000"/>
              <w:spacing w:after="0"/>
              <w:rPr>
                <w:sz w:val="20"/>
                <w:szCs w:val="20"/>
                <w:color w:val="auto"/>
              </w:rPr>
            </w:pPr>
            <w:r>
              <w:rPr>
                <w:rFonts w:ascii="Times New Roman" w:cs="Times New Roman" w:eastAsia="Times New Roman" w:hAnsi="Times New Roman"/>
                <w:sz w:val="20"/>
                <w:szCs w:val="20"/>
                <w:color w:val="auto"/>
                <w:w w:val="99"/>
              </w:rPr>
              <w:t>PART III</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11. Executive Compensation.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0"/>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14. Principal Accountant Fees and Services.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0"/>
        </w:trPr>
        <w:tc>
          <w:tcPr>
            <w:tcW w:w="9700" w:type="dxa"/>
            <w:vAlign w:val="bottom"/>
          </w:tcPr>
          <w:p>
            <w:pPr>
              <w:jc w:val="center"/>
              <w:ind w:left="1000"/>
              <w:spacing w:after="0"/>
              <w:rPr>
                <w:sz w:val="20"/>
                <w:szCs w:val="20"/>
                <w:color w:val="auto"/>
              </w:rPr>
            </w:pPr>
            <w:r>
              <w:rPr>
                <w:rFonts w:ascii="Times New Roman" w:cs="Times New Roman" w:eastAsia="Times New Roman" w:hAnsi="Times New Roman"/>
                <w:sz w:val="20"/>
                <w:szCs w:val="20"/>
                <w:color w:val="auto"/>
                <w:w w:val="98"/>
              </w:rPr>
              <w:t>PART IV</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9700" w:type="dxa"/>
            <w:vAlign w:val="bottom"/>
          </w:tcPr>
          <w:p>
            <w:pPr>
              <w:spacing w:after="0"/>
              <w:rPr>
                <w:sz w:val="20"/>
                <w:szCs w:val="20"/>
                <w:color w:val="auto"/>
              </w:rPr>
            </w:pPr>
            <w:r>
              <w:rPr>
                <w:rFonts w:ascii="Times New Roman" w:cs="Times New Roman" w:eastAsia="Times New Roman" w:hAnsi="Times New Roman"/>
                <w:sz w:val="20"/>
                <w:szCs w:val="20"/>
                <w:color w:val="auto"/>
              </w:rPr>
              <w:t>ITEM 15. Exhibits, Financial Statement Schedules.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bl>
    <w:p>
      <w:pPr>
        <w:sectPr>
          <w:pgSz w:w="12240" w:h="15840" w:orient="portrait"/>
          <w:cols w:equalWidth="0" w:num="1">
            <w:col w:w="10800"/>
          </w:cols>
          <w:pgMar w:left="720" w:top="1336" w:right="72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7KLVSDJHLQWHQWLRQDOO\OHIWEODQN</w:t>
      </w:r>
      <w:r>
        <w:rPr>
          <w:rFonts w:ascii="Times New Roman" w:cs="Times New Roman" w:eastAsia="Times New Roman" w:hAnsi="Times New Roman"/>
          <w:sz w:val="15"/>
          <w:szCs w:val="15"/>
          <w:color w:val="auto"/>
        </w:rPr>
        <w:t>]</w:t>
      </w:r>
    </w:p>
    <w:p>
      <w:pPr>
        <w:sectPr>
          <w:pgSz w:w="12240" w:h="15840" w:orient="portrait"/>
          <w:cols w:equalWidth="0" w:num="1">
            <w:col w:w="936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33" w:lineRule="exact"/>
        <w:rPr>
          <w:sz w:val="20"/>
          <w:szCs w:val="20"/>
          <w:color w:val="auto"/>
        </w:rPr>
      </w:pPr>
    </w:p>
    <w:p>
      <w:pPr>
        <w:ind w:firstLine="500"/>
        <w:spacing w:after="0" w:line="249" w:lineRule="auto"/>
        <w:rPr>
          <w:sz w:val="20"/>
          <w:szCs w:val="20"/>
          <w:color w:val="auto"/>
        </w:rPr>
      </w:pPr>
      <w:r>
        <w:rPr>
          <w:rFonts w:ascii="Times New Roman" w:cs="Times New Roman" w:eastAsia="Times New Roman" w:hAnsi="Times New Roman"/>
          <w:sz w:val="20"/>
          <w:szCs w:val="20"/>
          <w:color w:val="auto"/>
        </w:rPr>
        <w:t>We make forward-looking statements in this Report that are subject to risks and uncertainties. These forward-looking statements include information about possible or assumed future results of our business, financial condition, liquidity, results of operations, plans and objectives. When we use the words “believe,” “expect,” “anticipate,” “estimate,” “intend,” “should,” “may,” “plans,” “projects,” “will,” or similar expressions, or the negative of these words, we intend to identify forward-looking statements. Statements regarding the following subjects are forward-looking by their nature:</w:t>
      </w:r>
    </w:p>
    <w:p>
      <w:pPr>
        <w:spacing w:after="0" w:line="192" w:lineRule="exact"/>
        <w:rPr>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investment strategy;</w:t>
      </w:r>
    </w:p>
    <w:p>
      <w:pPr>
        <w:spacing w:after="0" w:line="35"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expected operating results;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acquire investments on attractive terms;</w:t>
      </w:r>
    </w:p>
    <w:p>
      <w:pPr>
        <w:spacing w:after="0" w:line="10" w:lineRule="exact"/>
        <w:rPr>
          <w:rFonts w:ascii="Times New Roman" w:cs="Times New Roman" w:eastAsia="Times New Roman" w:hAnsi="Times New Roman"/>
          <w:sz w:val="20"/>
          <w:szCs w:val="20"/>
          <w:color w:val="auto"/>
        </w:rPr>
      </w:pPr>
    </w:p>
    <w:p>
      <w:pPr>
        <w:ind w:left="720" w:right="40" w:hanging="350"/>
        <w:spacing w:after="0" w:line="242"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actual, anticipated or proposed actions of the U.S. government, including the U.S. Federal Reserve (the "Fed"), the Federal Housing Finance Agency (the "FHFA"), the Federal Housing Administration (the "FHA"), the Federal Open Market Committee (the "FOMC") and the U.S. Treasury, on interest rates, monetary policy, fiscal policy and the housing and credit markets;</w:t>
      </w:r>
    </w:p>
    <w:p>
      <w:pPr>
        <w:spacing w:after="0" w:line="3"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interest rate changes on inflation, unemployment, and mortgage supply and demand;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prepayment rates on the value of our assets;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access the capital markets;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future financing arrangements;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hedge the interest rate risk and prepayment risk associated with our portfolio;</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trends;</w:t>
      </w:r>
    </w:p>
    <w:p>
      <w:pPr>
        <w:spacing w:after="0" w:line="10" w:lineRule="exact"/>
        <w:rPr>
          <w:rFonts w:ascii="Times New Roman" w:cs="Times New Roman" w:eastAsia="Times New Roman" w:hAnsi="Times New Roman"/>
          <w:sz w:val="20"/>
          <w:szCs w:val="20"/>
          <w:color w:val="auto"/>
        </w:rPr>
      </w:pPr>
    </w:p>
    <w:p>
      <w:pPr>
        <w:ind w:left="720" w:right="200" w:hanging="350"/>
        <w:spacing w:after="0" w:line="242"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conservatorship of the Federal National Mortgage Association (“Fannie Mae”) and the Federal Home Loan Mortgage Corporation (“Freddie Mac” and together with Fannie Mae, the "Enterprises") and related efforts, along with any changes in laws and regulations affecting the relationship between the Enterprises and the U.S. government;</w:t>
      </w:r>
    </w:p>
    <w:p>
      <w:pPr>
        <w:spacing w:after="0" w:line="2"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distributions to our stockholders in the future;</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understanding of our competition and our ability to compete effectively;</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quantify risk based on historical experience;</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qualification as a real estate investment trust (“REIT”) for U.S. federal income tax purposes;</w:t>
      </w:r>
    </w:p>
    <w:p>
      <w:pPr>
        <w:spacing w:after="0" w:line="10" w:lineRule="exact"/>
        <w:rPr>
          <w:rFonts w:ascii="Times New Roman" w:cs="Times New Roman" w:eastAsia="Times New Roman" w:hAnsi="Times New Roman"/>
          <w:sz w:val="20"/>
          <w:szCs w:val="20"/>
          <w:color w:val="auto"/>
        </w:rPr>
      </w:pPr>
    </w:p>
    <w:p>
      <w:pPr>
        <w:ind w:left="720" w:right="500" w:hanging="350"/>
        <w:spacing w:after="0" w:line="245"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exemption from registration under the Investment Company Act of 1940, as amended, or the Investment Company Act;</w:t>
      </w:r>
    </w:p>
    <w:p>
      <w:pPr>
        <w:ind w:left="720" w:hanging="351"/>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the listing of our common stock on the New York Stock Exchange ("NYSE");</w:t>
      </w:r>
    </w:p>
    <w:p>
      <w:pPr>
        <w:spacing w:after="0" w:line="10" w:lineRule="exact"/>
        <w:rPr>
          <w:rFonts w:ascii="Times New Roman" w:cs="Times New Roman" w:eastAsia="Times New Roman" w:hAnsi="Times New Roman"/>
          <w:sz w:val="20"/>
          <w:szCs w:val="20"/>
          <w:color w:val="auto"/>
        </w:rPr>
      </w:pPr>
    </w:p>
    <w:p>
      <w:pPr>
        <w:ind w:left="720" w:right="680" w:hanging="351"/>
        <w:spacing w:after="0" w:line="245"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events, government responses to such events and the related impact on the economy both nationally and internationally;</w:t>
      </w:r>
    </w:p>
    <w:p>
      <w:pPr>
        <w:ind w:left="720" w:right="320" w:hanging="350"/>
        <w:spacing w:after="0" w:line="245"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the potential future outbreak of highly infectious or contagious diseases on the Agency RMBS market and on our results of future operations, financial position, and liquidity;</w:t>
      </w: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capital expenditures; and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technology on our operations and business.</w:t>
      </w:r>
    </w:p>
    <w:p>
      <w:pPr>
        <w:spacing w:after="0" w:line="208" w:lineRule="exact"/>
        <w:rPr>
          <w:sz w:val="20"/>
          <w:szCs w:val="20"/>
          <w:color w:val="auto"/>
        </w:rPr>
      </w:pPr>
    </w:p>
    <w:p>
      <w:pPr>
        <w:ind w:right="120" w:firstLine="500"/>
        <w:spacing w:after="0" w:line="244" w:lineRule="auto"/>
        <w:rPr>
          <w:sz w:val="20"/>
          <w:szCs w:val="20"/>
          <w:color w:val="auto"/>
        </w:rPr>
      </w:pPr>
      <w:r>
        <w:rPr>
          <w:rFonts w:ascii="Times New Roman" w:cs="Times New Roman" w:eastAsia="Times New Roman" w:hAnsi="Times New Roman"/>
          <w:sz w:val="20"/>
          <w:szCs w:val="20"/>
          <w:color w:val="auto"/>
        </w:rPr>
        <w:t>The forward-looking statements are based on our beliefs, assumptions and expectations of our future performance, taking into account all information currently available to us. You should not place undue reliance on these forward-looking statements. These beliefs, assumptions and expectations can change as a result of many possible events or factors, not all of which are known to us. Some of these factors are described under the caption ‘‘Risk Factors’’ in this Report and any subsequent Quarterly Reports on Form 10-Q. If a change occurs, our business, financial condition, liquidity and results of operations may vary materially from those expressed in our forward-looking statements. Any forward-looking statement speaks only as of the date on which it is made. New risks and uncertainties arise from time to time, and it is impossible for us to predict those events or how they may affect us. Except as required by law, we are not obligated to, and do not intend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1336" w:right="720"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Company</w:t>
      </w:r>
    </w:p>
    <w:p>
      <w:pPr>
        <w:spacing w:after="0" w:line="235" w:lineRule="exact"/>
        <w:rPr>
          <w:sz w:val="20"/>
          <w:szCs w:val="20"/>
          <w:color w:val="auto"/>
        </w:rPr>
      </w:pPr>
    </w:p>
    <w:p>
      <w:pPr>
        <w:ind w:right="180" w:firstLine="499"/>
        <w:spacing w:after="0" w:line="258" w:lineRule="auto"/>
        <w:rPr>
          <w:sz w:val="20"/>
          <w:szCs w:val="20"/>
          <w:color w:val="auto"/>
        </w:rPr>
      </w:pPr>
      <w:r>
        <w:rPr>
          <w:rFonts w:ascii="Times New Roman" w:cs="Times New Roman" w:eastAsia="Times New Roman" w:hAnsi="Times New Roman"/>
          <w:sz w:val="19"/>
          <w:szCs w:val="19"/>
          <w:color w:val="auto"/>
        </w:rPr>
        <w:t>Orchid Island Capital, Inc., a Maryland corporation (“Orchid,” the “Company,” “we” or “us”), is a specialty finance company that invests in residential mortgage-backed securities (“RMBS”). The principal and interest payments of these RMBS are guaranteed by the Enterprises or the Government National Mortgage Association (“Ginnie Mae” and, collectively with the Enterprises, “GSEs”) and are backed primarily by single- family residential mortgage loans. We refer to these types of RMBS as Agency RMBS. Our portfolio consists of two categories of Agency RMBS: (i) traditional pass-through ("PT") Agency RMBS, such as mortgage</w:t>
      </w:r>
    </w:p>
    <w:p>
      <w:pPr>
        <w:spacing w:after="0" w:line="4"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20"/>
          <w:szCs w:val="20"/>
          <w:color w:val="auto"/>
        </w:rPr>
        <w:t>PT certificates and collateralized mortgage obligations (“CMOs”) issued by the GSEs and (ii) structured Agency RMBS, such as interest only securities (“IOs”), inverse interest only securities (“IIOs”) and principal only securities (“POs”), among other types of structured Agency RMBS. Our website is located at http://ir.orchidislandcapital.com. Information on our website is not part of this Report. Our common stock is listed on the NYSE and trades under the symbol “ORC.”</w:t>
      </w:r>
    </w:p>
    <w:p>
      <w:pPr>
        <w:spacing w:after="0" w:line="194" w:lineRule="exact"/>
        <w:rPr>
          <w:sz w:val="20"/>
          <w:szCs w:val="20"/>
          <w:color w:val="auto"/>
        </w:rPr>
      </w:pPr>
    </w:p>
    <w:p>
      <w:pPr>
        <w:ind w:firstLine="499"/>
        <w:spacing w:after="0" w:line="247" w:lineRule="auto"/>
        <w:rPr>
          <w:sz w:val="20"/>
          <w:szCs w:val="20"/>
          <w:color w:val="auto"/>
        </w:rPr>
      </w:pPr>
      <w:r>
        <w:rPr>
          <w:rFonts w:ascii="Times New Roman" w:cs="Times New Roman" w:eastAsia="Times New Roman" w:hAnsi="Times New Roman"/>
          <w:sz w:val="20"/>
          <w:szCs w:val="20"/>
          <w:color w:val="auto"/>
        </w:rPr>
        <w:t>We are organized and conduct our operations to qualify to be taxed as a REIT for U.S. federal income tax purposes. As such, we are required to distribute 90% of our REIT taxable income, determined without regard to the deductions for dividends paid and excluding any net capital gain, annually. We generally will not be subject to U.S. federal income tax on our REIT taxable income to the extent we currently distribute our net taxable income to our stockholders and maintain our REIT qualification. It is our intention to distribute 100% of our taxable income, after application of available tax attributes, within the limits prescribed by the Internal Revenue Code of 1986, as amended (the “Code”), which may extend into the subsequent taxable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Manager</w:t>
      </w:r>
    </w:p>
    <w:p>
      <w:pPr>
        <w:spacing w:after="0" w:line="233" w:lineRule="exact"/>
        <w:rPr>
          <w:sz w:val="20"/>
          <w:szCs w:val="20"/>
          <w:color w:val="auto"/>
        </w:rPr>
      </w:pPr>
    </w:p>
    <w:p>
      <w:pPr>
        <w:ind w:right="40" w:firstLine="499"/>
        <w:spacing w:after="0" w:line="243" w:lineRule="auto"/>
        <w:rPr>
          <w:sz w:val="20"/>
          <w:szCs w:val="20"/>
          <w:color w:val="auto"/>
        </w:rPr>
      </w:pPr>
      <w:r>
        <w:rPr>
          <w:rFonts w:ascii="Times New Roman" w:cs="Times New Roman" w:eastAsia="Times New Roman" w:hAnsi="Times New Roman"/>
          <w:sz w:val="20"/>
          <w:szCs w:val="20"/>
          <w:color w:val="auto"/>
        </w:rPr>
        <w:t>Bimini Capital Management, Inc. (sometimes referred to herein as “Bimini”) managed our portfolio from our inception through the completion of our initial public offering on February 20, 2013. Upon completion of the offering, we became externally managed by Bimini Advisors, LLC (“Bimini Advisors,” or our “Manager”) pursuant to a management agreement. Our Manager is an investment advisor registered with the Securities and Exchange Commission (“SEC”). Additionally, our Manager is a Maryland limited liability company that is a wholly-owned subsidiary of Bimini, which has a long track record of managing investments in Agency RMBS. Bimini commenced active investment management operations in 2003. We believe our relationship with our Manager enables us to leverage our Manager’s established portfolio management resources for each of our targeted asset classes and its infrastructure supporting those resources. Additionally, we have benefitted and expect to continue to benefit from our Manager’s finance and administration functions, which address legal, compliance, investor relations and operational matters, including portfolio management, trade allocation and execution, securities valuation, repurchase agreement trading and clearing, risk management, cybersecurity, information technologies and governance considerations in connection with the performance of its duties.</w:t>
      </w:r>
    </w:p>
    <w:p>
      <w:pPr>
        <w:spacing w:after="0" w:line="199" w:lineRule="exact"/>
        <w:rPr>
          <w:sz w:val="20"/>
          <w:szCs w:val="20"/>
          <w:color w:val="auto"/>
        </w:rPr>
      </w:pPr>
    </w:p>
    <w:p>
      <w:pPr>
        <w:ind w:right="20" w:firstLine="499"/>
        <w:spacing w:after="0" w:line="252" w:lineRule="auto"/>
        <w:rPr>
          <w:sz w:val="20"/>
          <w:szCs w:val="20"/>
          <w:color w:val="auto"/>
        </w:rPr>
      </w:pPr>
      <w:r>
        <w:rPr>
          <w:rFonts w:ascii="Times New Roman" w:cs="Times New Roman" w:eastAsia="Times New Roman" w:hAnsi="Times New Roman"/>
          <w:sz w:val="20"/>
          <w:szCs w:val="20"/>
          <w:color w:val="auto"/>
        </w:rPr>
        <w:t>Our Manager is responsible for administering our business activities and day-to-day operations. Pursuant to the terms of the management agreement, our Manager provides us with our management team, including our officers, along with appropriate support personnel. Our Manager is at all times subject to the supervision and oversight of our board of directors (the “Board of Directors”) and has only such functions and authority as we delegate to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Investment and Capital Allocation Strategy</w:t>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Investment Strategy</w:t>
      </w:r>
    </w:p>
    <w:p>
      <w:pPr>
        <w:spacing w:after="0" w:line="229" w:lineRule="exact"/>
        <w:rPr>
          <w:sz w:val="20"/>
          <w:szCs w:val="20"/>
          <w:color w:val="auto"/>
        </w:rPr>
      </w:pPr>
    </w:p>
    <w:p>
      <w:pPr>
        <w:ind w:right="40" w:firstLine="499"/>
        <w:spacing w:after="0" w:line="247" w:lineRule="auto"/>
        <w:rPr>
          <w:sz w:val="20"/>
          <w:szCs w:val="20"/>
          <w:color w:val="auto"/>
        </w:rPr>
      </w:pPr>
      <w:r>
        <w:rPr>
          <w:rFonts w:ascii="Times New Roman" w:cs="Times New Roman" w:eastAsia="Times New Roman" w:hAnsi="Times New Roman"/>
          <w:sz w:val="20"/>
          <w:szCs w:val="20"/>
          <w:color w:val="auto"/>
        </w:rPr>
        <w:t>Our business objective is to provide attractive risk-adjusted total returns to our investors over the long term through a combination of capital appreciation and the payment of regular monthly distributions. We intend to achieve this objective by investing in PT Agency RMBS and structured Agency RMBS. We seek to generate income from (i) the net interest margin on our leveraged PT Agency RMBS portfolio and the leveraged portion of our structured Agency RMBS portfolio, and (ii) the interest income we generate from the unleveraged portion of our structured Agency RMBS portfolio. We also seek to minimize the volatility of both the net asset value of, and income from, our portfolio through asset selection, liquidity and interest rate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1060" w:right="720" w:bottom="0" w:gutter="0" w:footer="0" w:header="0"/>
        </w:sectPr>
      </w:pPr>
    </w:p>
    <w:bookmarkStart w:id="8" w:name="page9"/>
    <w:bookmarkEnd w:id="8"/>
    <w:p>
      <w:pPr>
        <w:ind w:firstLine="499"/>
        <w:spacing w:after="0" w:line="252" w:lineRule="auto"/>
        <w:rPr>
          <w:sz w:val="20"/>
          <w:szCs w:val="20"/>
          <w:color w:val="auto"/>
        </w:rPr>
      </w:pPr>
      <w:r>
        <w:rPr>
          <w:rFonts w:ascii="Times New Roman" w:cs="Times New Roman" w:eastAsia="Times New Roman" w:hAnsi="Times New Roman"/>
          <w:sz w:val="20"/>
          <w:szCs w:val="20"/>
          <w:color w:val="auto"/>
        </w:rPr>
        <w:t>We fund our PT Agency RMBS and certain of our structured Agency RMBS through repurchase agreements. However, we generally do not employ leverage on our structured Agency RMBS that have no principal balance, such as IOs and IIOs, because those securities contain structural leverage. We may pledge a portion of these assets to increase our cash balance, but we do not intend to invest the cash derived from pledging the assets.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target asset categories and principal assets in which we intend to invest are as follows:</w:t>
      </w: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Pass-through Agency RMBS</w:t>
      </w:r>
    </w:p>
    <w:p>
      <w:pPr>
        <w:spacing w:after="0" w:line="229" w:lineRule="exact"/>
        <w:rPr>
          <w:sz w:val="20"/>
          <w:szCs w:val="20"/>
          <w:color w:val="auto"/>
        </w:rPr>
      </w:pPr>
    </w:p>
    <w:p>
      <w:pPr>
        <w:ind w:right="180" w:firstLine="499"/>
        <w:spacing w:after="0" w:line="249" w:lineRule="auto"/>
        <w:rPr>
          <w:sz w:val="20"/>
          <w:szCs w:val="20"/>
          <w:color w:val="auto"/>
        </w:rPr>
      </w:pPr>
      <w:r>
        <w:rPr>
          <w:rFonts w:ascii="Times New Roman" w:cs="Times New Roman" w:eastAsia="Times New Roman" w:hAnsi="Times New Roman"/>
          <w:sz w:val="20"/>
          <w:szCs w:val="20"/>
          <w:color w:val="auto"/>
        </w:rPr>
        <w:t>We invest in PT securities, which are securities secured by residential real property in which payments of both interest and principal on the securities are generally made monthly. In effect, these securities pass through the monthly payments made by the individual borrowers on the mortgage loans that underlie the securities, net of fees paid to the loan servicer and the guarantor of the securities. PT certificates can be divided into various categories based on the characteristics of the underlying mortgages, such as the term or whether the interest rate is fixed or variable.</w:t>
      </w:r>
    </w:p>
    <w:p>
      <w:pPr>
        <w:spacing w:after="0" w:line="187" w:lineRule="exact"/>
        <w:rPr>
          <w:sz w:val="20"/>
          <w:szCs w:val="20"/>
          <w:color w:val="auto"/>
        </w:rPr>
      </w:pPr>
    </w:p>
    <w:p>
      <w:pPr>
        <w:ind w:right="140" w:firstLine="499"/>
        <w:spacing w:after="0" w:line="259" w:lineRule="auto"/>
        <w:rPr>
          <w:sz w:val="20"/>
          <w:szCs w:val="20"/>
          <w:color w:val="auto"/>
        </w:rPr>
      </w:pPr>
      <w:r>
        <w:rPr>
          <w:rFonts w:ascii="Times New Roman" w:cs="Times New Roman" w:eastAsia="Times New Roman" w:hAnsi="Times New Roman"/>
          <w:sz w:val="20"/>
          <w:szCs w:val="20"/>
          <w:color w:val="auto"/>
        </w:rPr>
        <w:t>The payment of principal and interest on mortgage PT securities issued by Ginnie Mae, but not the market value, is guaranteed by the full faith and credit of the federal government. Payment of principal and interest on mortgage PT certificates issued by the Enterprises, but not the market value, is guaranteed by the respective agency issuing the security.</w:t>
      </w:r>
    </w:p>
    <w:p>
      <w:pPr>
        <w:spacing w:after="0" w:line="175" w:lineRule="exact"/>
        <w:rPr>
          <w:sz w:val="20"/>
          <w:szCs w:val="20"/>
          <w:color w:val="auto"/>
        </w:rPr>
      </w:pPr>
    </w:p>
    <w:p>
      <w:pPr>
        <w:ind w:firstLine="500"/>
        <w:spacing w:after="0" w:line="246" w:lineRule="auto"/>
        <w:rPr>
          <w:sz w:val="20"/>
          <w:szCs w:val="20"/>
          <w:color w:val="auto"/>
        </w:rPr>
      </w:pPr>
      <w:r>
        <w:rPr>
          <w:rFonts w:ascii="Times New Roman" w:cs="Times New Roman" w:eastAsia="Times New Roman" w:hAnsi="Times New Roman"/>
          <w:sz w:val="20"/>
          <w:szCs w:val="20"/>
          <w:color w:val="auto"/>
        </w:rPr>
        <w:t>A key feature of most mortgage loans is the ability of the borrower to repay principal earlier than scheduled. This is called a prepayment. Prepayments arise primarily due to sale of the underlying property, refinancing, foreclosure, or accelerated amortization by the borrower. Prepayments result in a return of principal to PT certificate holders. This may result in a lower or higher rate of return upon reinvestment of principal. This is generally referred to as prepayment uncertainty. If a security purchased at a premium prepays at a higher-than-expected rate, then the value of the premium would be eroded at a faster-than-expected rate. Similarly, if a discount mortgage prepays at a lower-than-expected rate, the amortization towards par would be accumulated at a slower-than-expected rate. The possibility of these undesirable effects is sometimes referred to as “prepayment risk.”</w:t>
      </w:r>
    </w:p>
    <w:p>
      <w:pPr>
        <w:spacing w:after="0" w:line="191" w:lineRule="exact"/>
        <w:rPr>
          <w:sz w:val="20"/>
          <w:szCs w:val="20"/>
          <w:color w:val="auto"/>
        </w:rPr>
      </w:pPr>
    </w:p>
    <w:p>
      <w:pPr>
        <w:ind w:right="220" w:firstLine="499"/>
        <w:spacing w:after="0" w:line="247" w:lineRule="auto"/>
        <w:rPr>
          <w:sz w:val="20"/>
          <w:szCs w:val="20"/>
          <w:color w:val="auto"/>
        </w:rPr>
      </w:pPr>
      <w:r>
        <w:rPr>
          <w:rFonts w:ascii="Times New Roman" w:cs="Times New Roman" w:eastAsia="Times New Roman" w:hAnsi="Times New Roman"/>
          <w:sz w:val="20"/>
          <w:szCs w:val="20"/>
          <w:color w:val="auto"/>
        </w:rPr>
        <w:t>In general, declining interest rates tend to increase prepayments, and rising interest rates tend to slow prepayments. Like other fixed-income securities, when interest rates rise, the value of Agency RMBS generally declines. The rate of prepayments on underlying mortgages will affect the price and volatility of Agency RMBS and may shorten or extend the effective maturity of the security beyond what was anticipated at the time of purchase. If interest rates rise, our holdings of Agency RMBS may experience reduced spreads over our funding costs if the borrowers of the underlying mortgages pay off their mortgages later than anticipated. This is generally referred to as “extension risk.”</w:t>
      </w:r>
    </w:p>
    <w:p>
      <w:pPr>
        <w:spacing w:after="0" w:line="191" w:lineRule="exact"/>
        <w:rPr>
          <w:sz w:val="20"/>
          <w:szCs w:val="20"/>
          <w:color w:val="auto"/>
        </w:rPr>
      </w:pPr>
    </w:p>
    <w:p>
      <w:pPr>
        <w:ind w:right="40" w:firstLine="499"/>
        <w:spacing w:after="0" w:line="244" w:lineRule="auto"/>
        <w:rPr>
          <w:sz w:val="20"/>
          <w:szCs w:val="20"/>
          <w:color w:val="auto"/>
        </w:rPr>
      </w:pPr>
      <w:r>
        <w:rPr>
          <w:rFonts w:ascii="Times New Roman" w:cs="Times New Roman" w:eastAsia="Times New Roman" w:hAnsi="Times New Roman"/>
          <w:sz w:val="20"/>
          <w:szCs w:val="20"/>
          <w:color w:val="auto"/>
        </w:rPr>
        <w:t>Pass-through Agency RMBS loans with characteristics such that prepayment risk is reduced when pooled together are referred to as “specified pools”. Such securities typically trade at a premium to pools without such favorable characteristics and the magnitude of the premium varies with the perceived benefit of the favorable loan characteristic. Such securities are expected to result in higher realized interest income over time. Examples of such favorable loan characteristics would be lower loan balances. The primary reason is the cost to refinance a mortgage loan is to a large extent fixed. Since the benefit of a lower interest rate and the resulting interest savings over time decline as the outstanding loan balance declines, all else equal the decline in the interest rate must be larger as the outstanding loan balance declines in order to justify the cost to refinance the loan. Additional examples would be loans to borrowers with lower credit scores since such borrowers typically cannot qualify for lower loans as readily as borrowers with higher credit scores. The Company typically allocates a high percentage of its pass-through Agency RMBS to specified pools.</w:t>
      </w:r>
    </w:p>
    <w:p>
      <w:pPr>
        <w:spacing w:after="0" w:line="196"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20"/>
          <w:szCs w:val="20"/>
          <w:color w:val="auto"/>
        </w:rPr>
        <w:t>We may also invest in To-Be-Announced Forward Contracts ("TBAs"). 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RMBS purchased or sold for a forward settlement date are typically priced at a discount to equivalent securities settling in the current month. This difference, or "price drop," is the economic equivalent of interest income on the underlying Agency RMBS, less an implied funding cost, over the forward settlement period (referred to as "dollar roll income"). Consequently, forward purchases of Agency RMBS and dollar roll transactions represent a form of off-balance sheet financing. These TBAs are accounted for as derivatives and marked to market through the income statement and are not included in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788" w:right="720" w:bottom="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20"/>
          <w:szCs w:val="20"/>
          <w:color w:val="auto"/>
        </w:rPr>
        <w:t>The mortgage loans underlying PT certificates can generally be classified into the following categories:</w:t>
      </w:r>
    </w:p>
    <w:p>
      <w:pPr>
        <w:spacing w:after="0" w:line="200" w:lineRule="exact"/>
        <w:rPr>
          <w:sz w:val="20"/>
          <w:szCs w:val="20"/>
          <w:color w:val="auto"/>
        </w:rPr>
      </w:pPr>
    </w:p>
    <w:p>
      <w:pPr>
        <w:spacing w:after="0" w:line="305" w:lineRule="exact"/>
        <w:rPr>
          <w:sz w:val="20"/>
          <w:szCs w:val="20"/>
          <w:color w:val="auto"/>
        </w:rPr>
      </w:pPr>
    </w:p>
    <w:p>
      <w:pPr>
        <w:ind w:left="720" w:hanging="350"/>
        <w:spacing w:after="0" w:line="245"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Fixed-Rate Mortgages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Fixed-rate mortgages are those where the borrower pays an interest rate that is constant throughout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term of the loan. Traditionally, most fixed-rate mortgages have an original term of 30 years. However, shorter terms (also referred to as “final maturity dates”) are also common. Because the interest rate on the loan never changes, even when market interest rates change, there can be a divergence between the interest rate on the loan and current market interest rates over time. This in turn can make fixed-rate mortgages price-sensitive to market fluctuations in interest rates. In general, the longer the remaining term on the mortgage loan, the greater the price sensitivity to movements in interest rates and, therefore, the likelihood for greater price variability.</w:t>
      </w:r>
    </w:p>
    <w:p>
      <w:pPr>
        <w:spacing w:after="0" w:line="6" w:lineRule="exact"/>
        <w:rPr>
          <w:rFonts w:ascii="Times New Roman" w:cs="Times New Roman" w:eastAsia="Times New Roman" w:hAnsi="Times New Roman"/>
          <w:sz w:val="20"/>
          <w:szCs w:val="20"/>
          <w:color w:val="auto"/>
        </w:rPr>
      </w:pPr>
    </w:p>
    <w:p>
      <w:pPr>
        <w:ind w:left="720" w:right="40" w:hanging="350"/>
        <w:spacing w:after="0" w:line="24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ARMs</w:t>
      </w:r>
      <w:r>
        <w:rPr>
          <w:rFonts w:ascii="Times New Roman" w:cs="Times New Roman" w:eastAsia="Times New Roman" w:hAnsi="Times New Roman"/>
          <w:sz w:val="20"/>
          <w:szCs w:val="20"/>
          <w:color w:val="auto"/>
        </w:rPr>
        <w:t>. Adjustable-Rate Mortgages (“ARMs”) are mortgages for which the borrower pays an interest rate that varies over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term of the loan. The interest rate usually resets based on market interest rates, although the adjustment of such an interest rate may be subject to certain limitations. Traditionally, interest rate resets occur at regular intervals (for example, once per year). We refer to such ARMs as “traditional” ARMs. Because the interest rates on ARMs fluctuate based on market conditions, ARMs tend to have interest rates that do not deviate from current market rates by a large amount. This in turn can mean that ARMs have less price sensitivity to interest rates and, consequently, are less likely to experience significant price volatility.</w:t>
      </w:r>
    </w:p>
    <w:p>
      <w:pPr>
        <w:spacing w:after="0" w:line="3" w:lineRule="exact"/>
        <w:rPr>
          <w:rFonts w:ascii="Times New Roman" w:cs="Times New Roman" w:eastAsia="Times New Roman" w:hAnsi="Times New Roman"/>
          <w:sz w:val="20"/>
          <w:szCs w:val="20"/>
          <w:color w:val="auto"/>
        </w:rPr>
      </w:pPr>
    </w:p>
    <w:p>
      <w:pPr>
        <w:ind w:left="720" w:right="140" w:hanging="350"/>
        <w:spacing w:after="0" w:line="24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Hybrid Adjustable-Rate Mortgages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Hybrid ARMs have a fixed-rate for the first few years of the loan, often three, five,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seven or ten years, and thereafter reset periodically like a traditional ARM. Effectively, such mortgages are hybrids, combining the features of a pure fixed-rate mortgage and a traditional ARM. Hybrid ARMs have price sensitivity to interest rates similar to that of a fixed-rate mortgage during the period when the interest rate is fixed and similar to that of an ARM when the interest rate is in its periodic reset stage. However, because many hybrid ARMs are structured with a relatively short initial time span during which the interest rate is fixed, even during that segment of its existence, the price sensitivity may be high.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Collateral Mortgage Obligation RMBS</w:t>
      </w:r>
    </w:p>
    <w:p>
      <w:pPr>
        <w:spacing w:after="0" w:line="231" w:lineRule="exact"/>
        <w:rPr>
          <w:sz w:val="20"/>
          <w:szCs w:val="20"/>
          <w:color w:val="auto"/>
        </w:rPr>
      </w:pPr>
    </w:p>
    <w:p>
      <w:pPr>
        <w:ind w:right="80" w:firstLine="499"/>
        <w:spacing w:after="0" w:line="245" w:lineRule="auto"/>
        <w:rPr>
          <w:sz w:val="20"/>
          <w:szCs w:val="20"/>
          <w:color w:val="auto"/>
        </w:rPr>
      </w:pPr>
      <w:r>
        <w:rPr>
          <w:rFonts w:ascii="Times New Roman" w:cs="Times New Roman" w:eastAsia="Times New Roman" w:hAnsi="Times New Roman"/>
          <w:sz w:val="20"/>
          <w:szCs w:val="20"/>
          <w:color w:val="auto"/>
        </w:rPr>
        <w:t>CMOs are a type of RMBS, the principal and interest of which are paid, in most cases, on a monthly basis. CMOs may be collateralized by whole mortgage loans, but are more typically collateralized by pools of mortgage PT securities issued directly by or under the auspices of the GSEs. CMOs are structured into multiple classes, with each class bearing a different stated maturity. Monthly payments of principal, including prepayments, are first returned to investors holding the shortest maturity class. Investors holding the longer maturity classes receive principal only after the first class has been retired. Generally, fixed-rate RMBS are used to collateralize CMOs. However, the CMO tranches need not all have fixed-rate coupons. Some CMO tranches have floating rate coupons that adjust based on market interest rates, subject to some limitations. Such tranches, often called “CMO floaters,” can have relatively low price sensitivity to interest rates.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Structured Agency RMBS</w:t>
      </w:r>
    </w:p>
    <w:p>
      <w:pPr>
        <w:spacing w:after="0" w:line="229" w:lineRule="exact"/>
        <w:rPr>
          <w:sz w:val="20"/>
          <w:szCs w:val="20"/>
          <w:color w:val="auto"/>
        </w:rPr>
      </w:pPr>
    </w:p>
    <w:p>
      <w:pPr>
        <w:ind w:right="20" w:firstLine="499"/>
        <w:spacing w:after="0" w:line="249" w:lineRule="auto"/>
        <w:rPr>
          <w:sz w:val="20"/>
          <w:szCs w:val="20"/>
          <w:color w:val="auto"/>
        </w:rPr>
      </w:pPr>
      <w:r>
        <w:rPr>
          <w:rFonts w:ascii="Times New Roman" w:cs="Times New Roman" w:eastAsia="Times New Roman" w:hAnsi="Times New Roman"/>
          <w:sz w:val="20"/>
          <w:szCs w:val="20"/>
          <w:color w:val="auto"/>
        </w:rPr>
        <w:t>We also invest in structured Agency RMBS, which include IOs, IIOs and POs. The payment of principal and interest, to the extent accrued and payable to the security, on structured Agency RMBS issued by Ginnie Mae, but not the market value, is guaranteed by the full faith and credit of the federal government. Payment of principal and interest, to the extent accrued and payable to the security, on structured Agency RMBS issued by the Enterprises, but not the market value, is guaranteed by the respective agency issuing the security. The types of structured Agency RMBS in which we invest are described below.</w:t>
      </w:r>
    </w:p>
    <w:p>
      <w:pPr>
        <w:spacing w:after="0" w:line="191" w:lineRule="exact"/>
        <w:rPr>
          <w:sz w:val="20"/>
          <w:szCs w:val="20"/>
          <w:color w:val="auto"/>
        </w:rPr>
      </w:pPr>
    </w:p>
    <w:p>
      <w:pPr>
        <w:ind w:left="720" w:right="160" w:hanging="350"/>
        <w:spacing w:after="0" w:line="24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IOs</w:t>
      </w:r>
      <w:r>
        <w:rPr>
          <w:rFonts w:ascii="Times New Roman" w:cs="Times New Roman" w:eastAsia="Times New Roman" w:hAnsi="Times New Roman"/>
          <w:sz w:val="20"/>
          <w:szCs w:val="20"/>
          <w:color w:val="auto"/>
        </w:rPr>
        <w:t>. IOs represent the stream of interest payments on a pool of mortgages, either fixed-rate mortgages or hybrid ARMs.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Holders of IOs have no claim to any principal payments. The value of IOs depends primarily on two factors, which are prepayments and interest rates. Prepayments on the underlying pool of mortgages reduce the stream of interest payments going forward, hence IOs are highly sensitive to prepayment rates. IOs are also sensitive to changes in interest rates. An increase in interest rates reduces the present value of future interest payments on a pool of mortgages. On the other hand, an increase in interest rates has a tendency to reduce prepayments, which increases the expected absolute amount of future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788" w:right="720" w:bottom="0" w:gutter="0" w:footer="0" w:header="0"/>
        </w:sectPr>
      </w:pPr>
    </w:p>
    <w:bookmarkStart w:id="10" w:name="page11"/>
    <w:bookmarkEnd w:id="10"/>
    <w:p>
      <w:pPr>
        <w:ind w:left="720" w:hanging="350"/>
        <w:spacing w:after="0" w:line="242"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IIOs</w:t>
      </w:r>
      <w:r>
        <w:rPr>
          <w:rFonts w:ascii="Times New Roman" w:cs="Times New Roman" w:eastAsia="Times New Roman" w:hAnsi="Times New Roman"/>
          <w:sz w:val="20"/>
          <w:szCs w:val="20"/>
          <w:color w:val="auto"/>
        </w:rPr>
        <w:t>. IIOs represent the stream of interest payments on a pool of mortgages that underlie RMBS, either fixed-rate mortgages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hybrid ARMs. Holders of IIOs have no claim to any principal payments. The value of IIOs depends primarily on three factors, which are prepayments, the coupon interest rate (i.e. the Secured Overnight Funding Rate ("SOFR")), and term interest rates. Prepayments on the underlying pool of mortgages reduce the stream of interest payments, making IIOs highly sensitive to prepayment rates. The coupon on IIOs is derived from both the coupon interest rate on the underlying pool of mortgages and 30-day SOFR. IIOs are typically created in conjunction with a floating rate CMO that has a principal balance and which is entitled to receive all of the principal payments on the underlying pool of mortgages. The coupon on the floating rate CMO is also based on 30-day SOFR. Typically, the coupon on the floating rate CMO and the IIO, when combined, equal the coupon on the pool of underlying mortgages. The coupon on the pool of underlying mortgages typically represents a cap or ceiling on the combined coupons of the floating rate CMO and the IIO. Accordingly, when the value of 30-day</w:t>
      </w:r>
    </w:p>
    <w:p>
      <w:pPr>
        <w:spacing w:after="0" w:line="8" w:lineRule="exact"/>
        <w:rPr>
          <w:rFonts w:ascii="Times New Roman" w:cs="Times New Roman" w:eastAsia="Times New Roman" w:hAnsi="Times New Roman"/>
          <w:sz w:val="20"/>
          <w:szCs w:val="20"/>
          <w:color w:val="auto"/>
        </w:rPr>
      </w:pPr>
    </w:p>
    <w:p>
      <w:pPr>
        <w:ind w:left="720" w:right="10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SOFR increases, the coupon of the floating rate CMO will increase and the coupon on the IIO will decrease. When the value of 30-day SOFR falls, the opposite is true. Accordingly, the value of IIOs are sensitive to the level of 30-day SOFR and expectations by market participants of future movements in the level of 30-day SOFR. IIOs are also sensitive to changes in interest rates. An increase in interest rates reduces the present value of future interest payments on a pool of mortgages. On the other hand, an increase in interest rates has a tendency to reduce prepayments, which increases the expected absolute amount of future interest payments.</w:t>
      </w:r>
    </w:p>
    <w:p>
      <w:pPr>
        <w:spacing w:after="0" w:line="1" w:lineRule="exact"/>
        <w:rPr>
          <w:rFonts w:ascii="Times New Roman" w:cs="Times New Roman" w:eastAsia="Times New Roman" w:hAnsi="Times New Roman"/>
          <w:sz w:val="20"/>
          <w:szCs w:val="20"/>
          <w:color w:val="auto"/>
        </w:rPr>
      </w:pPr>
    </w:p>
    <w:p>
      <w:pPr>
        <w:ind w:left="720" w:right="20" w:hanging="350"/>
        <w:spacing w:after="0" w:line="24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POs</w:t>
      </w:r>
      <w:r>
        <w:rPr>
          <w:rFonts w:ascii="Times New Roman" w:cs="Times New Roman" w:eastAsia="Times New Roman" w:hAnsi="Times New Roman"/>
          <w:sz w:val="20"/>
          <w:szCs w:val="20"/>
          <w:color w:val="auto"/>
        </w:rPr>
        <w:t>. POs represent the stream of principal payments on a pool of mortgages. Holders of POs have no claim to any interest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payments, although the ultimate amount of principal to be received over time is known, equaling the principal balance of the underlying pool of mortgages. The timing of the receipt of the principal payments is not known. The value of POs depends primarily on two factors, which are prepayments and interest rates. Prepayments on the underlying pool of mortgages accelerate the stream of principal repayments, making POs highly sensitive to the rate at which the mortgages in the pool are prepaid. POs are also sensitive to changes in interest rates. An increase in interest rates reduces the present value of future principal payments on a pool of mortgages. Further, an increase in interest rates has a tendency to reduce prepayments, which decelerates, or pushes further out in time, the ultimate receipt of the principal payments. The opposite is true when interest rates decline.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investment strategy consists of the following components:</w:t>
      </w:r>
    </w:p>
    <w:p>
      <w:pPr>
        <w:spacing w:after="0" w:line="236" w:lineRule="exact"/>
        <w:rPr>
          <w:sz w:val="20"/>
          <w:szCs w:val="20"/>
          <w:color w:val="auto"/>
        </w:rPr>
      </w:pPr>
    </w:p>
    <w:p>
      <w:pPr>
        <w:ind w:left="720" w:right="100" w:hanging="350"/>
        <w:spacing w:after="0" w:line="258"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PT Agency RMBS, including specified pools, CMOs and certain structured Agency RMBS on a leveraged basis to increase returns on the capital allocated to this portfolio;</w:t>
      </w:r>
    </w:p>
    <w:p>
      <w:pPr>
        <w:spacing w:after="0" w:line="1" w:lineRule="exact"/>
        <w:rPr>
          <w:rFonts w:ascii="Times New Roman" w:cs="Times New Roman" w:eastAsia="Times New Roman" w:hAnsi="Times New Roman"/>
          <w:sz w:val="20"/>
          <w:szCs w:val="20"/>
          <w:color w:val="auto"/>
        </w:rPr>
      </w:pPr>
    </w:p>
    <w:p>
      <w:pPr>
        <w:ind w:left="720" w:hanging="350"/>
        <w:spacing w:after="0" w:line="242"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certain structured Agency RMBS, such as IOs and IIOs, generally on an unleveraged basis in order to (i) increase returns due to the structural leverage contained in such securities, (ii) enhance liquidity due to the fact that these securities will be unencumbered or, when encumbered, retain the cash from such borrowings and (iii) diversify portfolio interest rate risk due to the different interest rate sensitivity these securities have compared to PT Agency RMBS;</w:t>
      </w:r>
    </w:p>
    <w:p>
      <w:pPr>
        <w:spacing w:after="0" w:line="1"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TBAs;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Agency RMBS in order to minimize credit risk;</w:t>
      </w:r>
    </w:p>
    <w:p>
      <w:pPr>
        <w:spacing w:after="0" w:line="10" w:lineRule="exact"/>
        <w:rPr>
          <w:rFonts w:ascii="Times New Roman" w:cs="Times New Roman" w:eastAsia="Times New Roman" w:hAnsi="Times New Roman"/>
          <w:sz w:val="20"/>
          <w:szCs w:val="20"/>
          <w:color w:val="auto"/>
        </w:rPr>
      </w:pPr>
    </w:p>
    <w:p>
      <w:pPr>
        <w:ind w:left="720" w:right="820" w:hanging="350"/>
        <w:spacing w:after="0" w:line="245"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assets that will cause us to maintain our exclusion from regulation as an investment company under the Investment Company Act;</w:t>
      </w:r>
    </w:p>
    <w:p>
      <w:pPr>
        <w:ind w:left="720" w:hanging="35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assets that will allow us to maintain our qualification as a REIT; and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our financing costs in order to protect our net-interest margin during periods of rising short-term interest rates.</w:t>
      </w:r>
    </w:p>
    <w:p>
      <w:pPr>
        <w:spacing w:after="0" w:line="210" w:lineRule="exact"/>
        <w:rPr>
          <w:sz w:val="20"/>
          <w:szCs w:val="20"/>
          <w:color w:val="auto"/>
        </w:rPr>
      </w:pPr>
    </w:p>
    <w:p>
      <w:pPr>
        <w:jc w:val="both"/>
        <w:ind w:right="60" w:firstLine="499"/>
        <w:spacing w:after="0" w:line="249" w:lineRule="auto"/>
        <w:rPr>
          <w:sz w:val="20"/>
          <w:szCs w:val="20"/>
          <w:color w:val="auto"/>
        </w:rPr>
      </w:pPr>
      <w:r>
        <w:rPr>
          <w:rFonts w:ascii="Times New Roman" w:cs="Times New Roman" w:eastAsia="Times New Roman" w:hAnsi="Times New Roman"/>
          <w:sz w:val="20"/>
          <w:szCs w:val="20"/>
          <w:color w:val="auto"/>
        </w:rPr>
        <w:t>We rely on our Manager’s expertise in identifying assets within our target asset class. Our Manager makes investment decisions based on various factors, including, but not limited to, relative value, expected cash yield, supply and demand, costs of hedging, costs of financing, liquidity requirements, expected future interest rate volatility and the overall shape of the U.S. Treasury and interest rate swap yield curves. We do not attribute any particular quantitative significance to any of these factors, and the weight we give to these factors depends on market conditions and economic trends.</w:t>
      </w:r>
    </w:p>
    <w:p>
      <w:pPr>
        <w:spacing w:after="0" w:line="187" w:lineRule="exact"/>
        <w:rPr>
          <w:sz w:val="20"/>
          <w:szCs w:val="20"/>
          <w:color w:val="auto"/>
        </w:rPr>
      </w:pPr>
    </w:p>
    <w:p>
      <w:pPr>
        <w:ind w:right="20" w:firstLine="499"/>
        <w:spacing w:after="0" w:line="257" w:lineRule="auto"/>
        <w:rPr>
          <w:sz w:val="20"/>
          <w:szCs w:val="20"/>
          <w:color w:val="auto"/>
        </w:rPr>
      </w:pPr>
      <w:r>
        <w:rPr>
          <w:rFonts w:ascii="Times New Roman" w:cs="Times New Roman" w:eastAsia="Times New Roman" w:hAnsi="Times New Roman"/>
          <w:sz w:val="20"/>
          <w:szCs w:val="20"/>
          <w:color w:val="auto"/>
        </w:rPr>
        <w:t>Over time, we will modify our investment strategy as market conditions change to seek to maximize the returns from our investment portfolio. We believe that this strategy, combined with our Manager’s experience, will enable us to provide attractive long-term returns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1023" w:right="720" w:bottom="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20"/>
          <w:szCs w:val="20"/>
          <w:i w:val="1"/>
          <w:iCs w:val="1"/>
          <w:color w:val="auto"/>
        </w:rPr>
        <w:t>Financing Strategy</w:t>
      </w:r>
    </w:p>
    <w:p>
      <w:pPr>
        <w:spacing w:after="0" w:line="227" w:lineRule="exact"/>
        <w:rPr>
          <w:sz w:val="20"/>
          <w:szCs w:val="20"/>
          <w:color w:val="auto"/>
        </w:rPr>
      </w:pPr>
    </w:p>
    <w:p>
      <w:pPr>
        <w:ind w:right="80" w:firstLine="499"/>
        <w:spacing w:after="0" w:line="243" w:lineRule="auto"/>
        <w:rPr>
          <w:sz w:val="20"/>
          <w:szCs w:val="20"/>
          <w:color w:val="auto"/>
        </w:rPr>
      </w:pPr>
      <w:r>
        <w:rPr>
          <w:rFonts w:ascii="Times New Roman" w:cs="Times New Roman" w:eastAsia="Times New Roman" w:hAnsi="Times New Roman"/>
          <w:sz w:val="20"/>
          <w:szCs w:val="20"/>
          <w:color w:val="auto"/>
        </w:rPr>
        <w:t>We borrow against our Agency RMBS using short term repurchase agreements. A repurchase agreement (or "repo") transaction acts as a financing arrangement under which we effectively pledge our investment securities as collateral to secure a loan. Our borrowings through repo transactions are generally short-term and have maturities ranging from one day to one year but may have maturities up to five or more years. Our financing rates are typically impacted by the U.S. Federal Funds rate and other short-term benchmark rates and liquidity in the Agency RMBS repo and other short-term funding markets. The terms of our master repurchase agreements generally conform to the terms in the standard master repurchase agreement as published by the Securities Industry and Financial Markets Association ("SIFMA") as to repayment, margin requirements and the segregation of all securities sold under the repo transaction. In addition, each lender may require that we include supplemental terms and conditions to the standard master repurchase agreement to address such matters as additional margin maintenance requirements, cross default and other provisions. The specific provisions may differ for each lender and certain terms may not be determined until we engage in individual repo transactions.</w:t>
      </w:r>
    </w:p>
    <w:p>
      <w:pPr>
        <w:spacing w:after="0" w:line="199" w:lineRule="exact"/>
        <w:rPr>
          <w:sz w:val="20"/>
          <w:szCs w:val="20"/>
          <w:color w:val="auto"/>
        </w:rPr>
      </w:pPr>
    </w:p>
    <w:p>
      <w:pPr>
        <w:ind w:right="220" w:firstLine="499"/>
        <w:spacing w:after="0" w:line="252" w:lineRule="auto"/>
        <w:rPr>
          <w:sz w:val="20"/>
          <w:szCs w:val="20"/>
          <w:color w:val="auto"/>
        </w:rPr>
      </w:pPr>
      <w:r>
        <w:rPr>
          <w:rFonts w:ascii="Times New Roman" w:cs="Times New Roman" w:eastAsia="Times New Roman" w:hAnsi="Times New Roman"/>
          <w:sz w:val="20"/>
          <w:szCs w:val="20"/>
          <w:color w:val="auto"/>
        </w:rPr>
        <w:t>We may use other sources of leverage, such as secured or unsecured debt or issuances of preferred stock. We do not have a policy limiting the amount of leverage we may incur. However, we generally expect that the ratio of our total liabilities compared to our equity, which we refer to as our leverage ratio, will be less than 12 to 1. Our amount of leverage may vary depending on market conditions and other factors that we deem relevant.</w:t>
      </w:r>
    </w:p>
    <w:p>
      <w:pPr>
        <w:spacing w:after="0" w:line="184" w:lineRule="exact"/>
        <w:rPr>
          <w:sz w:val="20"/>
          <w:szCs w:val="20"/>
          <w:color w:val="auto"/>
        </w:rPr>
      </w:pPr>
    </w:p>
    <w:p>
      <w:pPr>
        <w:ind w:right="60" w:firstLine="499"/>
        <w:spacing w:after="0" w:line="244" w:lineRule="auto"/>
        <w:rPr>
          <w:sz w:val="20"/>
          <w:szCs w:val="20"/>
          <w:color w:val="auto"/>
        </w:rPr>
      </w:pPr>
      <w:r>
        <w:rPr>
          <w:rFonts w:ascii="Times New Roman" w:cs="Times New Roman" w:eastAsia="Times New Roman" w:hAnsi="Times New Roman"/>
          <w:sz w:val="20"/>
          <w:szCs w:val="20"/>
          <w:color w:val="auto"/>
        </w:rPr>
        <w:t>The PT Agency RMBS portfolio, which includes CMOs issued by the Enterprises, will be leveraged generally through repurchase agreement funding. The structured Agency RMBS portfolio generally will not be leveraged. The leverage ratio is calculated by dividing our total liabilities by total stockholders’ equity at the end of each period. Long positions in TBAs are considered a component of the PT Agency RMBS category. While there is no explicit leverage applied to TBAs via repurchase agreement borrowings, as is the case with PT securities, to accurately reflect our reported leverage ratio, we calculate our leverage both with and without the market value of the net forward agreement as a component of our total leverage exposure for purposes of reporting our leverage ratio and other risk metrics. 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RMBS has substantially the same effect as selling the underlying Agency RMBS and reducing our on-balance sheet funding commitments.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w:t>
      </w:r>
    </w:p>
    <w:p>
      <w:pPr>
        <w:spacing w:after="0" w:line="235" w:lineRule="exact"/>
        <w:rPr>
          <w:sz w:val="20"/>
          <w:szCs w:val="20"/>
          <w:color w:val="auto"/>
        </w:rPr>
      </w:pPr>
    </w:p>
    <w:p>
      <w:pPr>
        <w:ind w:right="660" w:firstLine="499"/>
        <w:spacing w:after="0" w:line="277" w:lineRule="auto"/>
        <w:rPr>
          <w:sz w:val="20"/>
          <w:szCs w:val="20"/>
          <w:color w:val="auto"/>
        </w:rPr>
      </w:pPr>
      <w:r>
        <w:rPr>
          <w:rFonts w:ascii="Times New Roman" w:cs="Times New Roman" w:eastAsia="Times New Roman" w:hAnsi="Times New Roman"/>
          <w:sz w:val="20"/>
          <w:szCs w:val="20"/>
          <w:color w:val="auto"/>
        </w:rPr>
        <w:t>We invest in Agency RMBS to mitigate credit risk. Additionally, our Agency RMBS are backed by a diversified base of mortgage loans to mitigate geographic, loan originator and other types of concentration risks.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Risk Management</w:t>
      </w:r>
    </w:p>
    <w:p>
      <w:pPr>
        <w:spacing w:after="0" w:line="227"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We believe that the risk of adverse interest rate movements represents the most significant risk to our portfolio. This risk arises because (i) the interest rate indices used to calculate the interest rates on the mortgages underlying our assets may be different from the interest rate indices used to calculate the interest rates on the related borrowings and (ii) interest rate movements affecting our borrowings may not be reasonably correlated with interest rate movements affecting our assets. We attempt to mitigate our interest rate risk by using the techniques described below:</w:t>
      </w:r>
    </w:p>
    <w:p>
      <w:pPr>
        <w:spacing w:after="0" w:line="188" w:lineRule="exact"/>
        <w:rPr>
          <w:sz w:val="20"/>
          <w:szCs w:val="20"/>
          <w:color w:val="auto"/>
        </w:rPr>
      </w:pPr>
    </w:p>
    <w:p>
      <w:pPr>
        <w:jc w:val="both"/>
        <w:ind w:right="180" w:firstLine="499"/>
        <w:spacing w:after="0" w:line="249" w:lineRule="auto"/>
        <w:rPr>
          <w:sz w:val="20"/>
          <w:szCs w:val="20"/>
          <w:color w:val="auto"/>
        </w:rPr>
      </w:pPr>
      <w:r>
        <w:rPr>
          <w:rFonts w:ascii="Times New Roman" w:cs="Times New Roman" w:eastAsia="Times New Roman" w:hAnsi="Times New Roman"/>
          <w:sz w:val="20"/>
          <w:szCs w:val="20"/>
          <w:i w:val="1"/>
          <w:iCs w:val="1"/>
          <w:color w:val="auto"/>
        </w:rPr>
        <w:t>Agency RMBS Backed by Fixed-Rate Mortgages</w:t>
      </w:r>
      <w:r>
        <w:rPr>
          <w:rFonts w:ascii="Times New Roman" w:cs="Times New Roman" w:eastAsia="Times New Roman" w:hAnsi="Times New Roman"/>
          <w:sz w:val="20"/>
          <w:szCs w:val="20"/>
          <w:color w:val="auto"/>
        </w:rPr>
        <w:t>. As interest rates rise, our borrowing costs increase; however, the income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Agency RMBS backed by fixed-rate mortgages remains unchanged. Subject to qualifying and maintaining our qualification as a REIT, we may seek to limit increases to our borrowing costs through the use of interest rate swap or cap agreements, options, put or call agreements, futures contracts, forward rate agreements or similar financial instruments to economically convert our floating-rate borrowings into fixed-rate borrowings.</w:t>
      </w:r>
    </w:p>
    <w:p>
      <w:pPr>
        <w:spacing w:after="0" w:line="187" w:lineRule="exact"/>
        <w:rPr>
          <w:sz w:val="20"/>
          <w:szCs w:val="20"/>
          <w:color w:val="auto"/>
        </w:rPr>
      </w:pPr>
    </w:p>
    <w:p>
      <w:pPr>
        <w:ind w:right="320" w:firstLine="540"/>
        <w:spacing w:after="0" w:line="249" w:lineRule="auto"/>
        <w:rPr>
          <w:sz w:val="20"/>
          <w:szCs w:val="20"/>
          <w:color w:val="auto"/>
        </w:rPr>
      </w:pPr>
      <w:r>
        <w:rPr>
          <w:rFonts w:ascii="Times New Roman" w:cs="Times New Roman" w:eastAsia="Times New Roman" w:hAnsi="Times New Roman"/>
          <w:sz w:val="20"/>
          <w:szCs w:val="20"/>
          <w:i w:val="1"/>
          <w:iCs w:val="1"/>
          <w:color w:val="auto"/>
        </w:rPr>
        <w:t>Agency RMBS Backed by Hybrid ARMs</w:t>
      </w:r>
      <w:r>
        <w:rPr>
          <w:rFonts w:ascii="Times New Roman" w:cs="Times New Roman" w:eastAsia="Times New Roman" w:hAnsi="Times New Roman"/>
          <w:sz w:val="20"/>
          <w:szCs w:val="20"/>
          <w:color w:val="auto"/>
        </w:rPr>
        <w:t>. During the fixed-rate period of our Agency RMBS backed by hybrid ARMs,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security is similar to Agency RMBS backed by fixed-rate mortgages. During this period, subject to qualifying and maintaining our qualification as a REIT, we may employ the same hedging strategy that we employ for our Agency RMBS backed by fixed-rate mortgages. Once our Agency RMBS backed by hybrid ARMs convert to floating rate securities, we may employ the same hedging strategy as we employ for our Agency RMBS backed by ARMs.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790" w:right="720" w:bottom="0" w:gutter="0" w:footer="0" w:header="0"/>
        </w:sectPr>
      </w:pPr>
    </w:p>
    <w:bookmarkStart w:id="12" w:name="page13"/>
    <w:bookmarkEnd w:id="12"/>
    <w:p>
      <w:pPr>
        <w:ind w:right="40" w:firstLine="540"/>
        <w:spacing w:after="0" w:line="247" w:lineRule="auto"/>
        <w:rPr>
          <w:sz w:val="20"/>
          <w:szCs w:val="20"/>
          <w:color w:val="auto"/>
        </w:rPr>
      </w:pPr>
      <w:r>
        <w:rPr>
          <w:rFonts w:ascii="Times New Roman" w:cs="Times New Roman" w:eastAsia="Times New Roman" w:hAnsi="Times New Roman"/>
          <w:sz w:val="20"/>
          <w:szCs w:val="20"/>
          <w:i w:val="1"/>
          <w:iCs w:val="1"/>
          <w:color w:val="auto"/>
        </w:rPr>
        <w:t>Agency RMBS Backed by ARMs</w:t>
      </w:r>
      <w:r>
        <w:rPr>
          <w:rFonts w:ascii="Times New Roman" w:cs="Times New Roman" w:eastAsia="Times New Roman" w:hAnsi="Times New Roman"/>
          <w:sz w:val="20"/>
          <w:szCs w:val="20"/>
          <w:color w:val="auto"/>
        </w:rPr>
        <w:t>. We seek to minimize the differences between interest rate indices and interest rate adjustment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periods of our Agency RMBS backed by ARMs and related borrowings. At the time of funding, we typically align (i) the underlying interest rate index used to calculate interest rates for our Agency RMBS backed by ARMs and the related borrowings and (ii) the interest rate adjustment periods for our Agency RMBS backed by ARMs and the interest rate adjustment periods for our related borrowings. As our borrowings mature or are renewed, we may adjust the index used to calculate interest expense, the duration of the reset periods and the maturities of our borrowings.</w:t>
      </w:r>
    </w:p>
    <w:p>
      <w:pPr>
        <w:spacing w:after="0" w:line="188" w:lineRule="exact"/>
        <w:rPr>
          <w:sz w:val="20"/>
          <w:szCs w:val="20"/>
          <w:color w:val="auto"/>
        </w:rPr>
      </w:pPr>
    </w:p>
    <w:p>
      <w:pPr>
        <w:ind w:right="20" w:firstLine="499"/>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Derivative Instruments. </w:t>
      </w:r>
      <w:r>
        <w:rPr>
          <w:rFonts w:ascii="Times New Roman" w:cs="Times New Roman" w:eastAsia="Times New Roman" w:hAnsi="Times New Roman"/>
          <w:sz w:val="20"/>
          <w:szCs w:val="20"/>
          <w:color w:val="auto"/>
        </w:rPr>
        <w:t>We enter into derivative instruments to economically hedge against the possibility that rising rates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adversely impact the cost of our repurchase agreement liabilities. The principal instruments that the Company has used to date are Treasury Note (“T-Note”), SOFR, federal funds ("Fed Funds") and ERIS SOFR Swap futures contracts, interest rate swaps, options to enter in interest rate swaps (“interest rate swaptions”), interest rate caps and TBA securities transactions, but the Company may enter into other derivatives in the future.</w:t>
      </w:r>
    </w:p>
    <w:p>
      <w:pPr>
        <w:spacing w:after="0" w:line="187" w:lineRule="exact"/>
        <w:rPr>
          <w:sz w:val="20"/>
          <w:szCs w:val="20"/>
          <w:color w:val="auto"/>
        </w:rPr>
      </w:pPr>
    </w:p>
    <w:p>
      <w:pPr>
        <w:ind w:right="260" w:firstLine="499"/>
        <w:spacing w:after="0" w:line="252" w:lineRule="auto"/>
        <w:rPr>
          <w:sz w:val="20"/>
          <w:szCs w:val="20"/>
          <w:color w:val="auto"/>
        </w:rPr>
      </w:pPr>
      <w:r>
        <w:rPr>
          <w:rFonts w:ascii="Times New Roman" w:cs="Times New Roman" w:eastAsia="Times New Roman" w:hAnsi="Times New Roman"/>
          <w:sz w:val="20"/>
          <w:szCs w:val="20"/>
          <w:color w:val="auto"/>
        </w:rPr>
        <w:t>A futures contract is a legally binding agreement to buy or sell a financial instrument in a designated future month at a price agreed upon at the initiation of the contract by the buyer and seller. A futures contract differs from an option in that an option gives one of the counterparties a right, but not the obligation, to buy or sell, while a futures contract represents an obligation of both counterparties to buy or sell a financial instrument at a specified price.</w:t>
      </w:r>
    </w:p>
    <w:p>
      <w:pPr>
        <w:spacing w:after="0" w:line="186" w:lineRule="exact"/>
        <w:rPr>
          <w:sz w:val="20"/>
          <w:szCs w:val="20"/>
          <w:color w:val="auto"/>
        </w:rPr>
      </w:pPr>
    </w:p>
    <w:p>
      <w:pPr>
        <w:jc w:val="both"/>
        <w:ind w:right="200" w:firstLine="499"/>
        <w:spacing w:after="0" w:line="252" w:lineRule="auto"/>
        <w:rPr>
          <w:sz w:val="20"/>
          <w:szCs w:val="20"/>
          <w:color w:val="auto"/>
        </w:rPr>
      </w:pPr>
      <w:r>
        <w:rPr>
          <w:rFonts w:ascii="Times New Roman" w:cs="Times New Roman" w:eastAsia="Times New Roman" w:hAnsi="Times New Roman"/>
          <w:sz w:val="20"/>
          <w:szCs w:val="20"/>
          <w:color w:val="auto"/>
        </w:rPr>
        <w:t>We engage in interest rate swaps as a means of managing our interest rate risk on forecasted interest expense associated with repurchase agreement borrowings for the term of the swap contract. An interest rate swap is a contractual agreement entered into by two counterparties, under which each agrees to make periodic interest payments to the other (one pays a fixed rate of interest, while the other pays a floating rate of interest) for an agreed period of time based upon a notional amount of principal.</w:t>
      </w:r>
    </w:p>
    <w:p>
      <w:pPr>
        <w:spacing w:after="0" w:line="184" w:lineRule="exact"/>
        <w:rPr>
          <w:sz w:val="20"/>
          <w:szCs w:val="20"/>
          <w:color w:val="auto"/>
        </w:rPr>
      </w:pPr>
    </w:p>
    <w:p>
      <w:pPr>
        <w:ind w:right="80" w:firstLine="499"/>
        <w:spacing w:after="0" w:line="252" w:lineRule="auto"/>
        <w:rPr>
          <w:sz w:val="20"/>
          <w:szCs w:val="20"/>
          <w:color w:val="auto"/>
        </w:rPr>
      </w:pPr>
      <w:r>
        <w:rPr>
          <w:rFonts w:ascii="Times New Roman" w:cs="Times New Roman" w:eastAsia="Times New Roman" w:hAnsi="Times New Roman"/>
          <w:sz w:val="20"/>
          <w:szCs w:val="20"/>
          <w:color w:val="auto"/>
        </w:rPr>
        <w:t>Interest rate swaptions provide us the option to enter into an interest rate swap agreement for a predetermined notional amount, stated term and pay and receive interest rates in the future. We may enter into swaption agreements that provide us the option to enter into a pay fixed rate interest rate swap ("payer swaptions"), or swaption agreements that provide us the option to enter into a receive fixed interest rate swap ("receiver swaptions").</w:t>
      </w:r>
    </w:p>
    <w:p>
      <w:pPr>
        <w:spacing w:after="0" w:line="184" w:lineRule="exact"/>
        <w:rPr>
          <w:sz w:val="20"/>
          <w:szCs w:val="20"/>
          <w:color w:val="auto"/>
        </w:rPr>
      </w:pPr>
    </w:p>
    <w:p>
      <w:pPr>
        <w:ind w:right="40" w:firstLine="499"/>
        <w:spacing w:after="0" w:line="277" w:lineRule="auto"/>
        <w:rPr>
          <w:sz w:val="20"/>
          <w:szCs w:val="20"/>
          <w:color w:val="auto"/>
        </w:rPr>
      </w:pPr>
      <w:r>
        <w:rPr>
          <w:rFonts w:ascii="Times New Roman" w:cs="Times New Roman" w:eastAsia="Times New Roman" w:hAnsi="Times New Roman"/>
          <w:sz w:val="20"/>
          <w:szCs w:val="20"/>
          <w:color w:val="auto"/>
        </w:rPr>
        <w:t>An interest rate cap is a contract protecting us against a rise in interest rates above a fixed level. Interest rate caps are often used by borrowers to hedge against floating rate risk.</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Additionally, our structured Agency RMBS generally exhibit sensitivities to movements in interest rates different than our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PT Agency RMBS. To the extent they do so, our structured Agency RMBS may protect us against declines in the market value of our</w:t>
      </w:r>
    </w:p>
    <w:p>
      <w:pPr>
        <w:spacing w:after="0"/>
        <w:rPr>
          <w:sz w:val="20"/>
          <w:szCs w:val="20"/>
          <w:color w:val="auto"/>
        </w:rPr>
      </w:pPr>
      <w:r>
        <w:rPr>
          <w:rFonts w:ascii="Times New Roman" w:cs="Times New Roman" w:eastAsia="Times New Roman" w:hAnsi="Times New Roman"/>
          <w:sz w:val="20"/>
          <w:szCs w:val="20"/>
          <w:color w:val="auto"/>
        </w:rPr>
        <w:t>combined portfolio that result from adverse interest rate movements, although we cannot assure you that this will be the case.</w:t>
      </w:r>
    </w:p>
    <w:p>
      <w:pPr>
        <w:spacing w:after="0" w:line="203" w:lineRule="exact"/>
        <w:rPr>
          <w:sz w:val="20"/>
          <w:szCs w:val="20"/>
          <w:color w:val="auto"/>
        </w:rPr>
      </w:pPr>
    </w:p>
    <w:p>
      <w:pPr>
        <w:jc w:val="center"/>
        <w:ind w:right="340"/>
        <w:spacing w:after="0" w:line="275" w:lineRule="auto"/>
        <w:rPr>
          <w:sz w:val="20"/>
          <w:szCs w:val="20"/>
          <w:color w:val="auto"/>
        </w:rPr>
      </w:pPr>
      <w:r>
        <w:rPr>
          <w:rFonts w:ascii="Times New Roman" w:cs="Times New Roman" w:eastAsia="Times New Roman" w:hAnsi="Times New Roman"/>
          <w:sz w:val="20"/>
          <w:szCs w:val="20"/>
          <w:color w:val="auto"/>
        </w:rPr>
        <w:t>The Company accounts for TBA securities as derivative instruments. Gains and losses associated with TBA securities transactions are reported in gain (loss) on derivative instruments in the accompanying statements of comprehensive income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Prepayment Risk Management</w:t>
      </w:r>
    </w:p>
    <w:p>
      <w:pPr>
        <w:spacing w:after="0" w:line="229" w:lineRule="exact"/>
        <w:rPr>
          <w:sz w:val="20"/>
          <w:szCs w:val="20"/>
          <w:color w:val="auto"/>
        </w:rPr>
      </w:pPr>
    </w:p>
    <w:p>
      <w:pPr>
        <w:ind w:right="240" w:firstLine="499"/>
        <w:spacing w:after="0" w:line="257" w:lineRule="auto"/>
        <w:rPr>
          <w:sz w:val="20"/>
          <w:szCs w:val="20"/>
          <w:color w:val="auto"/>
        </w:rPr>
      </w:pPr>
      <w:r>
        <w:rPr>
          <w:rFonts w:ascii="Times New Roman" w:cs="Times New Roman" w:eastAsia="Times New Roman" w:hAnsi="Times New Roman"/>
          <w:sz w:val="20"/>
          <w:szCs w:val="20"/>
          <w:color w:val="auto"/>
        </w:rPr>
        <w:t>The risk of mortgage prepayments is another significant risk to our portfolio. When prevailing interest rates fall below the current interest rate of a mortgage, mortgage prepayments are likely to increase. Conversely, when prevailing interest rates increase above the coupon rate of a mortgage, mortgage prepayments are likely to decrease.</w:t>
      </w:r>
    </w:p>
    <w:p>
      <w:pPr>
        <w:spacing w:after="0" w:line="181" w:lineRule="exact"/>
        <w:rPr>
          <w:sz w:val="20"/>
          <w:szCs w:val="20"/>
          <w:color w:val="auto"/>
        </w:rPr>
      </w:pPr>
    </w:p>
    <w:p>
      <w:pPr>
        <w:ind w:right="40" w:firstLine="499"/>
        <w:spacing w:after="0" w:line="252" w:lineRule="auto"/>
        <w:rPr>
          <w:sz w:val="20"/>
          <w:szCs w:val="20"/>
          <w:color w:val="auto"/>
        </w:rPr>
      </w:pPr>
      <w:r>
        <w:rPr>
          <w:rFonts w:ascii="Times New Roman" w:cs="Times New Roman" w:eastAsia="Times New Roman" w:hAnsi="Times New Roman"/>
          <w:sz w:val="20"/>
          <w:szCs w:val="20"/>
          <w:color w:val="auto"/>
        </w:rPr>
        <w:t>When prepayment rates increase, we may not be able to reinvest the money received from prepayments at yields comparable to those of the securities prepaid. Additionally, some of our structured Agency RMBS, such as IOs and IIOs, may be negatively affected by an increase in prepayment rates because their value is wholly contingent on the underlying mortgage loans having an outstanding principal balance.</w:t>
      </w:r>
    </w:p>
    <w:p>
      <w:pPr>
        <w:spacing w:after="0" w:line="184"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20"/>
          <w:szCs w:val="20"/>
          <w:color w:val="auto"/>
        </w:rPr>
        <w:t>A decrease in prepayment rates may also have an adverse effect on our portfolio. For example, if we invest in POs, the purchase price of such securities will be based, in part, on an assumed level of prepayments on the underlying mortgage loan. Because the returns on POs decrease the longer it takes the principal payments on the underlying loans to be paid, a decrease in prepayment rates could decrease our returns on these securities.</w:t>
      </w:r>
    </w:p>
    <w:p>
      <w:pPr>
        <w:spacing w:after="0" w:line="184"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20"/>
          <w:szCs w:val="20"/>
          <w:color w:val="auto"/>
        </w:rPr>
        <w:t>Prepayment risk also affects our hedging activities. When an Agency RMBS backed by a fixed-rate mortgage or hybrid ARM is acquired with borrowings, we may cap or fix our borrowing costs for a period close to the anticipated average life of the fixed-rate portion of the related Agency RMBS. If prepayment rates are different than our projections, the term of the related hedging instrument may not match the fixed-rate portion of the security, which could cause us to incur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760"/>
          </w:cols>
          <w:pgMar w:left="720" w:top="788" w:right="760" w:bottom="0" w:gutter="0" w:footer="0" w:header="0"/>
        </w:sectPr>
      </w:pPr>
    </w:p>
    <w:bookmarkStart w:id="13" w:name="page14"/>
    <w:bookmarkEnd w:id="13"/>
    <w:p>
      <w:pPr>
        <w:ind w:right="100" w:firstLine="499"/>
        <w:spacing w:after="0" w:line="243" w:lineRule="auto"/>
        <w:rPr>
          <w:sz w:val="20"/>
          <w:szCs w:val="20"/>
          <w:color w:val="auto"/>
        </w:rPr>
      </w:pPr>
      <w:r>
        <w:rPr>
          <w:rFonts w:ascii="Times New Roman" w:cs="Times New Roman" w:eastAsia="Times New Roman" w:hAnsi="Times New Roman"/>
          <w:sz w:val="20"/>
          <w:szCs w:val="20"/>
          <w:color w:val="auto"/>
        </w:rPr>
        <w:t>Because our business may be adversely affected if prepayment rates are different than our projections, we seek to invest in specified pools of Agency RMBS backed by mortgages with well-documented and predictable prepayment histories. To protect against increases in prepayment rates, we invest in Agency RMBS backed by mortgages that we believe are less likely to be prepaid. For example, we invest in Agency RMBS backed by mortgages (i) with loan balances low enough such that a borrower would likely have little incentive to refinance, (ii) extended to borrowers with credit histories weak enough to not be eligible to refinance their mortgage loans, (iii) that are newly originated fixed-rate or hybrid ARMs or (iv) that have interest rates low enough such that a borrower would likely have little incentive to refinance. To protect against decreases in prepayment rates, we may also invest in specified pools of Agency RMBS backed by mortgages with characteristics opposite to those described above, which would typically be more likely to be refinanced. We may also invest in certain types of structured Agency RMBS as a means of mitigating our portfolio-wide prepayment risks. For example, certain tranches of CMOs are less sensitive to increases in prepayment rates, and we may invest in those tranches as a means of hedging against increases in prepayment rates.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Management Strategy</w:t>
      </w:r>
    </w:p>
    <w:p>
      <w:pPr>
        <w:spacing w:after="0" w:line="233" w:lineRule="exact"/>
        <w:rPr>
          <w:sz w:val="20"/>
          <w:szCs w:val="20"/>
          <w:color w:val="auto"/>
        </w:rPr>
      </w:pPr>
    </w:p>
    <w:p>
      <w:pPr>
        <w:ind w:right="300" w:firstLine="499"/>
        <w:spacing w:after="0" w:line="259" w:lineRule="auto"/>
        <w:rPr>
          <w:sz w:val="20"/>
          <w:szCs w:val="20"/>
          <w:color w:val="auto"/>
        </w:rPr>
      </w:pPr>
      <w:r>
        <w:rPr>
          <w:rFonts w:ascii="Times New Roman" w:cs="Times New Roman" w:eastAsia="Times New Roman" w:hAnsi="Times New Roman"/>
          <w:sz w:val="20"/>
          <w:szCs w:val="20"/>
          <w:color w:val="auto"/>
        </w:rPr>
        <w:t>Because of our use of leverage, we manage liquidity to meet our lenders’ margin calls by maintaining cash balances or unencumbered assets well in excess of anticipated margin calls and making margin calls on our lenders when we have an excess of collateral pledged against our borrowings.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also attempt to minimize the number of margin calls we receive by:</w:t>
      </w:r>
    </w:p>
    <w:p>
      <w:pPr>
        <w:spacing w:after="0" w:line="232" w:lineRule="exact"/>
        <w:rPr>
          <w:sz w:val="20"/>
          <w:szCs w:val="20"/>
          <w:color w:val="auto"/>
        </w:rPr>
      </w:pPr>
    </w:p>
    <w:p>
      <w:pPr>
        <w:ind w:left="720" w:hanging="35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deploying capital from our leveraged Agency RMBS portfolio to our unleveraged Agency RMBS portfolio;</w:t>
      </w:r>
    </w:p>
    <w:p>
      <w:pPr>
        <w:spacing w:after="0" w:line="35" w:lineRule="exact"/>
        <w:rPr>
          <w:rFonts w:ascii="Times New Roman" w:cs="Times New Roman" w:eastAsia="Times New Roman" w:hAnsi="Times New Roman"/>
          <w:sz w:val="20"/>
          <w:szCs w:val="20"/>
          <w:color w:val="auto"/>
        </w:rPr>
      </w:pPr>
    </w:p>
    <w:p>
      <w:pPr>
        <w:ind w:left="720" w:right="500" w:hanging="350"/>
        <w:spacing w:after="0" w:line="24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TBAs in lieu of leveraged Agency RMBS to reduce margin calls from our lenders associated with monthly prepayments;</w:t>
      </w:r>
    </w:p>
    <w:p>
      <w:pPr>
        <w:ind w:left="720" w:right="340" w:hanging="350"/>
        <w:spacing w:after="0" w:line="24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Agency RMBS backed by mortgages that we believe are less likely to be prepaid to decrease the risk of excessive margin calls when monthly prepayments are announced. Prepayments are declared, and the market value of the related security declines, before the receipt of the related cash flows. Prepayment declarations give rise to a temporary collateral deficiency and generally result in margin calls by lenders; and</w:t>
      </w:r>
    </w:p>
    <w:p>
      <w:pPr>
        <w:spacing w:after="0" w:line="3"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our overall amount of leverage.</w:t>
      </w:r>
    </w:p>
    <w:p>
      <w:pPr>
        <w:spacing w:after="0" w:line="208" w:lineRule="exact"/>
        <w:rPr>
          <w:sz w:val="20"/>
          <w:szCs w:val="20"/>
          <w:color w:val="auto"/>
        </w:rPr>
      </w:pPr>
    </w:p>
    <w:p>
      <w:pPr>
        <w:jc w:val="both"/>
        <w:ind w:right="280" w:firstLine="499"/>
        <w:spacing w:after="0" w:line="259" w:lineRule="auto"/>
        <w:rPr>
          <w:sz w:val="20"/>
          <w:szCs w:val="20"/>
          <w:color w:val="auto"/>
        </w:rPr>
      </w:pPr>
      <w:r>
        <w:rPr>
          <w:rFonts w:ascii="Times New Roman" w:cs="Times New Roman" w:eastAsia="Times New Roman" w:hAnsi="Times New Roman"/>
          <w:sz w:val="20"/>
          <w:szCs w:val="20"/>
          <w:color w:val="auto"/>
        </w:rPr>
        <w:t>To the extent we are unable to adequately manage our interest rate exposure and are subjected to substantial margin calls, we may be forced to sell assets at an inopportune time, which in turn could impair our liquidity and reduce our borrowing capacity and book value.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Structure</w:t>
      </w:r>
    </w:p>
    <w:p>
      <w:pPr>
        <w:spacing w:after="0" w:line="233" w:lineRule="exact"/>
        <w:rPr>
          <w:sz w:val="20"/>
          <w:szCs w:val="20"/>
          <w:color w:val="auto"/>
        </w:rPr>
      </w:pPr>
    </w:p>
    <w:p>
      <w:pPr>
        <w:ind w:right="20" w:firstLine="499"/>
        <w:spacing w:after="0" w:line="247" w:lineRule="auto"/>
        <w:rPr>
          <w:sz w:val="20"/>
          <w:szCs w:val="20"/>
          <w:color w:val="auto"/>
        </w:rPr>
      </w:pPr>
      <w:r>
        <w:rPr>
          <w:rFonts w:ascii="Times New Roman" w:cs="Times New Roman" w:eastAsia="Times New Roman" w:hAnsi="Times New Roman"/>
          <w:sz w:val="20"/>
          <w:szCs w:val="20"/>
          <w:color w:val="auto"/>
        </w:rPr>
        <w:t>We have elected to be taxed as a REIT for U.S. federal income tax purposes. Our ability to maintain our qualification as a REIT will depend upon our ability to meet, on a continuing basis, various complex requirements under the Code relating to, among other things, the sources of our gross income, the composition and values of our assets, our distribution levels and the concentration of ownership of our capital stock. We believe that we have been organized and have operated in conformity with the requirements for qualification and taxation as a REIT under the Code, and we intend to continue to operate in a manner that will enable us to continue to meet the requirements for qualification and taxation as a REIT.</w:t>
      </w:r>
    </w:p>
    <w:p>
      <w:pPr>
        <w:spacing w:after="0" w:line="191"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As a REIT, we generally will not be subject to U.S. federal income tax on the REIT taxable income that we currently distribute to our stockholders. Taxable income generated by any taxable REIT subsidiary (as defined in Section 856(l) of the Code) (“TRS”) that we may form or acquire will be subject to U.S. federal, state and local income tax. Under the Code, REITs are subject to numerous organizational and operational requirements, including a requirement that they distribute annually at least 90% of their REIT taxable income, determined without regard to the deductions for dividends paid and excluding any net capital gains. If we fail to qualify as a REIT in any calendar year and do not qualify for certain statutory relief provisions, our income would be subject to U.S. federal income tax, and we would likely be precluded from qualifying for treatment as a REIT until the fifth calendar year following the year in which we failed to qualify. Even if we continue to qualify as a REIT, we may still be subject to certain U.S. federal, state and local taxes on our income and assets and to U.S. federal income and excise taxes on our undistributed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780"/>
          </w:cols>
          <w:pgMar w:left="720" w:top="788" w:right="740"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Investment Company Act Exemption</w:t>
      </w:r>
    </w:p>
    <w:p>
      <w:pPr>
        <w:spacing w:after="0" w:line="233"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We operate our business so that we are exempt from registration under the Investment Company Act. We rely on the exemption provided by Section 3(c)(5)(C) of the Investment Company Act, which applies to companies in the business of purchasing or otherwise acquiring mortgages and other liens on, and interests in, real estate. In order to rely on the exemption provided by Section 3(c)(5)(C), we must maintain at least 55% of our assets in qualifying real estate assets. For the purposes of this test, structured Agency RMBS are non-qualifying real estate assets. We monitor our portfolio continuously and prior to each investment to confirm that we continue to qualify for the exemption. To qualify for the exemption, we make investments so that at least 55% of the assets we own consist of qualifying mortgages and other liens on and interests in real estate, which we refer to as qualifying real estate assets, and so that at least 80% of the assets we own consist of real estate-related assets, including our qualifying real estate assets.</w:t>
      </w:r>
    </w:p>
    <w:p>
      <w:pPr>
        <w:spacing w:after="0" w:line="194" w:lineRule="exact"/>
        <w:rPr>
          <w:sz w:val="20"/>
          <w:szCs w:val="20"/>
          <w:color w:val="auto"/>
        </w:rPr>
      </w:pPr>
    </w:p>
    <w:p>
      <w:pPr>
        <w:ind w:right="40" w:firstLine="499"/>
        <w:spacing w:after="0" w:line="246" w:lineRule="auto"/>
        <w:rPr>
          <w:sz w:val="20"/>
          <w:szCs w:val="20"/>
          <w:color w:val="auto"/>
        </w:rPr>
      </w:pPr>
      <w:r>
        <w:rPr>
          <w:rFonts w:ascii="Times New Roman" w:cs="Times New Roman" w:eastAsia="Times New Roman" w:hAnsi="Times New Roman"/>
          <w:sz w:val="20"/>
          <w:szCs w:val="20"/>
          <w:color w:val="auto"/>
        </w:rPr>
        <w:t>We treat whole-pool PT Agency RMBS as qualifying real estate assets based on no-action letters issued by the staff of the SEC. In August 2011, the SEC, through a concept release, requested comments on interpretations of Section 3(c)(5)(C). To the extent that the SEC or its staff publishes new or different guidance with respect to these matters, we may fail to qualify for this exemption. Our Manager manages our PT Agency RMBS portfolio such that we have sufficient whole-pool PT Agency RMBS to ensure we maintain our exemption from registration under the Investment Company Act. At present, we generally do not expect that our investments in structured Agency RMBS will constitute qualifying real estate assets, but will constitute real estate-related assets for purposes of the Investment Company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35" w:lineRule="exact"/>
        <w:rPr>
          <w:sz w:val="20"/>
          <w:szCs w:val="20"/>
          <w:color w:val="auto"/>
        </w:rPr>
      </w:pPr>
    </w:p>
    <w:p>
      <w:pPr>
        <w:ind w:right="540" w:firstLine="499"/>
        <w:spacing w:after="0" w:line="277" w:lineRule="auto"/>
        <w:rPr>
          <w:sz w:val="20"/>
          <w:szCs w:val="20"/>
          <w:color w:val="auto"/>
        </w:rPr>
      </w:pPr>
      <w:r>
        <w:rPr>
          <w:rFonts w:ascii="Times New Roman" w:cs="Times New Roman" w:eastAsia="Times New Roman" w:hAnsi="Times New Roman"/>
          <w:sz w:val="20"/>
          <w:szCs w:val="20"/>
          <w:color w:val="auto"/>
        </w:rPr>
        <w:t>We have no employees. We are externally managed and advised by our Manager pursuant to a management agreement as discussed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5" w:lineRule="exact"/>
        <w:rPr>
          <w:sz w:val="20"/>
          <w:szCs w:val="20"/>
          <w:color w:val="auto"/>
        </w:rPr>
      </w:pPr>
    </w:p>
    <w:p>
      <w:pPr>
        <w:ind w:right="120" w:firstLine="499"/>
        <w:spacing w:after="0" w:line="246" w:lineRule="auto"/>
        <w:rPr>
          <w:sz w:val="20"/>
          <w:szCs w:val="20"/>
          <w:color w:val="auto"/>
        </w:rPr>
      </w:pPr>
      <w:r>
        <w:rPr>
          <w:rFonts w:ascii="Times New Roman" w:cs="Times New Roman" w:eastAsia="Times New Roman" w:hAnsi="Times New Roman"/>
          <w:sz w:val="20"/>
          <w:szCs w:val="20"/>
          <w:color w:val="auto"/>
        </w:rPr>
        <w:t>Our net income largely depends on our ability to acquire Agency RMBS at favorable spreads over our borrowing costs. When we invest in Agency RMBS and other investment assets, we compete with a variety of institutional investors, including other REITs, insurance companies, mutual funds, pension funds, investment banking firms, banks and other financial institutions that invest in the same types of assets, the Federal Reserve Bank and other governmental entities or government-sponsored entities. Many of these investors have greater financial resources and access to lower costs of capital than we do. The existence of these competitive entities, as well as the possibility of additional entities forming in the future, may increase the competition for the acquisition of mortgage related securities, resulting in higher prices and lower yields on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Distributions</w:t>
      </w:r>
    </w:p>
    <w:p>
      <w:pPr>
        <w:spacing w:after="0" w:line="233" w:lineRule="exact"/>
        <w:rPr>
          <w:sz w:val="20"/>
          <w:szCs w:val="20"/>
          <w:color w:val="auto"/>
        </w:rPr>
      </w:pPr>
    </w:p>
    <w:p>
      <w:pPr>
        <w:jc w:val="both"/>
        <w:ind w:right="460" w:firstLine="499"/>
        <w:spacing w:after="0" w:line="259" w:lineRule="auto"/>
        <w:rPr>
          <w:sz w:val="20"/>
          <w:szCs w:val="20"/>
          <w:color w:val="auto"/>
        </w:rPr>
      </w:pPr>
      <w:r>
        <w:rPr>
          <w:rFonts w:ascii="Times New Roman" w:cs="Times New Roman" w:eastAsia="Times New Roman" w:hAnsi="Times New Roman"/>
          <w:sz w:val="20"/>
          <w:szCs w:val="20"/>
          <w:color w:val="auto"/>
        </w:rPr>
        <w:t>To maintain our qualification as a REIT, we must distribute at least 90% of our REIT taxable income, determined without regard to the deductions for dividends paid and excluding net capital gains, to our stockholders each year. We plan to continue to declare and pay regular monthly dividends to our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Our investor relations website is www.orchidislandcapital.com. We make available on the website under “Financials/SEC filings," free of charge, our annual report on Form 10-K, our quarterly reports on Form 10-Q, our current reports on Form 8-K and any other reports (including any amendments to such reports) as soon as reasonably practicable after we electronically file or furnish such materials to the SEC. Information on our website, however, is not part of this Report. In addition, all of our filed reports can be obtained at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780"/>
          </w:cols>
          <w:pgMar w:left="720" w:top="784" w:right="740" w:bottom="0" w:gutter="0" w:footer="0" w:header="0"/>
        </w:sectPr>
      </w:pPr>
    </w:p>
    <w:bookmarkStart w:id="15" w:name="page16"/>
    <w:bookmarkEnd w:id="15"/>
    <w:p>
      <w:pPr>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20"/>
          <w:szCs w:val="20"/>
          <w:b w:val="1"/>
          <w:bCs w:val="1"/>
          <w:color w:val="auto"/>
        </w:rPr>
        <w:t>RISK FACTORS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Risk Factors</w:t>
      </w:r>
    </w:p>
    <w:p>
      <w:pPr>
        <w:spacing w:after="0" w:line="237" w:lineRule="exact"/>
        <w:rPr>
          <w:sz w:val="20"/>
          <w:szCs w:val="20"/>
          <w:color w:val="auto"/>
        </w:rPr>
      </w:pPr>
    </w:p>
    <w:p>
      <w:pPr>
        <w:ind w:right="240" w:firstLine="499"/>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and should be carefully considered, together with other information in this Report and our other filings with the SEC, before making an investment decision regarding our common stock.</w:t>
      </w:r>
    </w:p>
    <w:p>
      <w:pPr>
        <w:spacing w:after="0" w:line="173" w:lineRule="exact"/>
        <w:rPr>
          <w:sz w:val="20"/>
          <w:szCs w:val="20"/>
          <w:color w:val="auto"/>
        </w:rPr>
      </w:pPr>
    </w:p>
    <w:p>
      <w:pPr>
        <w:jc w:val="both"/>
        <w:ind w:left="1040" w:right="380" w:hanging="490"/>
        <w:spacing w:after="0" w:line="252"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interest rates may negatively affect the value of our investments and increase the cost of our borrowings, which could result in reduced earnings or losses and materially adversely affect our ability to pay distributions to our stockholders.</w:t>
      </w:r>
    </w:p>
    <w:p>
      <w:pPr>
        <w:spacing w:after="0" w:line="1" w:lineRule="exact"/>
        <w:rPr>
          <w:rFonts w:ascii="Times New Roman" w:cs="Times New Roman" w:eastAsia="Times New Roman" w:hAnsi="Times New Roman"/>
          <w:sz w:val="20"/>
          <w:szCs w:val="20"/>
          <w:color w:val="auto"/>
        </w:rPr>
      </w:pPr>
    </w:p>
    <w:p>
      <w:pPr>
        <w:ind w:left="1040" w:right="20" w:hanging="490"/>
        <w:spacing w:after="0" w:line="243"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in interest rates may also cause a decrease in the volume of newly issued, or investor demand for, Agency RMBS, which could materially adversely affect our ability to acquire assets that satisfy our investment objectives and our business, financial condition and results of operations and our ability to pay distributions to our stockholders.</w:t>
      </w:r>
    </w:p>
    <w:p>
      <w:pPr>
        <w:spacing w:after="0" w:line="2" w:lineRule="exact"/>
        <w:rPr>
          <w:rFonts w:ascii="Times New Roman" w:cs="Times New Roman" w:eastAsia="Times New Roman" w:hAnsi="Times New Roman"/>
          <w:sz w:val="20"/>
          <w:szCs w:val="20"/>
          <w:color w:val="auto"/>
        </w:rPr>
      </w:pPr>
    </w:p>
    <w:p>
      <w:pPr>
        <w:ind w:left="1040" w:right="60" w:hanging="490"/>
        <w:spacing w:after="0" w:line="242"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mismatches between our Agency RMBS and our borrowings may reduce our net interest margin during periods of changing interest rates, which could materially adversely affect our business, financial condition and results of operations and our ability to pay distributions to our stockholders.</w:t>
      </w:r>
    </w:p>
    <w:p>
      <w:pPr>
        <w:spacing w:after="0" w:line="2" w:lineRule="exact"/>
        <w:rPr>
          <w:rFonts w:ascii="Times New Roman" w:cs="Times New Roman" w:eastAsia="Times New Roman" w:hAnsi="Times New Roman"/>
          <w:sz w:val="20"/>
          <w:szCs w:val="20"/>
          <w:color w:val="auto"/>
        </w:rPr>
      </w:pPr>
    </w:p>
    <w:p>
      <w:pPr>
        <w:ind w:left="1040" w:right="200" w:hanging="490"/>
        <w:spacing w:after="0" w:line="245"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downgrades of the U.S. credit rating, automatic spending cuts, mounting budget deficits or another government shutdown could negatively impact our liquidity, financial condition and earnings.</w:t>
      </w:r>
    </w:p>
    <w:p>
      <w:pPr>
        <w:ind w:left="1040" w:right="180" w:hanging="490"/>
        <w:spacing w:after="0" w:line="245"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the stated maturity of our fixed rate assets, or in the timing of interest rate adjustments on our adjustable-rate assets, and our borrowings may adversely affect our profitability.</w:t>
      </w:r>
    </w:p>
    <w:p>
      <w:pPr>
        <w:ind w:left="1040" w:hanging="490"/>
        <w:spacing w:after="0" w:line="243"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levels of prepayments on the mortgages underlying our Agency RMBS might decrease net interest income or result in a net loss, which could materially adversely affect our business, financial condition and results of operations and our ability to pay distributions to our stockholders.</w:t>
      </w:r>
    </w:p>
    <w:p>
      <w:pPr>
        <w:spacing w:after="0" w:line="2" w:lineRule="exact"/>
        <w:rPr>
          <w:rFonts w:ascii="Times New Roman" w:cs="Times New Roman" w:eastAsia="Times New Roman" w:hAnsi="Times New Roman"/>
          <w:sz w:val="20"/>
          <w:szCs w:val="20"/>
          <w:color w:val="auto"/>
        </w:rPr>
      </w:pPr>
    </w:p>
    <w:p>
      <w:pPr>
        <w:jc w:val="both"/>
        <w:ind w:left="1040" w:right="140" w:hanging="490"/>
        <w:spacing w:after="0" w:line="242"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Volatile market conditions for mortgages and mortgage-related assets as well as the broader financial markets can result in a significant contraction in liquidity for mortgages and mortgage-related assets, which may adversely affect the value of the assets in which we invest.</w:t>
      </w:r>
    </w:p>
    <w:p>
      <w:pPr>
        <w:spacing w:after="0" w:line="2" w:lineRule="exact"/>
        <w:rPr>
          <w:rFonts w:ascii="Times New Roman" w:cs="Times New Roman" w:eastAsia="Times New Roman" w:hAnsi="Times New Roman"/>
          <w:sz w:val="20"/>
          <w:szCs w:val="20"/>
          <w:color w:val="auto"/>
        </w:rPr>
      </w:pPr>
    </w:p>
    <w:p>
      <w:pPr>
        <w:ind w:left="1040" w:right="220" w:hanging="490"/>
        <w:spacing w:after="0" w:line="243"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procure adequate repurchase agreement financing, or to renew or replace existing repurchase agreement financing as it matures, could materially adversely affect our business, financial condition and results of operations and our ability to make distributions to our stockholders.</w:t>
      </w:r>
    </w:p>
    <w:p>
      <w:pPr>
        <w:spacing w:after="0" w:line="2" w:lineRule="exact"/>
        <w:rPr>
          <w:rFonts w:ascii="Times New Roman" w:cs="Times New Roman" w:eastAsia="Times New Roman" w:hAnsi="Times New Roman"/>
          <w:sz w:val="20"/>
          <w:szCs w:val="20"/>
          <w:color w:val="auto"/>
        </w:rPr>
      </w:pPr>
    </w:p>
    <w:p>
      <w:pPr>
        <w:ind w:left="1040" w:right="120" w:hanging="490"/>
        <w:spacing w:after="0" w:line="242"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developments could cause our lenders to require us to pledge additional assets as collateral. If our assets were insufficient to meet these collateral requirements, we might be compelled to liquidate particular assets at inopportune times and at unfavorable prices, which could materially adversely affect our business, financial condition and results of operations and our ability to pay distributions to our stockholders.</w:t>
      </w:r>
    </w:p>
    <w:p>
      <w:pPr>
        <w:spacing w:after="0" w:line="1" w:lineRule="exact"/>
        <w:rPr>
          <w:rFonts w:ascii="Times New Roman" w:cs="Times New Roman" w:eastAsia="Times New Roman" w:hAnsi="Times New Roman"/>
          <w:sz w:val="20"/>
          <w:szCs w:val="20"/>
          <w:color w:val="auto"/>
        </w:rPr>
      </w:pPr>
    </w:p>
    <w:p>
      <w:pPr>
        <w:ind w:left="1040" w:right="480" w:hanging="490"/>
        <w:spacing w:after="0" w:line="243"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against interest rate exposure may not completely insulate us from interest rate risk and could materially adversely affect our business, financial condition and results of operations and our ability to pay distributions to our stockholders.</w:t>
      </w:r>
    </w:p>
    <w:p>
      <w:pPr>
        <w:spacing w:after="0" w:line="2" w:lineRule="exact"/>
        <w:rPr>
          <w:rFonts w:ascii="Times New Roman" w:cs="Times New Roman" w:eastAsia="Times New Roman" w:hAnsi="Times New Roman"/>
          <w:sz w:val="20"/>
          <w:szCs w:val="20"/>
          <w:color w:val="auto"/>
        </w:rPr>
      </w:pPr>
    </w:p>
    <w:p>
      <w:pPr>
        <w:ind w:left="1040" w:right="180" w:hanging="490"/>
        <w:spacing w:after="0" w:line="245"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leverage could materially adversely affect our business, financial condition and results of operations and our ability to pay distributions to our stockholders.</w:t>
      </w:r>
    </w:p>
    <w:p>
      <w:pPr>
        <w:ind w:left="1040" w:right="360" w:hanging="490"/>
        <w:spacing w:after="0" w:line="245"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structured Agency RMBS are generally subject to the same risks as our PT Agency RMBS, certain types of risks may be enhanced depending on the type of structured Agency RMBS in which we invest.</w:t>
      </w:r>
    </w:p>
    <w:p>
      <w:pPr>
        <w:ind w:left="1040" w:right="100" w:hanging="490"/>
        <w:spacing w:after="0" w:line="244"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may be uneconomical to "roll" our TBA dollar roll transactions or we may be unable to meet margin calls on our TBA contracts, which could negatively affect our financial condition and results of operations.</w:t>
      </w:r>
    </w:p>
    <w:p>
      <w:pPr>
        <w:ind w:left="1040" w:right="620" w:hanging="490"/>
        <w:spacing w:after="0" w:line="245"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forward settling transactions, including TBA transactions, subject us to certain risks, including price risks and counterparty risks.</w:t>
      </w:r>
    </w:p>
    <w:p>
      <w:pPr>
        <w:ind w:left="1040" w:right="220" w:hanging="490"/>
        <w:spacing w:after="0" w:line="243" w:lineRule="auto"/>
        <w:tabs>
          <w:tab w:leader="none" w:pos="10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analytical models and other data to analyze potential asset acquisition and disposition opportunities and to manage our portfolio. Such models and other data may be incorrect, misleading or incomplete, which could cause us to purchase assets that do not meet our expectations or to make asset management decisions that are not in line with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829" w:right="720" w:bottom="0" w:gutter="0" w:footer="0" w:header="0"/>
        </w:sectPr>
      </w:pPr>
    </w:p>
    <w:bookmarkStart w:id="16" w:name="page17"/>
    <w:bookmarkEnd w:id="16"/>
    <w:p>
      <w:pPr>
        <w:jc w:val="both"/>
        <w:ind w:left="490" w:right="60" w:hanging="490"/>
        <w:spacing w:after="0" w:line="251"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Valuations of some of our assets are inherently uncertain, may be based on estimates, may fluctuate over short periods of time and may differ from the values that would have been used if a ready market for these assets existed. As a result, the values of some of our assets are uncertain.</w:t>
      </w:r>
    </w:p>
    <w:p>
      <w:pPr>
        <w:spacing w:after="0" w:line="2" w:lineRule="exact"/>
        <w:rPr>
          <w:rFonts w:ascii="Times New Roman" w:cs="Times New Roman" w:eastAsia="Times New Roman" w:hAnsi="Times New Roman"/>
          <w:sz w:val="20"/>
          <w:szCs w:val="20"/>
          <w:color w:val="auto"/>
        </w:rPr>
      </w:pPr>
    </w:p>
    <w:p>
      <w:pPr>
        <w:ind w:left="490" w:right="40" w:hanging="490"/>
        <w:spacing w:after="0" w:line="242"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lenders default on their obligations to resell the Agency RMBS back to us at the end of the repo transaction term, if the value of the Agency RMBS has declined by the end of the repo transaction term or if we default on our obligations under the repo transaction, we will lose money on these transactions, which, in turn, may materially adversely affect our business, financial condition and results of operations and our ability to pay distributions to our stockholders.</w:t>
      </w:r>
    </w:p>
    <w:p>
      <w:pPr>
        <w:spacing w:after="0" w:line="3" w:lineRule="exact"/>
        <w:rPr>
          <w:rFonts w:ascii="Times New Roman" w:cs="Times New Roman" w:eastAsia="Times New Roman" w:hAnsi="Times New Roman"/>
          <w:sz w:val="20"/>
          <w:szCs w:val="20"/>
          <w:color w:val="auto"/>
        </w:rPr>
      </w:pPr>
    </w:p>
    <w:p>
      <w:pPr>
        <w:ind w:left="490" w:right="1000" w:hanging="490"/>
        <w:spacing w:after="0" w:line="245"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Clearing facilities or exchanges upon which some of our hedging instruments are traded may increase margin requirements on our hedging instruments in the event of adverse economic developments.</w:t>
      </w:r>
    </w:p>
    <w:p>
      <w:pPr>
        <w:ind w:left="490" w:right="680" w:hanging="490"/>
        <w:spacing w:after="0" w:line="244"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change our investment strategy, investment guidelines and asset allocation without notice or stockholder consent, which may result in riskier investments.</w:t>
      </w:r>
    </w:p>
    <w:p>
      <w:pPr>
        <w:ind w:left="490" w:hanging="490"/>
        <w:spacing w:after="0" w:line="242"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management agreement with our Manager was not negotiated on an arm’s-length basis and the terms, including fees payable and our inability to terminate, or our election not to renew, the management agreement based on our Manager’s poor performance without paying our Manager a significant termination fee, except for a termination of the Manager with cause, may not be as favorable to us as if it were negotiated with an unaffiliated third party.</w:t>
      </w:r>
    </w:p>
    <w:p>
      <w:pPr>
        <w:spacing w:after="0" w:line="3" w:lineRule="exact"/>
        <w:rPr>
          <w:rFonts w:ascii="Times New Roman" w:cs="Times New Roman" w:eastAsia="Times New Roman" w:hAnsi="Times New Roman"/>
          <w:sz w:val="20"/>
          <w:szCs w:val="20"/>
          <w:color w:val="auto"/>
        </w:rPr>
      </w:pPr>
    </w:p>
    <w:p>
      <w:pPr>
        <w:ind w:left="490" w:right="240" w:hanging="490"/>
        <w:spacing w:after="0" w:line="243"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 employees, and our Manager is responsible for making all of our investment decisions. None of our or our Manager’s officers are required to devote any specific amount of time to our business, and each of them may provide their services to Bimini, which could result in conflicts of interest.</w:t>
      </w:r>
    </w:p>
    <w:p>
      <w:pPr>
        <w:spacing w:after="0" w:line="2" w:lineRule="exact"/>
        <w:rPr>
          <w:rFonts w:ascii="Times New Roman" w:cs="Times New Roman" w:eastAsia="Times New Roman" w:hAnsi="Times New Roman"/>
          <w:sz w:val="20"/>
          <w:szCs w:val="20"/>
          <w:color w:val="auto"/>
        </w:rPr>
      </w:pPr>
    </w:p>
    <w:p>
      <w:pPr>
        <w:ind w:left="490" w:right="80" w:hanging="490"/>
        <w:spacing w:after="0" w:line="242"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completely dependent upon our Manager and certain key personnel of Bimini who provide services to us through the management agreement, and we may not find suitable replacements for our Manager and these personnel if the management agreement is terminated or such key personnel are no longer available to us.</w:t>
      </w:r>
    </w:p>
    <w:p>
      <w:pPr>
        <w:spacing w:after="0" w:line="2" w:lineRule="exact"/>
        <w:rPr>
          <w:rFonts w:ascii="Times New Roman" w:cs="Times New Roman" w:eastAsia="Times New Roman" w:hAnsi="Times New Roman"/>
          <w:sz w:val="20"/>
          <w:szCs w:val="20"/>
          <w:color w:val="auto"/>
        </w:rPr>
      </w:pPr>
    </w:p>
    <w:p>
      <w:pPr>
        <w:jc w:val="both"/>
        <w:ind w:left="490" w:right="820" w:hanging="490"/>
        <w:spacing w:after="0" w:line="243"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elect to not renew the management agreement without cause, we would be required to pay our Manager a substantial termination fee. These and other provisions in our management agreement make non-renewal of our management agreement difficult and costly.</w:t>
      </w:r>
    </w:p>
    <w:p>
      <w:pPr>
        <w:spacing w:after="0" w:line="2" w:lineRule="exact"/>
        <w:rPr>
          <w:rFonts w:ascii="Times New Roman" w:cs="Times New Roman" w:eastAsia="Times New Roman" w:hAnsi="Times New Roman"/>
          <w:sz w:val="20"/>
          <w:szCs w:val="20"/>
          <w:color w:val="auto"/>
        </w:rPr>
      </w:pPr>
    </w:p>
    <w:p>
      <w:pPr>
        <w:ind w:left="490" w:right="760" w:hanging="490"/>
        <w:spacing w:after="0" w:line="245"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not established a minimum distribution payment level, and we cannot assure you of our ability to make distributions to our stockholders in the future.</w:t>
      </w:r>
    </w:p>
    <w:p>
      <w:pPr>
        <w:ind w:left="490" w:right="40" w:hanging="490"/>
        <w:spacing w:after="0" w:line="245"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our exemption from regulation under the Investment Company Act would negatively affect the value of shares of our common stock and our ability to pay distributions to our stockholders.</w:t>
      </w:r>
    </w:p>
    <w:p>
      <w:pPr>
        <w:ind w:left="490" w:right="360" w:hanging="490"/>
        <w:spacing w:after="0" w:line="242"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and maintain an exemption from being regulated as a commodity pool operator could subject us to additional regulation and compliance requirements and may result in fines and other penalties which could materially adversely affect our business and financial condition.</w:t>
      </w:r>
    </w:p>
    <w:p>
      <w:pPr>
        <w:spacing w:after="0" w:line="2" w:lineRule="exact"/>
        <w:rPr>
          <w:rFonts w:ascii="Times New Roman" w:cs="Times New Roman" w:eastAsia="Times New Roman" w:hAnsi="Times New Roman"/>
          <w:sz w:val="20"/>
          <w:szCs w:val="20"/>
          <w:color w:val="auto"/>
        </w:rPr>
      </w:pPr>
    </w:p>
    <w:p>
      <w:pPr>
        <w:ind w:left="490" w:right="20" w:hanging="490"/>
        <w:spacing w:after="0" w:line="245"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ownership limitations and certain other provisions of applicable law and our charter and bylaws may restrict business combination opportunities that would otherwise be favorable to our stockholders.</w:t>
      </w:r>
    </w:p>
    <w:p>
      <w:pPr>
        <w:jc w:val="both"/>
        <w:ind w:left="490" w:right="240" w:hanging="490"/>
        <w:spacing w:after="0" w:line="243"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maintain our qualification as a REIT would subject us to U.S. federal income tax, which could adversely affect the value of the shares of our common stock and would substantially reduce the cash available for distribution to our stockholders.</w:t>
      </w:r>
    </w:p>
    <w:p>
      <w:pPr>
        <w:spacing w:after="0" w:line="2" w:lineRule="exact"/>
        <w:rPr>
          <w:rFonts w:ascii="Times New Roman" w:cs="Times New Roman" w:eastAsia="Times New Roman" w:hAnsi="Times New Roman"/>
          <w:sz w:val="20"/>
          <w:szCs w:val="20"/>
          <w:color w:val="auto"/>
        </w:rPr>
      </w:pPr>
    </w:p>
    <w:p>
      <w:pPr>
        <w:ind w:left="490" w:right="40" w:hanging="490"/>
        <w:spacing w:after="0" w:line="248" w:lineRule="auto"/>
        <w:tabs>
          <w:tab w:leader="none" w:pos="4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cannot predict the effect that government policies, laws and plans adopted in response to geopolitical events, a global pandemic, or global recessionary economic conditions will have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75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50"/>
          </w:cols>
          <w:pgMar w:left="1270" w:top="792" w:right="720"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Factors</w:t>
      </w:r>
    </w:p>
    <w:p>
      <w:pPr>
        <w:spacing w:after="0" w:line="234" w:lineRule="exact"/>
        <w:rPr>
          <w:sz w:val="20"/>
          <w:szCs w:val="20"/>
          <w:color w:val="auto"/>
        </w:rPr>
      </w:pPr>
    </w:p>
    <w:p>
      <w:pPr>
        <w:ind w:right="20" w:firstLine="499"/>
        <w:spacing w:after="0" w:line="247" w:lineRule="auto"/>
        <w:rPr>
          <w:sz w:val="20"/>
          <w:szCs w:val="20"/>
          <w:color w:val="auto"/>
        </w:rPr>
      </w:pPr>
      <w:r>
        <w:rPr>
          <w:rFonts w:ascii="Times New Roman" w:cs="Times New Roman" w:eastAsia="Times New Roman" w:hAnsi="Times New Roman"/>
          <w:sz w:val="20"/>
          <w:szCs w:val="20"/>
          <w:i w:val="1"/>
          <w:iCs w:val="1"/>
          <w:color w:val="auto"/>
        </w:rPr>
        <w:t>You should carefully consider the risks described below and all other information contained in this Report, including our annual financial statements and related notes thereto, before making an investment decision regarding our common stock. Our business, financial condition or results of operations could be harmed by any of these risks. Similarly, these risks could cause the market price of our common stock to decline and you might lose all or part of your investment. Our forward-looking statements in this Report are subject to the following risks and uncertainties. Our actual results could differ materially from those anticipated by our forward-looking statements as a result of the risk factors below.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Business</w:t>
      </w:r>
    </w:p>
    <w:p>
      <w:pPr>
        <w:spacing w:after="0" w:line="236" w:lineRule="exact"/>
        <w:rPr>
          <w:sz w:val="20"/>
          <w:szCs w:val="20"/>
          <w:color w:val="auto"/>
        </w:rPr>
      </w:pPr>
    </w:p>
    <w:p>
      <w:pPr>
        <w:ind w:left="500" w:right="260"/>
        <w:spacing w:after="0" w:line="302" w:lineRule="auto"/>
        <w:rPr>
          <w:sz w:val="20"/>
          <w:szCs w:val="20"/>
          <w:color w:val="auto"/>
        </w:rPr>
      </w:pPr>
      <w:r>
        <w:rPr>
          <w:rFonts w:ascii="Times New Roman" w:cs="Times New Roman" w:eastAsia="Times New Roman" w:hAnsi="Times New Roman"/>
          <w:sz w:val="19"/>
          <w:szCs w:val="19"/>
          <w:i w:val="1"/>
          <w:iCs w:val="1"/>
          <w:color w:val="auto"/>
        </w:rPr>
        <w:t>Increases in interest rates may negatively affect the value of our investments and increase the cost of our borrowings, which could result in reduced earnings or losses and materially adversely affect our ability to pay distributions to our stockholders.</w:t>
      </w:r>
    </w:p>
    <w:p>
      <w:pPr>
        <w:spacing w:after="0" w:line="137"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Under normal market conditions, an investment in Agency RMBS will decline in value if interest rates increase. In addition, net interest income could decrease if the yield curve is inverted or flat. While one or more of the GSEs guarantee the principal and interest payments related to the Agency RMBS we own, this guarantee does not protect us from declines in market value caused by changes in interest rates. Declines in the market value of our investments may ultimately result in losses to us, which may reduce earnings and negatively affect our ability to pay distributions to our stockholders.</w:t>
      </w:r>
    </w:p>
    <w:p>
      <w:pPr>
        <w:spacing w:after="0" w:line="187" w:lineRule="exact"/>
        <w:rPr>
          <w:sz w:val="20"/>
          <w:szCs w:val="20"/>
          <w:color w:val="auto"/>
        </w:rPr>
      </w:pPr>
    </w:p>
    <w:p>
      <w:pPr>
        <w:ind w:right="40" w:firstLine="500"/>
        <w:spacing w:after="0" w:line="243" w:lineRule="auto"/>
        <w:rPr>
          <w:sz w:val="20"/>
          <w:szCs w:val="20"/>
          <w:color w:val="auto"/>
        </w:rPr>
      </w:pPr>
      <w:r>
        <w:rPr>
          <w:rFonts w:ascii="Times New Roman" w:cs="Times New Roman" w:eastAsia="Times New Roman" w:hAnsi="Times New Roman"/>
          <w:sz w:val="20"/>
          <w:szCs w:val="20"/>
          <w:color w:val="auto"/>
        </w:rPr>
        <w:t>Significant increases in both long -term and short-term interest rates pose a substantial risk associated with our investment in Agency RMBS. If long-term rates were to increase significantly, the market value of our Agency RMBS would decline, and the duration and weighted average life of the investments would increase. We could realize a loss if the securities were sold. At the same time, an increase in short-term interest rates would increase the amount of interest owed on our repurchase agreements used to finance the purchase of Agency RMBS, which would decrease cash available for distribution to our stockholders. Using this business model, we are particularly susceptible to the effects of an inverted yield curve, where short-term rates are higher than long-term rates. Although rare in a historical context, the U.S. and many countries in Europe have recently experienced inverted yield curves. Given the volatile nature of the U.S. economy and potential future increases in short- term interest rates, there can be no guarantee that the yield curve will not become inverted. If this occurs, it could result in a decline in the value of our Agency RMBS, our business, financial position and results of operations and our ability to pay distributions to our stockholders could be materially adversely affected.</w:t>
      </w:r>
    </w:p>
    <w:p>
      <w:pPr>
        <w:spacing w:after="0" w:line="201" w:lineRule="exact"/>
        <w:rPr>
          <w:sz w:val="20"/>
          <w:szCs w:val="20"/>
          <w:color w:val="auto"/>
        </w:rPr>
      </w:pPr>
    </w:p>
    <w:p>
      <w:pPr>
        <w:ind w:left="500" w:right="200"/>
        <w:spacing w:after="0" w:line="257" w:lineRule="auto"/>
        <w:rPr>
          <w:sz w:val="20"/>
          <w:szCs w:val="20"/>
          <w:color w:val="auto"/>
        </w:rPr>
      </w:pPr>
      <w:r>
        <w:rPr>
          <w:rFonts w:ascii="Times New Roman" w:cs="Times New Roman" w:eastAsia="Times New Roman" w:hAnsi="Times New Roman"/>
          <w:sz w:val="20"/>
          <w:szCs w:val="20"/>
          <w:i w:val="1"/>
          <w:iCs w:val="1"/>
          <w:color w:val="auto"/>
        </w:rPr>
        <w:t>An increase in interest rates may also cause a decrease in the volume of newly issued, or investor demand for, Agency RMBS, which could materially adversely affect our ability to acquire assets that satisfy our investment objectives and our business, financial condition and results of operations and our ability to pay distributions to our stockholders.</w:t>
      </w:r>
    </w:p>
    <w:p>
      <w:pPr>
        <w:spacing w:after="0" w:line="179" w:lineRule="exact"/>
        <w:rPr>
          <w:sz w:val="20"/>
          <w:szCs w:val="20"/>
          <w:color w:val="auto"/>
        </w:rPr>
      </w:pPr>
    </w:p>
    <w:p>
      <w:pPr>
        <w:ind w:firstLine="499"/>
        <w:spacing w:after="0" w:line="246" w:lineRule="auto"/>
        <w:rPr>
          <w:sz w:val="20"/>
          <w:szCs w:val="20"/>
          <w:color w:val="auto"/>
        </w:rPr>
      </w:pPr>
      <w:r>
        <w:rPr>
          <w:rFonts w:ascii="Times New Roman" w:cs="Times New Roman" w:eastAsia="Times New Roman" w:hAnsi="Times New Roman"/>
          <w:sz w:val="20"/>
          <w:szCs w:val="20"/>
          <w:color w:val="auto"/>
        </w:rPr>
        <w:t>Rising interest rates or high interest rates generally reduce the demand for consumer credit, including mortgage loans, due to the higher cost of borrowing. A reduction in the volume of mortgage loans may affect the volume of Agency RMBS available to us, which could affect our ability to acquire assets that satisfy our investment objectives. Rising interest rates may also cause Agency RMBS that were issued prior to an interest rate increase to provide yields that exceed prevailing market interest rates. If rising interest rates cause us to be unable to acquire a sufficient volume of Agency RMBS or Agency RMBS with a yield that exceeds our borrowing costs, our ability to satisfy our investment objectives and to generate income and pay dividends, our business, financial condition and results of operations, and our ability to pay distributions to our stockholders may be materially adversely affected.</w:t>
      </w:r>
    </w:p>
    <w:p>
      <w:pPr>
        <w:spacing w:after="0" w:line="193" w:lineRule="exact"/>
        <w:rPr>
          <w:sz w:val="20"/>
          <w:szCs w:val="20"/>
          <w:color w:val="auto"/>
        </w:rPr>
      </w:pPr>
    </w:p>
    <w:p>
      <w:pPr>
        <w:jc w:val="both"/>
        <w:ind w:left="500" w:right="120"/>
        <w:spacing w:after="0" w:line="257" w:lineRule="auto"/>
        <w:rPr>
          <w:sz w:val="20"/>
          <w:szCs w:val="20"/>
          <w:color w:val="auto"/>
        </w:rPr>
      </w:pPr>
      <w:r>
        <w:rPr>
          <w:rFonts w:ascii="Times New Roman" w:cs="Times New Roman" w:eastAsia="Times New Roman" w:hAnsi="Times New Roman"/>
          <w:sz w:val="20"/>
          <w:szCs w:val="20"/>
          <w:i w:val="1"/>
          <w:iCs w:val="1"/>
          <w:color w:val="auto"/>
        </w:rPr>
        <w:t>Interest rate mismatches between our Agency RMBS and our borrowings may reduce our net interest margin during periods of changing interest rates, which could materially adversely affect our business, financial condition and results of operations and our ability to pay distributions to our stockholders.</w:t>
      </w:r>
    </w:p>
    <w:p>
      <w:pPr>
        <w:spacing w:after="0" w:line="179" w:lineRule="exact"/>
        <w:rPr>
          <w:sz w:val="20"/>
          <w:szCs w:val="20"/>
          <w:color w:val="auto"/>
        </w:rPr>
      </w:pPr>
    </w:p>
    <w:p>
      <w:pPr>
        <w:jc w:val="both"/>
        <w:ind w:right="60" w:firstLine="499"/>
        <w:spacing w:after="0" w:line="259" w:lineRule="auto"/>
        <w:rPr>
          <w:sz w:val="20"/>
          <w:szCs w:val="20"/>
          <w:color w:val="auto"/>
        </w:rPr>
      </w:pPr>
      <w:r>
        <w:rPr>
          <w:rFonts w:ascii="Times New Roman" w:cs="Times New Roman" w:eastAsia="Times New Roman" w:hAnsi="Times New Roman"/>
          <w:sz w:val="20"/>
          <w:szCs w:val="20"/>
          <w:color w:val="auto"/>
        </w:rPr>
        <w:t>Our portfolio includes or may include Agency RMBS backed by fixed-rate mortgages, ARMs and hybrid ARMs and the mix of these securities in the portfolio may be increased or decreased over time. Additionally, the interest rates on ARMs and hybrid ARMs may vary over time based on changes in a short-term interest rate index, of which there are many.</w:t>
      </w:r>
    </w:p>
    <w:p>
      <w:pPr>
        <w:spacing w:after="0" w:line="178" w:lineRule="exact"/>
        <w:rPr>
          <w:sz w:val="20"/>
          <w:szCs w:val="20"/>
          <w:color w:val="auto"/>
        </w:rPr>
      </w:pPr>
    </w:p>
    <w:p>
      <w:pPr>
        <w:ind w:right="140" w:firstLine="499"/>
        <w:spacing w:after="0" w:line="252" w:lineRule="auto"/>
        <w:rPr>
          <w:sz w:val="20"/>
          <w:szCs w:val="20"/>
          <w:color w:val="auto"/>
        </w:rPr>
      </w:pPr>
      <w:r>
        <w:rPr>
          <w:rFonts w:ascii="Times New Roman" w:cs="Times New Roman" w:eastAsia="Times New Roman" w:hAnsi="Times New Roman"/>
          <w:sz w:val="20"/>
          <w:szCs w:val="20"/>
          <w:color w:val="auto"/>
        </w:rPr>
        <w:t>We finance our acquisitions of PT Agency RMBS with short-term financing. During periods of rising short-term interest rates, the income we earn on these securities will not change (with respect to Agency RMBS backed by fixed-rate mortgage loans) or will not increase at the same rate (with respect to Agency RMBS backed by ARMs and hybrid ARMs) as our related financing costs, which may reduce our net interest margin or result in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780"/>
          </w:cols>
          <w:pgMar w:left="720" w:top="784" w:right="740" w:bottom="0" w:gutter="0" w:footer="0" w:header="0"/>
        </w:sectPr>
      </w:pPr>
    </w:p>
    <w:bookmarkStart w:id="18" w:name="page19"/>
    <w:bookmarkEnd w:id="18"/>
    <w:p>
      <w:pPr>
        <w:ind w:left="520" w:right="680"/>
        <w:spacing w:after="0" w:line="272" w:lineRule="auto"/>
        <w:rPr>
          <w:sz w:val="20"/>
          <w:szCs w:val="20"/>
          <w:color w:val="auto"/>
        </w:rPr>
      </w:pPr>
      <w:r>
        <w:rPr>
          <w:rFonts w:ascii="Times New Roman" w:cs="Times New Roman" w:eastAsia="Times New Roman" w:hAnsi="Times New Roman"/>
          <w:sz w:val="20"/>
          <w:szCs w:val="20"/>
          <w:i w:val="1"/>
          <w:iCs w:val="1"/>
          <w:color w:val="auto"/>
        </w:rPr>
        <w:t>Further downgrades of the U.S. credit rating, automatic spending cuts, mounting budget deficits or another government shutdown could negatively impact our liquidity, financial condition and earnings.</w:t>
      </w:r>
    </w:p>
    <w:p>
      <w:pPr>
        <w:spacing w:after="0" w:line="166" w:lineRule="exact"/>
        <w:rPr>
          <w:sz w:val="20"/>
          <w:szCs w:val="20"/>
          <w:color w:val="auto"/>
        </w:rPr>
      </w:pPr>
    </w:p>
    <w:p>
      <w:pPr>
        <w:ind w:left="20" w:firstLine="500"/>
        <w:spacing w:after="0" w:line="246" w:lineRule="auto"/>
        <w:rPr>
          <w:sz w:val="20"/>
          <w:szCs w:val="20"/>
          <w:color w:val="auto"/>
        </w:rPr>
      </w:pPr>
      <w:r>
        <w:rPr>
          <w:rFonts w:ascii="Times New Roman" w:cs="Times New Roman" w:eastAsia="Times New Roman" w:hAnsi="Times New Roman"/>
          <w:sz w:val="20"/>
          <w:szCs w:val="20"/>
          <w:color w:val="auto"/>
        </w:rPr>
        <w:t>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in recent years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ind w:left="520" w:right="320"/>
        <w:spacing w:after="0" w:line="273" w:lineRule="auto"/>
        <w:rPr>
          <w:sz w:val="20"/>
          <w:szCs w:val="20"/>
          <w:color w:val="auto"/>
        </w:rPr>
      </w:pPr>
      <w:r>
        <w:rPr>
          <w:rFonts w:ascii="Times New Roman" w:cs="Times New Roman" w:eastAsia="Times New Roman" w:hAnsi="Times New Roman"/>
          <w:sz w:val="20"/>
          <w:szCs w:val="20"/>
          <w:i w:val="1"/>
          <w:iCs w:val="1"/>
          <w:color w:val="auto"/>
        </w:rPr>
        <w:t>Differences in the stated maturity of our fixed rate assets, or in the timing of interest rate adjustments on our adjustable-rate assets, and our borrowings may adversely affect our profitability.</w:t>
      </w:r>
    </w:p>
    <w:p>
      <w:pPr>
        <w:spacing w:after="0" w:line="164" w:lineRule="exact"/>
        <w:rPr>
          <w:sz w:val="20"/>
          <w:szCs w:val="20"/>
          <w:color w:val="auto"/>
        </w:rPr>
      </w:pPr>
    </w:p>
    <w:p>
      <w:pPr>
        <w:ind w:left="20" w:right="20" w:firstLine="499"/>
        <w:spacing w:after="0" w:line="252" w:lineRule="auto"/>
        <w:rPr>
          <w:sz w:val="20"/>
          <w:szCs w:val="20"/>
          <w:color w:val="auto"/>
        </w:rPr>
      </w:pPr>
      <w:r>
        <w:rPr>
          <w:rFonts w:ascii="Times New Roman" w:cs="Times New Roman" w:eastAsia="Times New Roman" w:hAnsi="Times New Roman"/>
          <w:sz w:val="20"/>
          <w:szCs w:val="20"/>
          <w:color w:val="auto"/>
        </w:rPr>
        <w:t>We rely primarily on short-term and/or variable rate borrowings to acquire fixed-rate securities with long-term maturities. In addition, we may have adjustable-rate assets with interest rates that vary over time based upon changes in an objective index, such as the U.S. Treasury rate or SOFR. These indices generally reflect short-term interest rates but these assets may not reset in a manner that matches our borrowings.</w:t>
      </w:r>
    </w:p>
    <w:p>
      <w:pPr>
        <w:spacing w:after="0" w:line="184" w:lineRule="exact"/>
        <w:rPr>
          <w:sz w:val="20"/>
          <w:szCs w:val="20"/>
          <w:color w:val="auto"/>
        </w:rPr>
      </w:pPr>
    </w:p>
    <w:p>
      <w:pPr>
        <w:ind w:left="20" w:right="40" w:firstLine="500"/>
        <w:spacing w:after="0" w:line="244" w:lineRule="auto"/>
        <w:rPr>
          <w:sz w:val="20"/>
          <w:szCs w:val="20"/>
          <w:color w:val="auto"/>
        </w:rPr>
      </w:pPr>
      <w:r>
        <w:rPr>
          <w:rFonts w:ascii="Times New Roman" w:cs="Times New Roman" w:eastAsia="Times New Roman" w:hAnsi="Times New Roman"/>
          <w:sz w:val="20"/>
          <w:szCs w:val="20"/>
          <w:color w:val="auto"/>
        </w:rPr>
        <w:t>The relationship between short-term and longer-term interest rates is often referred to as the "yield curve." Ordinarily, short-term interest rates are lower than longer -term interest rates. If short-term interest rates rise disproportionately relative to longer-term interest rates (a "flattening" of the yield curve), our borrowing costs may increase more rapidly than the interest income earned on our assets. Because our investments generally bear interest at longer-term rates than we pay on our borrowings, a flattening of the yield curve would tend to decrease our net interest income and the market value of our investment portfolio. Additionally, to the extent cash flows from investments that return scheduled and unscheduled principal are reinvested, the spread between the yields on the new investments and available borrowing rates may decline, which would likely decrease our net income. It is also possible that short-term interest rates may exceed longer-term interest rates (a yield curve "inversion"), in which event our borrowing costs may exceed our interest income and result in operating losses.</w:t>
      </w:r>
    </w:p>
    <w:p>
      <w:pPr>
        <w:spacing w:after="0" w:line="198" w:lineRule="exact"/>
        <w:rPr>
          <w:sz w:val="20"/>
          <w:szCs w:val="20"/>
          <w:color w:val="auto"/>
        </w:rPr>
      </w:pPr>
    </w:p>
    <w:p>
      <w:pPr>
        <w:ind w:left="480" w:right="40"/>
        <w:spacing w:after="0" w:line="252" w:lineRule="auto"/>
        <w:rPr>
          <w:sz w:val="20"/>
          <w:szCs w:val="20"/>
          <w:color w:val="auto"/>
        </w:rPr>
      </w:pPr>
      <w:r>
        <w:rPr>
          <w:rFonts w:ascii="Times New Roman" w:cs="Times New Roman" w:eastAsia="Times New Roman" w:hAnsi="Times New Roman"/>
          <w:sz w:val="20"/>
          <w:szCs w:val="20"/>
          <w:i w:val="1"/>
          <w:iCs w:val="1"/>
          <w:color w:val="auto"/>
        </w:rPr>
        <w:t>Short-term interest rates may become higher than long-term interest rates, which is typically referred to as an inverted U.S. Treasury or yield curve. An inverted yield curve occurred during 2022 through the majority of 2024, and may occur again in the future. Under such conditions our funding costs may equal or exceed yields available on our assets, adversely impacting our financial condition and results of operations and our ability to pay dividends to our stockholders.</w:t>
      </w:r>
    </w:p>
    <w:p>
      <w:pPr>
        <w:spacing w:after="0" w:line="184" w:lineRule="exact"/>
        <w:rPr>
          <w:sz w:val="20"/>
          <w:szCs w:val="20"/>
          <w:color w:val="auto"/>
        </w:rPr>
      </w:pPr>
    </w:p>
    <w:p>
      <w:pPr>
        <w:ind w:right="60" w:firstLine="500"/>
        <w:spacing w:after="0" w:line="249" w:lineRule="auto"/>
        <w:rPr>
          <w:sz w:val="20"/>
          <w:szCs w:val="20"/>
          <w:color w:val="auto"/>
        </w:rPr>
      </w:pPr>
      <w:r>
        <w:rPr>
          <w:rFonts w:ascii="Times New Roman" w:cs="Times New Roman" w:eastAsia="Times New Roman" w:hAnsi="Times New Roman"/>
          <w:sz w:val="20"/>
          <w:szCs w:val="20"/>
          <w:color w:val="auto"/>
        </w:rPr>
        <w:t>As the Fed began to increase over-night funding rates during 2022, short-term interest rates began to rise faster than longer -term interest rates and eventually the U.S. Treasury yield curve became inverted, whereby yields on short-terms rates exceeded yields on long-term interest rates. This condition continued into 2023 and through the majority of 2024, and may occur again in the</w:t>
      </w:r>
    </w:p>
    <w:p>
      <w:pPr>
        <w:spacing w:after="0" w:line="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future. Consistent with this development, funding costs associated with our borrowings increased during these periods relative to yields on our Agency RMBS securities. As a result, our net interest income declined during these periods. We employed various hedging strategies to off- set the inverted yield curve. However, such hedges may not be adequate to protect our interest income if the yield curve inverts again in the future. If the yield curve inverts again in the future, our financial condition, results of operations and our ability to pay dividends to our stockholders could be materially adversely affected.</w:t>
      </w:r>
    </w:p>
    <w:p>
      <w:pPr>
        <w:spacing w:after="0" w:line="200" w:lineRule="exact"/>
        <w:rPr>
          <w:sz w:val="20"/>
          <w:szCs w:val="20"/>
          <w:color w:val="auto"/>
        </w:rPr>
      </w:pPr>
    </w:p>
    <w:p>
      <w:pPr>
        <w:jc w:val="both"/>
        <w:ind w:left="520" w:right="80"/>
        <w:spacing w:after="0" w:line="258" w:lineRule="auto"/>
        <w:rPr>
          <w:sz w:val="20"/>
          <w:szCs w:val="20"/>
          <w:color w:val="auto"/>
        </w:rPr>
      </w:pPr>
      <w:r>
        <w:rPr>
          <w:rFonts w:ascii="Times New Roman" w:cs="Times New Roman" w:eastAsia="Times New Roman" w:hAnsi="Times New Roman"/>
          <w:sz w:val="20"/>
          <w:szCs w:val="20"/>
          <w:i w:val="1"/>
          <w:iCs w:val="1"/>
          <w:color w:val="auto"/>
        </w:rPr>
        <w:t>Increased levels of prepayments on the mortgages underlying our Agency RMBS might decrease net interest income or result in a net loss, which could materially adversely affect our business, financial condition and results of operations and our ability to pay distributions to our stockholders.</w:t>
      </w:r>
    </w:p>
    <w:p>
      <w:pPr>
        <w:spacing w:after="0" w:line="176" w:lineRule="exact"/>
        <w:rPr>
          <w:sz w:val="20"/>
          <w:szCs w:val="20"/>
          <w:color w:val="auto"/>
        </w:rPr>
      </w:pPr>
    </w:p>
    <w:p>
      <w:pPr>
        <w:ind w:left="20" w:right="40" w:firstLine="499"/>
        <w:spacing w:after="0" w:line="262" w:lineRule="auto"/>
        <w:rPr>
          <w:sz w:val="20"/>
          <w:szCs w:val="20"/>
          <w:color w:val="auto"/>
        </w:rPr>
      </w:pPr>
      <w:r>
        <w:rPr>
          <w:rFonts w:ascii="Times New Roman" w:cs="Times New Roman" w:eastAsia="Times New Roman" w:hAnsi="Times New Roman"/>
          <w:sz w:val="19"/>
          <w:szCs w:val="19"/>
          <w:color w:val="auto"/>
        </w:rPr>
        <w:t>In the case of residential mortgages, there are seldom any restrictions on borrowers’ ability to prepay their loans. Prepayment rates generally increase when interest rates fall and decrease when interest rates rise. Prepayment rates also may be affected by other factors, including, without limitation, conditions in the housing and financial markets, governmental action, general economic conditions and the relative interest rates on ARMs, hybrid ARMs and fixed-rate mortgage loans. To the extent that our PT Agency RMBS are carried at a premium to par, faster-than-expected prepayments could also materially adversely affect our business, financial condition and results of operations and our ability to pay distributions to our stockholders in various ways,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20"/>
          </w:cols>
          <w:pgMar w:left="700" w:top="790" w:right="720" w:bottom="0" w:gutter="0" w:footer="0" w:header="0"/>
        </w:sectPr>
      </w:pPr>
    </w:p>
    <w:bookmarkStart w:id="19" w:name="page20"/>
    <w:bookmarkEnd w:id="19"/>
    <w:p>
      <w:pPr>
        <w:ind w:left="720" w:hanging="35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realize the loss of the premium paid on the Agency RMBS.</w:t>
      </w:r>
    </w:p>
    <w:p>
      <w:pPr>
        <w:spacing w:after="0" w:line="35"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to reinvest the capital from the prepayments at lower prevailing interest rates.</w:t>
      </w:r>
    </w:p>
    <w:p>
      <w:pPr>
        <w:spacing w:after="0" w:line="10" w:lineRule="exact"/>
        <w:rPr>
          <w:rFonts w:ascii="Times New Roman" w:cs="Times New Roman" w:eastAsia="Times New Roman" w:hAnsi="Times New Roman"/>
          <w:sz w:val="20"/>
          <w:szCs w:val="20"/>
          <w:color w:val="auto"/>
        </w:rPr>
      </w:pPr>
    </w:p>
    <w:p>
      <w:pPr>
        <w:ind w:left="720" w:right="140" w:hanging="350"/>
        <w:spacing w:after="0" w:line="24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PT Agency RMBS backed by ARMs and hybrid ARMs may initially bear interest at rates that are lower than their fully indexed rates, which are equivalent to the applicable index rate plus a margin. If a PT Agency RMBS backed by ARMs or hybrid ARMs is prepaid prior to or soon after the time of adjustment to a fully-indexed rate, we will have held that Agency RMBS while it was less profitable and lost the opportunity to receive interest at the fully-indexed rate over the remainder of its expected life.</w:t>
      </w:r>
    </w:p>
    <w:p>
      <w:pPr>
        <w:spacing w:after="0" w:line="4" w:lineRule="exact"/>
        <w:rPr>
          <w:rFonts w:ascii="Times New Roman" w:cs="Times New Roman" w:eastAsia="Times New Roman" w:hAnsi="Times New Roman"/>
          <w:sz w:val="20"/>
          <w:szCs w:val="20"/>
          <w:color w:val="auto"/>
        </w:rPr>
      </w:pPr>
    </w:p>
    <w:p>
      <w:pPr>
        <w:ind w:left="720" w:right="280" w:hanging="350"/>
        <w:spacing w:after="0" w:line="25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acquire new Agency RMBS to replace the prepaid Agency RMBS, our returns on capital may be lower than if we were able to quickly acquire new Agency RMBS.</w:t>
      </w:r>
    </w:p>
    <w:p>
      <w:pPr>
        <w:spacing w:after="0" w:line="191" w:lineRule="exact"/>
        <w:rPr>
          <w:sz w:val="20"/>
          <w:szCs w:val="20"/>
          <w:color w:val="auto"/>
        </w:rPr>
      </w:pPr>
    </w:p>
    <w:p>
      <w:pPr>
        <w:ind w:firstLine="499"/>
        <w:spacing w:after="0" w:line="246" w:lineRule="auto"/>
        <w:rPr>
          <w:sz w:val="20"/>
          <w:szCs w:val="20"/>
          <w:color w:val="auto"/>
        </w:rPr>
      </w:pPr>
      <w:r>
        <w:rPr>
          <w:rFonts w:ascii="Times New Roman" w:cs="Times New Roman" w:eastAsia="Times New Roman" w:hAnsi="Times New Roman"/>
          <w:sz w:val="20"/>
          <w:szCs w:val="20"/>
          <w:color w:val="auto"/>
        </w:rPr>
        <w:t>When we acquire structured Agency RMBS, we anticipate that the underlying mortgages will prepay at a projected rate, generating an expected yield. When the prepayment rates on the mortgages underlying our structured Agency RMBS are higher than expected, our returns on those securities may be materially adversely affected. For example, the value of our IOs and IIOs are extremely sensitive to prepayments because holders of these securities do not have the right to receive any principal payments on the underlying mortgages. Therefore, if the mortgage loans underlying our IOs and IIOs are prepaid, such securities would cease to have any value, which, in turn, could materially adversely affect our business, financial condition and results of operations and our ability to pay distributions to our stockholders.</w:t>
      </w:r>
    </w:p>
    <w:p>
      <w:pPr>
        <w:spacing w:after="0" w:line="189" w:lineRule="exact"/>
        <w:rPr>
          <w:sz w:val="20"/>
          <w:szCs w:val="20"/>
          <w:color w:val="auto"/>
        </w:rPr>
      </w:pPr>
    </w:p>
    <w:p>
      <w:pPr>
        <w:ind w:right="280" w:firstLine="499"/>
        <w:spacing w:after="0" w:line="277" w:lineRule="auto"/>
        <w:rPr>
          <w:sz w:val="20"/>
          <w:szCs w:val="20"/>
          <w:color w:val="auto"/>
        </w:rPr>
      </w:pPr>
      <w:r>
        <w:rPr>
          <w:rFonts w:ascii="Times New Roman" w:cs="Times New Roman" w:eastAsia="Times New Roman" w:hAnsi="Times New Roman"/>
          <w:sz w:val="20"/>
          <w:szCs w:val="20"/>
          <w:color w:val="auto"/>
        </w:rPr>
        <w:t>While we seek to minimize prepayment risk, we must balance prepayment risk against other risks and the potential returns of each investment. No strategy can completely insulate us from prepayment or other such risks.</w:t>
      </w:r>
    </w:p>
    <w:p>
      <w:pPr>
        <w:spacing w:after="0" w:line="163" w:lineRule="exact"/>
        <w:rPr>
          <w:sz w:val="20"/>
          <w:szCs w:val="20"/>
          <w:color w:val="auto"/>
        </w:rPr>
      </w:pPr>
    </w:p>
    <w:p>
      <w:pPr>
        <w:jc w:val="both"/>
        <w:ind w:left="500" w:right="100"/>
        <w:spacing w:after="0" w:line="256" w:lineRule="auto"/>
        <w:rPr>
          <w:sz w:val="20"/>
          <w:szCs w:val="20"/>
          <w:color w:val="auto"/>
        </w:rPr>
      </w:pPr>
      <w:r>
        <w:rPr>
          <w:rFonts w:ascii="Times New Roman" w:cs="Times New Roman" w:eastAsia="Times New Roman" w:hAnsi="Times New Roman"/>
          <w:sz w:val="20"/>
          <w:szCs w:val="20"/>
          <w:i w:val="1"/>
          <w:iCs w:val="1"/>
          <w:color w:val="auto"/>
        </w:rPr>
        <w:t>A decrease in prepayment rates on the mortgages underlying our Agency RMBS might decrease net interest income or result in a net loss, which could materially adversely affect our business, financial condition and results of operations and our ability to pay distributions to our stockholders.</w:t>
      </w:r>
    </w:p>
    <w:p>
      <w:pPr>
        <w:spacing w:after="0" w:line="182" w:lineRule="exact"/>
        <w:rPr>
          <w:sz w:val="20"/>
          <w:szCs w:val="20"/>
          <w:color w:val="auto"/>
        </w:rPr>
      </w:pPr>
    </w:p>
    <w:p>
      <w:pPr>
        <w:ind w:right="120" w:firstLine="499"/>
        <w:spacing w:after="0" w:line="247" w:lineRule="auto"/>
        <w:rPr>
          <w:sz w:val="20"/>
          <w:szCs w:val="20"/>
          <w:color w:val="auto"/>
        </w:rPr>
      </w:pPr>
      <w:r>
        <w:rPr>
          <w:rFonts w:ascii="Times New Roman" w:cs="Times New Roman" w:eastAsia="Times New Roman" w:hAnsi="Times New Roman"/>
          <w:sz w:val="20"/>
          <w:szCs w:val="20"/>
          <w:color w:val="auto"/>
        </w:rPr>
        <w:t>Certain of our structured Agency RMBS may be adversely affected by a decrease in prepayment rates. For example, because POs are similar to zero-coupon bonds, our expected returns on such securities will be contingent on our receiving the principal payments of the underlying mortgage loans at expected intervals that assume a certain prepayment rate. If prepayment rates are lower than expected, we will not receive principal payments as quickly as we anticipated and, therefore, our expected returns on these securities will be adversely affected, which, in turn, could materially adversely affect our business, financial condition and results of operations and our ability to pay distributions to our stockholders.</w:t>
      </w:r>
    </w:p>
    <w:p>
      <w:pPr>
        <w:spacing w:after="0" w:line="191" w:lineRule="exact"/>
        <w:rPr>
          <w:sz w:val="20"/>
          <w:szCs w:val="20"/>
          <w:color w:val="auto"/>
        </w:rPr>
      </w:pPr>
    </w:p>
    <w:p>
      <w:pPr>
        <w:ind w:right="280" w:firstLine="499"/>
        <w:spacing w:after="0" w:line="277" w:lineRule="auto"/>
        <w:rPr>
          <w:sz w:val="20"/>
          <w:szCs w:val="20"/>
          <w:color w:val="auto"/>
        </w:rPr>
      </w:pPr>
      <w:r>
        <w:rPr>
          <w:rFonts w:ascii="Times New Roman" w:cs="Times New Roman" w:eastAsia="Times New Roman" w:hAnsi="Times New Roman"/>
          <w:sz w:val="20"/>
          <w:szCs w:val="20"/>
          <w:color w:val="auto"/>
        </w:rPr>
        <w:t>While we seek to minimize prepayment risk, we must balance prepayment risk against other risks and the potential returns of each investment. No strategy can completely insulate us from prepayment or other such risks.</w:t>
      </w:r>
    </w:p>
    <w:p>
      <w:pPr>
        <w:spacing w:after="0" w:line="160" w:lineRule="exact"/>
        <w:rPr>
          <w:sz w:val="20"/>
          <w:szCs w:val="20"/>
          <w:color w:val="auto"/>
        </w:rPr>
      </w:pPr>
    </w:p>
    <w:p>
      <w:pPr>
        <w:ind w:left="500" w:right="160"/>
        <w:spacing w:after="0" w:line="258" w:lineRule="auto"/>
        <w:rPr>
          <w:sz w:val="20"/>
          <w:szCs w:val="20"/>
          <w:color w:val="auto"/>
        </w:rPr>
      </w:pPr>
      <w:r>
        <w:rPr>
          <w:rFonts w:ascii="Times New Roman" w:cs="Times New Roman" w:eastAsia="Times New Roman" w:hAnsi="Times New Roman"/>
          <w:sz w:val="20"/>
          <w:szCs w:val="20"/>
          <w:i w:val="1"/>
          <w:iCs w:val="1"/>
          <w:color w:val="auto"/>
        </w:rPr>
        <w:t>Failure to procure adequate repurchase agreement financing, or to renew or replace existing repurchase agreement financing as it matures, could materially adversely affect our business, financial condition and results of operations and our ability to make distributions to our stockholders.</w:t>
      </w:r>
    </w:p>
    <w:p>
      <w:pPr>
        <w:spacing w:after="0" w:line="178"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20"/>
          <w:szCs w:val="20"/>
          <w:color w:val="auto"/>
        </w:rPr>
        <w:t>We intend to maintain master repurchase agreements with several counterparties. We cannot assure you that any, or sufficient, repurchase agreement financing will be available to us in the future on terms that are acceptable to us. Any decline in the value of Agency RMBS, or perceived market uncertainty about their value, would make it more difficult for us to obtain financing on favorable terms or at all, or maintain our compliance with the terms of any financing arrangements already in place. We may be unable to diversify the credit risk associated with our lenders. In the event that we cannot obtain sufficient funding on acceptable terms, our business, financial condition and results of operations and our ability to pay distributions to our stockholders may be materially adversely affected.</w:t>
      </w:r>
    </w:p>
    <w:p>
      <w:pPr>
        <w:spacing w:after="0" w:line="196"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Furthermore, because we intend to rely primarily on short- term borrowings to fund our acquisition of Agency RMBS, our ability to achieve our investment objectives will depend not only on our ability to borrow money in sufficient amounts and on favorable terms, but also on our ability to renew or replace on a continuous basis our maturing short- term borrowings. If we are not able to renew or replace maturing borrowings, we will have to sell some or all of our assets, possibly under adverse market conditions. In addition, if the regulatory capital requirements imposed on our lenders change, they may be required to significantly increase the cost of the financing that they provide to us. Our lenders also may revise their eligibility requirements for the types of assets they are willing to finance or the terms of such financings, based on, among other factors, the regulatory environment and their management of perceived risk.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792" w:right="720" w:bottom="0" w:gutter="0" w:footer="0" w:header="0"/>
        </w:sectPr>
      </w:pPr>
    </w:p>
    <w:bookmarkStart w:id="20" w:name="page21"/>
    <w:bookmarkEnd w:id="20"/>
    <w:p>
      <w:pPr>
        <w:ind w:left="500"/>
        <w:spacing w:after="0" w:line="251" w:lineRule="auto"/>
        <w:rPr>
          <w:sz w:val="20"/>
          <w:szCs w:val="20"/>
          <w:color w:val="auto"/>
        </w:rPr>
      </w:pPr>
      <w:r>
        <w:rPr>
          <w:rFonts w:ascii="Times New Roman" w:cs="Times New Roman" w:eastAsia="Times New Roman" w:hAnsi="Times New Roman"/>
          <w:sz w:val="20"/>
          <w:szCs w:val="20"/>
          <w:i w:val="1"/>
          <w:iCs w:val="1"/>
          <w:color w:val="auto"/>
        </w:rPr>
        <w:t>Adverse market developments could cause our lenders to require us to pledge additional assets as collateral. If our assets were insufficient to meet these collateral requirements, we might be compelled to liquidate particular assets at inopportune times and at unfavorable prices, which could materially adversely affect our business, financial condition and results of operations and our ability to pay distributions to our stockholders.</w:t>
      </w:r>
    </w:p>
    <w:p>
      <w:pPr>
        <w:spacing w:after="0" w:line="186"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20"/>
          <w:szCs w:val="20"/>
          <w:color w:val="auto"/>
        </w:rPr>
        <w:t>Adverse market developments, including a sharp or prolonged rise in interest rates, a change in prepayment rates or increasing market concern about the value or liquidity of one or more types of Agency RMBS, might reduce the market value of our portfolio, which might cause our lenders to initiate margin calls. A margin call means that the lender requires us to pledge additional collateral to re-establish the ratio of the value of the collateral to the amount of the borrowing. The specific collateral value to borrowing ratio that would trigger a margin call is not set in the master repurchase agreements and not determined until we engage in a repo transaction under these agreements. Our fixed-rate Agency RMBS generally are more susceptible to margin calls as increases in interest rates tend to more negatively affect the market value of fixed-rate securities. If we are unable to satisfy margin calls, our lenders may foreclose on our collateral. The threat or occurrence of a margin call could force us to sell, either directly or through a foreclosure, our Agency RMBS under adverse market conditions. Because of the significant leverage we have and expect to have, we may incur substantial losses upon the threat or occurrence of a margin call, which could materially adversely affect our business, financial condition and results of operations and our ability to pay distributions to our stockholders. We have sold Agency RMBS to satisfy margin calls in the past in adverse market conditions. These sales have, and may in the future, cause us to realize losses. Additionally, the liquidation of collateral may jeopardize our ability to maintain our qualification as a REIT, as we must comply with requirements regarding our assets and our sources of gross income. Our failure to maintain our qualification as a REIT would cause us to be subject to U.S. federal income tax (and any applicable state and local taxes) on all of our net taxable income.</w:t>
      </w:r>
    </w:p>
    <w:p>
      <w:pPr>
        <w:spacing w:after="0" w:line="204" w:lineRule="exact"/>
        <w:rPr>
          <w:sz w:val="20"/>
          <w:szCs w:val="20"/>
          <w:color w:val="auto"/>
        </w:rPr>
      </w:pPr>
    </w:p>
    <w:p>
      <w:pPr>
        <w:ind w:left="500" w:right="300"/>
        <w:spacing w:after="0" w:line="302" w:lineRule="auto"/>
        <w:rPr>
          <w:sz w:val="20"/>
          <w:szCs w:val="20"/>
          <w:color w:val="auto"/>
        </w:rPr>
      </w:pPr>
      <w:r>
        <w:rPr>
          <w:rFonts w:ascii="Times New Roman" w:cs="Times New Roman" w:eastAsia="Times New Roman" w:hAnsi="Times New Roman"/>
          <w:sz w:val="19"/>
          <w:szCs w:val="19"/>
          <w:i w:val="1"/>
          <w:iCs w:val="1"/>
          <w:color w:val="auto"/>
        </w:rPr>
        <w:t>Hedging against interest rate exposure may not completely insulate us from interest rate risk and could materially adversely affect our business, financial condition and results of operations and our ability to pay distributions to our stockholders.</w:t>
      </w:r>
    </w:p>
    <w:p>
      <w:pPr>
        <w:spacing w:after="0" w:line="137" w:lineRule="exact"/>
        <w:rPr>
          <w:sz w:val="20"/>
          <w:szCs w:val="20"/>
          <w:color w:val="auto"/>
        </w:rPr>
      </w:pPr>
    </w:p>
    <w:p>
      <w:pPr>
        <w:ind w:firstLine="499"/>
        <w:spacing w:after="0" w:line="246" w:lineRule="auto"/>
        <w:rPr>
          <w:sz w:val="20"/>
          <w:szCs w:val="20"/>
          <w:color w:val="auto"/>
        </w:rPr>
      </w:pPr>
      <w:r>
        <w:rPr>
          <w:rFonts w:ascii="Times New Roman" w:cs="Times New Roman" w:eastAsia="Times New Roman" w:hAnsi="Times New Roman"/>
          <w:sz w:val="20"/>
          <w:szCs w:val="20"/>
          <w:color w:val="auto"/>
        </w:rPr>
        <w:t>To the extent consistent with maintaining our qualification as a REIT, we may enter into interest rate cap or swap agreements or pursue other hedging strategies, including the purchase of puts, calls or other options and futures contracts in order to hedge the interest rate risk of our portfolio. In general, our hedging strategy depends on our view of our entire portfolio consisting of assets, liabilities and derivative instruments, in light of prevailing market conditions. We could misjudge the condition of our investment portfolio or the market. Our hedging activity will vary in scope based on the level and volatility of interest rates and principal prepayments, the type of Agency RMBS we hold and other changing market conditions. Hedging may fail to protect or could adversely affect us because, among other things:</w:t>
      </w:r>
    </w:p>
    <w:p>
      <w:pPr>
        <w:spacing w:after="0" w:line="194" w:lineRule="exact"/>
        <w:rPr>
          <w:sz w:val="20"/>
          <w:szCs w:val="20"/>
          <w:color w:val="auto"/>
        </w:rPr>
      </w:pPr>
    </w:p>
    <w:p>
      <w:pPr>
        <w:ind w:left="720" w:hanging="35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can be expensive, particularly during periods of rising and volatile interest rates;</w:t>
      </w:r>
    </w:p>
    <w:p>
      <w:pPr>
        <w:spacing w:after="0" w:line="35"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available interest rate hedging may not correspond directly with the interest rate risk for which protection is sought;</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duration of the hedge may not match the duration of the related liability;</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types of hedges may expose us to risk of loss beyond the fee paid to initiate the hedge;</w:t>
      </w:r>
    </w:p>
    <w:p>
      <w:pPr>
        <w:spacing w:after="0" w:line="10" w:lineRule="exact"/>
        <w:rPr>
          <w:rFonts w:ascii="Times New Roman" w:cs="Times New Roman" w:eastAsia="Times New Roman" w:hAnsi="Times New Roman"/>
          <w:sz w:val="20"/>
          <w:szCs w:val="20"/>
          <w:color w:val="auto"/>
        </w:rPr>
      </w:pPr>
    </w:p>
    <w:p>
      <w:pPr>
        <w:ind w:left="720" w:right="380" w:hanging="350"/>
        <w:spacing w:after="0" w:line="245"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gross income that a REIT may earn from hedging transactions, other than hedging transactions that satisfy certain requirements of the Code, is limited by the U.S. federal income tax provisions governing REITs;</w:t>
      </w:r>
    </w:p>
    <w:p>
      <w:pPr>
        <w:ind w:left="720" w:right="160" w:hanging="350"/>
        <w:spacing w:after="0" w:line="245"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quality of the counterparty on the hedge may be downgraded to such an extent that it impairs our ability to sell or assign our side of the hedging transaction; and</w:t>
      </w:r>
    </w:p>
    <w:p>
      <w:pPr>
        <w:ind w:left="720" w:hanging="35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in the hedging transaction may default on its obligation to pay.</w:t>
      </w:r>
    </w:p>
    <w:p>
      <w:pPr>
        <w:spacing w:after="0" w:line="208" w:lineRule="exact"/>
        <w:rPr>
          <w:sz w:val="20"/>
          <w:szCs w:val="20"/>
          <w:color w:val="auto"/>
        </w:rPr>
      </w:pPr>
    </w:p>
    <w:p>
      <w:pPr>
        <w:ind w:right="120" w:firstLine="499"/>
        <w:spacing w:after="0" w:line="247" w:lineRule="auto"/>
        <w:rPr>
          <w:sz w:val="20"/>
          <w:szCs w:val="20"/>
          <w:color w:val="auto"/>
        </w:rPr>
      </w:pPr>
      <w:r>
        <w:rPr>
          <w:rFonts w:ascii="Times New Roman" w:cs="Times New Roman" w:eastAsia="Times New Roman" w:hAnsi="Times New Roman"/>
          <w:sz w:val="20"/>
          <w:szCs w:val="20"/>
          <w:color w:val="auto"/>
        </w:rPr>
        <w:t>There are no perfect hedging strategies, and interest rate hedging has failed in some situations, and may fail in the future, to protect us from loss. Alternatively, we may fail to properly assess a risk to our investment portfolio or may fail to recognize a risk entirely, leaving us exposed to losses without the benefit of any offsetting hedging activities. The derivative financial instruments we select may not have the effect of reducing our interest rate risk. The nature and timing of hedging transactions may influence the effectiveness of these strategies. Poorly designed strategies or improperly executed transactions could actually increase our risk and losses. In addition, hedging activities could result in losses if the event against which we hedge does not occur.</w:t>
      </w:r>
    </w:p>
    <w:p>
      <w:pPr>
        <w:spacing w:after="0" w:line="191" w:lineRule="exact"/>
        <w:rPr>
          <w:sz w:val="20"/>
          <w:szCs w:val="20"/>
          <w:color w:val="auto"/>
        </w:rPr>
      </w:pPr>
    </w:p>
    <w:p>
      <w:pPr>
        <w:ind w:right="460" w:firstLine="499"/>
        <w:spacing w:after="0" w:line="277" w:lineRule="auto"/>
        <w:rPr>
          <w:sz w:val="20"/>
          <w:szCs w:val="20"/>
          <w:color w:val="auto"/>
        </w:rPr>
      </w:pPr>
      <w:r>
        <w:rPr>
          <w:rFonts w:ascii="Times New Roman" w:cs="Times New Roman" w:eastAsia="Times New Roman" w:hAnsi="Times New Roman"/>
          <w:sz w:val="20"/>
          <w:szCs w:val="20"/>
          <w:color w:val="auto"/>
        </w:rPr>
        <w:t>Because of the foregoing risks, our hedging activity could materially adversely affect our business, financial condition and results of operations and our ability to pay distributions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760"/>
          </w:cols>
          <w:pgMar w:left="720" w:top="790" w:right="760" w:bottom="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20"/>
          <w:szCs w:val="20"/>
          <w:i w:val="1"/>
          <w:iCs w:val="1"/>
          <w:color w:val="auto"/>
        </w:rPr>
        <w:t>Our use of certain hedging techniques may expose us to counterparty risks.</w:t>
      </w:r>
    </w:p>
    <w:p>
      <w:pPr>
        <w:spacing w:after="0" w:line="227" w:lineRule="exact"/>
        <w:rPr>
          <w:sz w:val="20"/>
          <w:szCs w:val="20"/>
          <w:color w:val="auto"/>
        </w:rPr>
      </w:pPr>
    </w:p>
    <w:p>
      <w:pPr>
        <w:ind w:right="100" w:firstLine="499"/>
        <w:spacing w:after="0" w:line="247" w:lineRule="auto"/>
        <w:rPr>
          <w:sz w:val="20"/>
          <w:szCs w:val="20"/>
          <w:color w:val="auto"/>
        </w:rPr>
      </w:pPr>
      <w:r>
        <w:rPr>
          <w:rFonts w:ascii="Times New Roman" w:cs="Times New Roman" w:eastAsia="Times New Roman" w:hAnsi="Times New Roman"/>
          <w:sz w:val="20"/>
          <w:szCs w:val="20"/>
          <w:color w:val="auto"/>
        </w:rPr>
        <w:t>To the extent that our hedging instruments are not traded on regulated exchanges, guaranteed by an exchange or its clearinghouse, or regulated by any U.S. or foreign governmental authorities, there may not be requirements with respect to record keeping, financial responsibility or segregation of customer funds and positions. Furthermore, the enforceability of agreements underlying hedging transactions may depend on compliance with applicable statutory, exchange and other regulatory requirements and, depending on the domicile of the counterparty, applicable international requirements. Consequently, if any of these issues causes a counterparty to fail to perform under a derivative agreement we could incur a significant loss.</w:t>
      </w:r>
    </w:p>
    <w:p>
      <w:pPr>
        <w:spacing w:after="0" w:line="191" w:lineRule="exact"/>
        <w:rPr>
          <w:sz w:val="20"/>
          <w:szCs w:val="20"/>
          <w:color w:val="auto"/>
        </w:rPr>
      </w:pPr>
    </w:p>
    <w:p>
      <w:pPr>
        <w:ind w:firstLine="499"/>
        <w:spacing w:after="0" w:line="247" w:lineRule="auto"/>
        <w:rPr>
          <w:sz w:val="20"/>
          <w:szCs w:val="20"/>
          <w:color w:val="auto"/>
        </w:rPr>
      </w:pPr>
      <w:r>
        <w:rPr>
          <w:rFonts w:ascii="Times New Roman" w:cs="Times New Roman" w:eastAsia="Times New Roman" w:hAnsi="Times New Roman"/>
          <w:sz w:val="20"/>
          <w:szCs w:val="20"/>
          <w:color w:val="auto"/>
        </w:rPr>
        <w:t>For example, if a swap exchange utilized in an interest rate swap agreement that we enter into as part of our hedging strategy cannot perform under the terms of the interest rate swap agreement, we may not receive payments due under that agreement, and, thus, we may lose any potential benefit associated with the interest rate swap. Additionally, we may also risk the loss of any collateral we have pledged to secure our obligations under these swap agreements if the exchange becomes insolvent or files for bankruptcy. Similarly, if an interest rate swaption counterparty fails to perform under the terms of the interest rate swaption agreement, in addition to not being able to exercise or otherwise cash settle the agreement, we could also incur a loss for the premium paid for that swaption.</w:t>
      </w:r>
    </w:p>
    <w:p>
      <w:pPr>
        <w:spacing w:after="0" w:line="193" w:lineRule="exact"/>
        <w:rPr>
          <w:sz w:val="20"/>
          <w:szCs w:val="20"/>
          <w:color w:val="auto"/>
        </w:rPr>
      </w:pPr>
    </w:p>
    <w:p>
      <w:pPr>
        <w:ind w:left="500" w:right="80"/>
        <w:spacing w:after="0" w:line="275" w:lineRule="auto"/>
        <w:rPr>
          <w:sz w:val="20"/>
          <w:szCs w:val="20"/>
          <w:color w:val="auto"/>
        </w:rPr>
      </w:pPr>
      <w:r>
        <w:rPr>
          <w:rFonts w:ascii="Times New Roman" w:cs="Times New Roman" w:eastAsia="Times New Roman" w:hAnsi="Times New Roman"/>
          <w:sz w:val="20"/>
          <w:szCs w:val="20"/>
          <w:i w:val="1"/>
          <w:iCs w:val="1"/>
          <w:color w:val="auto"/>
        </w:rPr>
        <w:t>Our use of leverage could materially adversely affect our business, financial condition and results of operations and our ability to pay distributions to our stockholders.</w:t>
      </w:r>
    </w:p>
    <w:p>
      <w:pPr>
        <w:spacing w:after="0" w:line="160" w:lineRule="exact"/>
        <w:rPr>
          <w:sz w:val="20"/>
          <w:szCs w:val="20"/>
          <w:color w:val="auto"/>
        </w:rPr>
      </w:pPr>
    </w:p>
    <w:p>
      <w:pPr>
        <w:ind w:right="20" w:firstLine="499"/>
        <w:spacing w:after="0" w:line="244" w:lineRule="auto"/>
        <w:rPr>
          <w:sz w:val="20"/>
          <w:szCs w:val="20"/>
          <w:color w:val="auto"/>
        </w:rPr>
      </w:pPr>
      <w:r>
        <w:rPr>
          <w:rFonts w:ascii="Times New Roman" w:cs="Times New Roman" w:eastAsia="Times New Roman" w:hAnsi="Times New Roman"/>
          <w:sz w:val="20"/>
          <w:szCs w:val="20"/>
          <w:color w:val="auto"/>
        </w:rPr>
        <w:t>We calculate our leverage ratio by dividing our total liabilities, adjusted for net notional TBA positions, by total stockholders' equity at the end of each period. Under normal market conditions, we generally expect our leverage ratio to be less than 12 to 1, although at times our borrowings may be above or below this level. We incur this indebtedness by borrowing against a substantial portion of the market value of our PT Agency RMBS and a portion of our structured Agency RMBS. Our total indebtedness, however, is not expressly limited by our policies and will depend on our prospective lenders’ estimates of the stability of our portfolio’s cash flow. As a result, there is no limit on the amount of leverage that we may incur. We face the risk that we might not be able to meet our debt service obligations or a lender’s margin requirements from our income and, to the extent we cannot, we might be forced to liquidate some of our Agency RMBS at unfavorable prices. Our use of leverage could materially adversely affect our business, financial condition and results of operations and our ability to pay distributions to our stockholders. For example:</w:t>
      </w:r>
    </w:p>
    <w:p>
      <w:pPr>
        <w:spacing w:after="0" w:line="201" w:lineRule="exact"/>
        <w:rPr>
          <w:sz w:val="20"/>
          <w:szCs w:val="20"/>
          <w:color w:val="auto"/>
        </w:rPr>
      </w:pPr>
    </w:p>
    <w:p>
      <w:pPr>
        <w:ind w:left="720" w:right="120" w:hanging="350"/>
        <w:spacing w:after="0" w:line="24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borrowings are secured by our PT Agency RMBS and a portion of our structured Agency RMBS under repurchase agreements. A decline in the market value of the PT Agency RMBS or structured Agency RMBS used to secure these debt obligations could limit our ability to borrow or result in lenders requiring us to pledge additional collateral to secure our borrowings. In that situation, we could be required to sell Agency RMBS under adverse market conditions in order to obtain the additional collateral required by the lender. If these sales are made at prices lower than the carrying value of the Agency RMBS, we would experience losses.</w:t>
      </w:r>
    </w:p>
    <w:p>
      <w:pPr>
        <w:ind w:left="720" w:right="180" w:hanging="350"/>
        <w:spacing w:after="0" w:line="243"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we are compelled to liquidate qualifying real estate assets to repay debts, our compliance with the REIT rules regarding our assets and our sources of gross income could be negatively affected, which could jeopardize our qualification as a REIT. Losing our REIT qualification would cause us to be subject to U.S. federal income tax (and any applicable state and local taxes) on all of our income and would decrease profitability and cash available for distributions to stockholders.</w:t>
      </w:r>
    </w:p>
    <w:p>
      <w:pPr>
        <w:spacing w:after="0" w:line="198" w:lineRule="exact"/>
        <w:rPr>
          <w:sz w:val="20"/>
          <w:szCs w:val="20"/>
          <w:color w:val="auto"/>
        </w:rPr>
      </w:pPr>
    </w:p>
    <w:p>
      <w:pPr>
        <w:ind w:right="240" w:firstLine="499"/>
        <w:spacing w:after="0" w:line="277" w:lineRule="auto"/>
        <w:rPr>
          <w:sz w:val="20"/>
          <w:szCs w:val="20"/>
          <w:color w:val="auto"/>
        </w:rPr>
      </w:pPr>
      <w:r>
        <w:rPr>
          <w:rFonts w:ascii="Times New Roman" w:cs="Times New Roman" w:eastAsia="Times New Roman" w:hAnsi="Times New Roman"/>
          <w:sz w:val="20"/>
          <w:szCs w:val="20"/>
          <w:color w:val="auto"/>
        </w:rPr>
        <w:t>If we experience losses as a result of our use of leverage, such losses could materially adversely affect our business, results of operations and financial condition and our ability to make distributions to our stockholders.</w:t>
      </w:r>
    </w:p>
    <w:p>
      <w:pPr>
        <w:spacing w:after="0" w:line="160"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20"/>
          <w:szCs w:val="20"/>
          <w:i w:val="1"/>
          <w:iCs w:val="1"/>
          <w:color w:val="auto"/>
        </w:rPr>
        <w:t>We invest in structured Agency RMBS, including IOs, IIOs and POs. Although structured Agency RMBS are generally subject to the same risks as our PT Agency RMBS, certain types of risks may be enhanced depending on the type of structured Agency RMBS in which we invest.</w:t>
      </w:r>
    </w:p>
    <w:p>
      <w:pPr>
        <w:spacing w:after="0" w:line="178" w:lineRule="exact"/>
        <w:rPr>
          <w:sz w:val="20"/>
          <w:szCs w:val="20"/>
          <w:color w:val="auto"/>
        </w:rPr>
      </w:pPr>
    </w:p>
    <w:p>
      <w:pPr>
        <w:ind w:right="160" w:firstLine="499"/>
        <w:spacing w:after="0" w:line="247" w:lineRule="auto"/>
        <w:rPr>
          <w:sz w:val="20"/>
          <w:szCs w:val="20"/>
          <w:color w:val="auto"/>
        </w:rPr>
      </w:pPr>
      <w:r>
        <w:rPr>
          <w:rFonts w:ascii="Times New Roman" w:cs="Times New Roman" w:eastAsia="Times New Roman" w:hAnsi="Times New Roman"/>
          <w:sz w:val="20"/>
          <w:szCs w:val="20"/>
          <w:color w:val="auto"/>
        </w:rPr>
        <w:t>The structured Agency RMBS in which we invest are securitizations (i) issued by the GSEs, (ii) collateralized by Agency RMBS and (iii) divided into various tranches that have different characteristics (such as different maturities or different coupon payments). These securities may carry greater risk than an investment in PT Agency RMBS. For example, certain types of structured Agency RMBS, such as IOs, IIOs and POs, are more sensitive to prepayment risks than PT Agency RMBS. If we were to invest in structured Agency RMBS that were more sensitive to prepayment risks relative to other types of structured Agency RMBS or PT Agency RMBS, we may increase our portfolio-wide prepayment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790" w:right="720" w:bottom="0" w:gutter="0" w:footer="0" w:header="0"/>
        </w:sectPr>
      </w:pPr>
    </w:p>
    <w:bookmarkStart w:id="22" w:name="page23"/>
    <w:bookmarkEnd w:id="22"/>
    <w:p>
      <w:pPr>
        <w:ind w:left="500" w:right="620"/>
        <w:spacing w:after="0" w:line="272" w:lineRule="auto"/>
        <w:rPr>
          <w:sz w:val="20"/>
          <w:szCs w:val="20"/>
          <w:color w:val="auto"/>
        </w:rPr>
      </w:pPr>
      <w:r>
        <w:rPr>
          <w:rFonts w:ascii="Times New Roman" w:cs="Times New Roman" w:eastAsia="Times New Roman" w:hAnsi="Times New Roman"/>
          <w:sz w:val="20"/>
          <w:szCs w:val="20"/>
          <w:i w:val="1"/>
          <w:iCs w:val="1"/>
          <w:color w:val="auto"/>
        </w:rPr>
        <w:t>It may be uneconomical to "roll" our TBA dollar roll transactions or we may be unable to meet margin calls on our TBA contracts, which could negatively affect our financial condition and results of operations.</w:t>
      </w:r>
    </w:p>
    <w:p>
      <w:pPr>
        <w:spacing w:after="0" w:line="166" w:lineRule="exact"/>
        <w:rPr>
          <w:sz w:val="20"/>
          <w:szCs w:val="20"/>
          <w:color w:val="auto"/>
        </w:rPr>
      </w:pPr>
    </w:p>
    <w:p>
      <w:pPr>
        <w:ind w:right="120" w:firstLine="499"/>
        <w:spacing w:after="0" w:line="244" w:lineRule="auto"/>
        <w:rPr>
          <w:sz w:val="20"/>
          <w:szCs w:val="20"/>
          <w:color w:val="auto"/>
        </w:rPr>
      </w:pPr>
      <w:r>
        <w:rPr>
          <w:rFonts w:ascii="Times New Roman" w:cs="Times New Roman" w:eastAsia="Times New Roman" w:hAnsi="Times New Roman"/>
          <w:sz w:val="20"/>
          <w:szCs w:val="20"/>
          <w:color w:val="auto"/>
        </w:rPr>
        <w:t>We may utilize TBA dollar roll transactions as a means of investing in and financing Agency RMBS. TBA contracts enable us to purchase or sell, for future delivery, Agency RMBS with certain principal and interest terms and certain types of collateral, but the particular Agency RMBS to be delivered are not identified until shortly before the TBA settlement date. Prior to settlement of the TBA contract we may choose to move the settlement of the securities out to a later date by entering into an offsetting position (referred to as a "pair off"), net settling the paired off positions for cash, and simultaneously purchasing a similar TBA contract for a later settlement date, collectively referred to as a "dollar roll." The Agency RMBS purchased for a forward settlement date under the TBA contract are typically priced at a discount to Agency RMBS for settlement in the current month. This difference (or discount) is referred to as the "price drop." The price drop is the economic equivalent of net interest income earned from carrying the underlying Agency RMBS over the roll period (interest income less implied financing cost). Consequently, dollar roll transactions and such forward purchases of Agency RMBS represent a form of off-balance sheet financing and increase our "at risk" leverage.</w:t>
      </w:r>
    </w:p>
    <w:p>
      <w:pPr>
        <w:spacing w:after="0" w:line="192" w:lineRule="exact"/>
        <w:rPr>
          <w:sz w:val="20"/>
          <w:szCs w:val="20"/>
          <w:color w:val="auto"/>
        </w:rPr>
      </w:pPr>
    </w:p>
    <w:p>
      <w:pPr>
        <w:ind w:right="40" w:firstLine="499"/>
        <w:spacing w:after="0" w:line="243" w:lineRule="auto"/>
        <w:rPr>
          <w:sz w:val="20"/>
          <w:szCs w:val="20"/>
          <w:color w:val="auto"/>
        </w:rPr>
      </w:pPr>
      <w:r>
        <w:rPr>
          <w:rFonts w:ascii="Times New Roman" w:cs="Times New Roman" w:eastAsia="Times New Roman" w:hAnsi="Times New Roman"/>
          <w:sz w:val="20"/>
          <w:szCs w:val="20"/>
          <w:color w:val="auto"/>
        </w:rPr>
        <w:t>Under certain market conditions, TBA dollar roll transactions may result in negative carry income whereby the Agency RMBS purchased for a forward settlement date under the TBA contract are priced at a premium to Agency RMBS for settlement in the current month. Additionally, sales of some or all of the Fed's holdings of Agency RMBS, or declines in purchases of Agency RMBS by the Fed could adversely impact the dollar roll market. Under such conditions, it may be uneconomical to roll our TBA positions prior to the settlement date and we could have to take physical delivery of the underlying securities and settle our obligations for cash. We may not have sufficient funds or alternative financing sources available to settle such obligations. In addition, pursuant to the margin provisions established by the Mortgage-Backed Securities Division ("MBSD") of the Fixed Income Clearing Corporation ("FICC"), we are subject to margin calls on our TBA contracts. Further, our clearing and custody agreements may require us to post additional margin above the levels established by the MBSD. Negative carry income on TBA dollar roll transactions or failure to procure adequate financing to settle our obligations or meet margin calls under our TBA contracts could result in defaults or force us to sell assets under adverse market conditions and adversely affect our financial condition and results of operations.</w:t>
      </w:r>
    </w:p>
    <w:p>
      <w:pPr>
        <w:spacing w:after="0" w:line="201" w:lineRule="exact"/>
        <w:rPr>
          <w:sz w:val="20"/>
          <w:szCs w:val="20"/>
          <w:color w:val="auto"/>
        </w:rPr>
      </w:pPr>
    </w:p>
    <w:p>
      <w:pPr>
        <w:ind w:left="500" w:right="20"/>
        <w:spacing w:after="0" w:line="257" w:lineRule="auto"/>
        <w:rPr>
          <w:sz w:val="20"/>
          <w:szCs w:val="20"/>
          <w:color w:val="auto"/>
        </w:rPr>
      </w:pPr>
      <w:r>
        <w:rPr>
          <w:rFonts w:ascii="Times New Roman" w:cs="Times New Roman" w:eastAsia="Times New Roman" w:hAnsi="Times New Roman"/>
          <w:sz w:val="20"/>
          <w:szCs w:val="20"/>
          <w:i w:val="1"/>
          <w:iCs w:val="1"/>
          <w:color w:val="auto"/>
        </w:rPr>
        <w:t>Interest rate caps on the ARMs and hybrid ARMs backing our Agency RMBS may reduce our net interest margin during periods of rising interest rates, which could materially adversely affect our business, financial condition and results of operations and our ability to pay distributions to our stockholders.</w:t>
      </w:r>
    </w:p>
    <w:p>
      <w:pPr>
        <w:spacing w:after="0" w:line="179" w:lineRule="exact"/>
        <w:rPr>
          <w:sz w:val="20"/>
          <w:szCs w:val="20"/>
          <w:color w:val="auto"/>
        </w:rPr>
      </w:pPr>
    </w:p>
    <w:p>
      <w:pPr>
        <w:ind w:right="20" w:firstLine="499"/>
        <w:spacing w:after="0" w:line="243" w:lineRule="auto"/>
        <w:rPr>
          <w:sz w:val="20"/>
          <w:szCs w:val="20"/>
          <w:color w:val="auto"/>
        </w:rPr>
      </w:pPr>
      <w:r>
        <w:rPr>
          <w:rFonts w:ascii="Times New Roman" w:cs="Times New Roman" w:eastAsia="Times New Roman" w:hAnsi="Times New Roman"/>
          <w:sz w:val="20"/>
          <w:szCs w:val="20"/>
          <w:color w:val="auto"/>
        </w:rPr>
        <w:t>ARMs and hybrid ARMs are typically subject to periodic and lifetime interest rate caps. Periodic interest rate caps limit the amount an interest rate can increase during any given period. Lifetime interest rate caps limit the amount an interest rate can increase through the maturity of the loan. Our borrowings typically are not subject to similar restrictions. Accordingly, in a period of rapidly increasing interest rates, our financing costs could increase without limitation while caps could limit the interest we earn on the ARMs and hybrid ARMs backing our Agency RMBS. This problem is magnified for ARMs and hybrid ARMs that are not fully indexed because such periodic interest rate caps prevent the coupon on the security from fully reaching the specified rate in one reset. Further, some ARMs and hybrid ARMs may be subject to periodic payment caps that result in a portion of the interest being deferred and added to the principal outstanding. As a result, we may receive less cash income on Agency RMBS backed by ARMs and hybrid ARMs than necessary to pay interest on our related borrowings. Interest rate caps on Agency RMBS backed by ARMs and hybrid ARMs could reduce our net interest margin if interest rates were to increase beyond the level of the caps, which could materially adversely affect our business, financial condition and results of operations and our ability to pay distributions to our stockholders.</w:t>
      </w:r>
    </w:p>
    <w:p>
      <w:pPr>
        <w:spacing w:after="0" w:line="202" w:lineRule="exact"/>
        <w:rPr>
          <w:sz w:val="20"/>
          <w:szCs w:val="20"/>
          <w:color w:val="auto"/>
        </w:rPr>
      </w:pPr>
    </w:p>
    <w:p>
      <w:pPr>
        <w:ind w:left="500" w:right="180"/>
        <w:spacing w:after="0" w:line="257" w:lineRule="auto"/>
        <w:rPr>
          <w:sz w:val="20"/>
          <w:szCs w:val="20"/>
          <w:color w:val="auto"/>
        </w:rPr>
      </w:pPr>
      <w:r>
        <w:rPr>
          <w:rFonts w:ascii="Times New Roman" w:cs="Times New Roman" w:eastAsia="Times New Roman" w:hAnsi="Times New Roman"/>
          <w:sz w:val="20"/>
          <w:szCs w:val="20"/>
          <w:i w:val="1"/>
          <w:iCs w:val="1"/>
          <w:color w:val="auto"/>
        </w:rPr>
        <w:t>Volatile market conditions for mortgages and mortgage-related assets as well as the broader financial markets can result in a significant contraction in liquidity for mortgages and mortgage-related assets, which may adversely affect the value of the assets in which we invest.</w:t>
      </w:r>
    </w:p>
    <w:p>
      <w:pPr>
        <w:spacing w:after="0" w:line="181" w:lineRule="exact"/>
        <w:rPr>
          <w:sz w:val="20"/>
          <w:szCs w:val="20"/>
          <w:color w:val="auto"/>
        </w:rPr>
      </w:pPr>
    </w:p>
    <w:p>
      <w:pPr>
        <w:ind w:right="640" w:firstLine="499"/>
        <w:spacing w:after="0" w:line="275" w:lineRule="auto"/>
        <w:rPr>
          <w:sz w:val="20"/>
          <w:szCs w:val="20"/>
          <w:color w:val="auto"/>
        </w:rPr>
      </w:pPr>
      <w:r>
        <w:rPr>
          <w:rFonts w:ascii="Times New Roman" w:cs="Times New Roman" w:eastAsia="Times New Roman" w:hAnsi="Times New Roman"/>
          <w:sz w:val="20"/>
          <w:szCs w:val="20"/>
          <w:color w:val="auto"/>
        </w:rPr>
        <w:t>Our results of operations are materially affected by conditions in the markets for mortgages and mortgage-related assets, including Agency RMBS, as well as the broader financial markets and the economy generally.</w:t>
      </w:r>
    </w:p>
    <w:p>
      <w:pPr>
        <w:spacing w:after="0" w:line="162" w:lineRule="exact"/>
        <w:rPr>
          <w:sz w:val="20"/>
          <w:szCs w:val="20"/>
          <w:color w:val="auto"/>
        </w:rPr>
      </w:pPr>
    </w:p>
    <w:p>
      <w:pPr>
        <w:ind w:firstLine="499"/>
        <w:spacing w:after="0" w:line="247" w:lineRule="auto"/>
        <w:rPr>
          <w:sz w:val="20"/>
          <w:szCs w:val="20"/>
          <w:color w:val="auto"/>
        </w:rPr>
      </w:pPr>
      <w:r>
        <w:rPr>
          <w:rFonts w:ascii="Times New Roman" w:cs="Times New Roman" w:eastAsia="Times New Roman" w:hAnsi="Times New Roman"/>
          <w:sz w:val="20"/>
          <w:szCs w:val="20"/>
          <w:color w:val="auto"/>
        </w:rPr>
        <w:t>Significant adverse changes in financial market conditions can result in a deleveraging of the global financial system and the forced sale of large quantities of mortgage-related and other financial assets. Concerns over rising or high interest rates, inflation, economic recession, geopolitical issues including events such as global pandemics, the wars in Ukraine and Israel, policy priorities of the U.S. presidential administration, tariffs or trade wars, unemployment, the availability and cost of financing, the mortgage market and a declining real estate market or prolonged government shutdown have in the past contributed, and may contribute in the future, to increased volatility and diminished expectations for the economy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780"/>
          </w:cols>
          <w:pgMar w:left="720" w:top="790" w:right="740" w:bottom="0" w:gutter="0" w:footer="0" w:header="0"/>
        </w:sectPr>
      </w:pPr>
    </w:p>
    <w:bookmarkStart w:id="23" w:name="page24"/>
    <w:bookmarkEnd w:id="23"/>
    <w:p>
      <w:pPr>
        <w:ind w:right="180" w:firstLine="499"/>
        <w:spacing w:after="0" w:line="247" w:lineRule="auto"/>
        <w:rPr>
          <w:sz w:val="20"/>
          <w:szCs w:val="20"/>
          <w:color w:val="auto"/>
        </w:rPr>
      </w:pPr>
      <w:r>
        <w:rPr>
          <w:rFonts w:ascii="Times New Roman" w:cs="Times New Roman" w:eastAsia="Times New Roman" w:hAnsi="Times New Roman"/>
          <w:sz w:val="20"/>
          <w:szCs w:val="20"/>
          <w:color w:val="auto"/>
        </w:rPr>
        <w:t>Increased volatility and deterioration in the markets for mortgages and mortgage-related assets as well as the broader financial markets have in the past adversely affected, and may adversely affect in the future, the performance and market value of our Agency RMBS. If these conditions exist, institutions from which we seek financing for our investments may tighten their lending standards, increase margin calls or become insolvent, which could make it more difficult for us to obtain financing on favorable terms or at all. Our profitability and financial condition may be adversely affected if we are unable to obtain cost-effective financing for our investments.</w:t>
      </w:r>
    </w:p>
    <w:p>
      <w:pPr>
        <w:spacing w:after="0" w:line="190" w:lineRule="exact"/>
        <w:rPr>
          <w:sz w:val="20"/>
          <w:szCs w:val="20"/>
          <w:color w:val="auto"/>
        </w:rPr>
      </w:pPr>
    </w:p>
    <w:p>
      <w:pPr>
        <w:ind w:left="500" w:right="1080"/>
        <w:spacing w:after="0" w:line="275" w:lineRule="auto"/>
        <w:rPr>
          <w:sz w:val="20"/>
          <w:szCs w:val="20"/>
          <w:color w:val="auto"/>
        </w:rPr>
      </w:pPr>
      <w:r>
        <w:rPr>
          <w:rFonts w:ascii="Times New Roman" w:cs="Times New Roman" w:eastAsia="Times New Roman" w:hAnsi="Times New Roman"/>
          <w:sz w:val="20"/>
          <w:szCs w:val="20"/>
          <w:i w:val="1"/>
          <w:iCs w:val="1"/>
          <w:color w:val="auto"/>
        </w:rPr>
        <w:t>Our forward settling transactions, including TBA transactions, subject us to certain risks, including price risks and counterparty risks.</w:t>
      </w:r>
    </w:p>
    <w:p>
      <w:pPr>
        <w:spacing w:after="0" w:line="162" w:lineRule="exact"/>
        <w:rPr>
          <w:sz w:val="20"/>
          <w:szCs w:val="20"/>
          <w:color w:val="auto"/>
        </w:rPr>
      </w:pPr>
    </w:p>
    <w:p>
      <w:pPr>
        <w:ind w:right="20" w:firstLine="500"/>
        <w:spacing w:after="0" w:line="247" w:lineRule="auto"/>
        <w:rPr>
          <w:sz w:val="20"/>
          <w:szCs w:val="20"/>
          <w:color w:val="auto"/>
        </w:rPr>
      </w:pPr>
      <w:r>
        <w:rPr>
          <w:rFonts w:ascii="Times New Roman" w:cs="Times New Roman" w:eastAsia="Times New Roman" w:hAnsi="Times New Roman"/>
          <w:sz w:val="20"/>
          <w:szCs w:val="20"/>
          <w:color w:val="auto"/>
        </w:rPr>
        <w:t>We purchase some of our Agency RMBS through forward settling transactions, including TBAs. In a forward settling transaction, we enter into a forward purchase agreement with a counterparty to purchase either (i) an identified Agency RMBS, or (ii) a TBA, or to-be-issued, Agency RMBS with certain terms. As with any forward purchase contract, the value of the underlying Agency RMBS may decrease between the trade date and the settlement date. Furthermore, a transaction counterparty may fail to deliver the underlying Agency RMBS at the settlement date. If any of these risks were to occur, our financial condition and results of operations may be materially adversely affected.</w:t>
      </w:r>
    </w:p>
    <w:p>
      <w:pPr>
        <w:spacing w:after="0" w:line="193" w:lineRule="exact"/>
        <w:rPr>
          <w:sz w:val="20"/>
          <w:szCs w:val="20"/>
          <w:color w:val="auto"/>
        </w:rPr>
      </w:pPr>
    </w:p>
    <w:p>
      <w:pPr>
        <w:jc w:val="both"/>
        <w:ind w:left="500" w:right="80"/>
        <w:spacing w:after="0" w:line="256" w:lineRule="auto"/>
        <w:rPr>
          <w:sz w:val="20"/>
          <w:szCs w:val="20"/>
          <w:color w:val="auto"/>
        </w:rPr>
      </w:pPr>
      <w:r>
        <w:rPr>
          <w:rFonts w:ascii="Times New Roman" w:cs="Times New Roman" w:eastAsia="Times New Roman" w:hAnsi="Times New Roman"/>
          <w:sz w:val="20"/>
          <w:szCs w:val="20"/>
          <w:i w:val="1"/>
          <w:iCs w:val="1"/>
          <w:color w:val="auto"/>
        </w:rPr>
        <w:t>We rely on analytical models and other data to analyze potential asset acquisition and disposition opportunities and to manage our portfolio. Such models and other data may be incorrect, misleading or incomplete, which could cause us to purchase assets that do not meet our expectations or to make asset management decisions that are not in line with our strategy.</w:t>
      </w:r>
    </w:p>
    <w:p>
      <w:pPr>
        <w:spacing w:after="0" w:line="182" w:lineRule="exact"/>
        <w:rPr>
          <w:sz w:val="20"/>
          <w:szCs w:val="20"/>
          <w:color w:val="auto"/>
        </w:rPr>
      </w:pPr>
    </w:p>
    <w:p>
      <w:pPr>
        <w:ind w:right="100" w:firstLine="499"/>
        <w:spacing w:after="0" w:line="259" w:lineRule="auto"/>
        <w:rPr>
          <w:sz w:val="20"/>
          <w:szCs w:val="20"/>
          <w:color w:val="auto"/>
        </w:rPr>
      </w:pPr>
      <w:r>
        <w:rPr>
          <w:rFonts w:ascii="Times New Roman" w:cs="Times New Roman" w:eastAsia="Times New Roman" w:hAnsi="Times New Roman"/>
          <w:sz w:val="20"/>
          <w:szCs w:val="20"/>
          <w:color w:val="auto"/>
        </w:rPr>
        <w:t>We rely on analytical models, and information and other data supplied by third parties. These models and data may be used to value assets or potential asset acquisitions and dispositions and in connection with our asset management activities. If our models and data prove to be incorrect, misleading or incomplete, any decisions made in reliance thereon could expose us to potential risks.</w:t>
      </w:r>
    </w:p>
    <w:p>
      <w:pPr>
        <w:spacing w:after="0" w:line="175" w:lineRule="exact"/>
        <w:rPr>
          <w:sz w:val="20"/>
          <w:szCs w:val="20"/>
          <w:color w:val="auto"/>
        </w:rPr>
      </w:pPr>
    </w:p>
    <w:p>
      <w:pPr>
        <w:ind w:right="200" w:firstLine="499"/>
        <w:spacing w:after="0" w:line="259" w:lineRule="auto"/>
        <w:rPr>
          <w:sz w:val="20"/>
          <w:szCs w:val="20"/>
          <w:color w:val="auto"/>
        </w:rPr>
      </w:pPr>
      <w:r>
        <w:rPr>
          <w:rFonts w:ascii="Times New Roman" w:cs="Times New Roman" w:eastAsia="Times New Roman" w:hAnsi="Times New Roman"/>
          <w:sz w:val="20"/>
          <w:szCs w:val="20"/>
          <w:color w:val="auto"/>
        </w:rPr>
        <w:t>Our reliance on models and data may induce us to purchase certain assets at prices that are too high, to sell certain other assets at prices that are too low or to miss favorable opportunities altogether. Similarly, any hedging activities that are based on faulty models and data may prove to be unsuccessful.</w:t>
      </w:r>
    </w:p>
    <w:p>
      <w:pPr>
        <w:spacing w:after="0" w:line="177"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20"/>
          <w:szCs w:val="20"/>
          <w:color w:val="auto"/>
        </w:rPr>
        <w:t>Some models, such as prepayment models, may be predictive in nature. The use of predictive models has inherent risks. For example, such models may incorrectly forecast future behavior, leading to potential losses. In addition, the predictive models used by us may differ substantially from those models used by other market participants, resulting in valuations based on these predictive models that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declines in home prices, or deep economic recessions or depressions), such models must employ greater degrees of extrapolation and are therefore more speculative and less reliable.</w:t>
      </w:r>
    </w:p>
    <w:p>
      <w:pPr>
        <w:spacing w:after="0" w:line="191" w:lineRule="exact"/>
        <w:rPr>
          <w:sz w:val="20"/>
          <w:szCs w:val="20"/>
          <w:color w:val="auto"/>
        </w:rPr>
      </w:pPr>
    </w:p>
    <w:p>
      <w:pPr>
        <w:ind w:right="240" w:firstLine="499"/>
        <w:spacing w:after="0" w:line="247" w:lineRule="auto"/>
        <w:rPr>
          <w:sz w:val="20"/>
          <w:szCs w:val="20"/>
          <w:color w:val="auto"/>
        </w:rPr>
      </w:pPr>
      <w:r>
        <w:rPr>
          <w:rFonts w:ascii="Times New Roman" w:cs="Times New Roman" w:eastAsia="Times New Roman" w:hAnsi="Times New Roman"/>
          <w:sz w:val="20"/>
          <w:szCs w:val="20"/>
          <w:color w:val="auto"/>
        </w:rPr>
        <w:t>All valuation models rely on correct market data input. If incorrect market data is entered into even a well-founded valuation model, the resulting valuations will be incorrect. However, even if market data is inputted correctly, “model prices” will often differ substantially from market prices, especially for securities with complex characteristics or whose values are particularly sensitive to various factors. If our market data inputs are incorrect or our model prices differ substantially from market prices, our business, financial condition and results of operations and our ability to make distributions to our stockholders could be materially adversely affected.</w:t>
      </w:r>
    </w:p>
    <w:p>
      <w:pPr>
        <w:spacing w:after="0" w:line="193" w:lineRule="exact"/>
        <w:rPr>
          <w:sz w:val="20"/>
          <w:szCs w:val="20"/>
          <w:color w:val="auto"/>
        </w:rPr>
      </w:pPr>
    </w:p>
    <w:p>
      <w:pPr>
        <w:ind w:left="500" w:right="180"/>
        <w:spacing w:after="0" w:line="256" w:lineRule="auto"/>
        <w:rPr>
          <w:sz w:val="20"/>
          <w:szCs w:val="20"/>
          <w:color w:val="auto"/>
        </w:rPr>
      </w:pPr>
      <w:r>
        <w:rPr>
          <w:rFonts w:ascii="Times New Roman" w:cs="Times New Roman" w:eastAsia="Times New Roman" w:hAnsi="Times New Roman"/>
          <w:sz w:val="20"/>
          <w:szCs w:val="20"/>
          <w:i w:val="1"/>
          <w:iCs w:val="1"/>
          <w:color w:val="auto"/>
        </w:rPr>
        <w:t>Valuations of some of our assets are inherently uncertain, may be based on estimates, may fluctuate over short periods of time and may differ from the values that would have been used if a ready market for these assets existed. As a result, the values of some of our assets are uncertain.</w:t>
      </w:r>
    </w:p>
    <w:p>
      <w:pPr>
        <w:spacing w:after="0" w:line="182" w:lineRule="exact"/>
        <w:rPr>
          <w:sz w:val="20"/>
          <w:szCs w:val="20"/>
          <w:color w:val="auto"/>
        </w:rPr>
      </w:pPr>
    </w:p>
    <w:p>
      <w:pPr>
        <w:ind w:right="80" w:firstLine="499"/>
        <w:spacing w:after="0" w:line="244" w:lineRule="auto"/>
        <w:rPr>
          <w:sz w:val="20"/>
          <w:szCs w:val="20"/>
          <w:color w:val="auto"/>
        </w:rPr>
      </w:pPr>
      <w:r>
        <w:rPr>
          <w:rFonts w:ascii="Times New Roman" w:cs="Times New Roman" w:eastAsia="Times New Roman" w:hAnsi="Times New Roman"/>
          <w:sz w:val="20"/>
          <w:szCs w:val="20"/>
          <w:color w:val="auto"/>
        </w:rPr>
        <w:t>While in many cases our determination of the fair value of our assets is based on valuations provided by third-party dealers and pricing services, we can and do value assets based upon our judgment, and such valuations may differ from those provided by third-party dealers and pricing services. Valuations of certain assets are often difficult to obtain or are unreliable. In general, dealers and pricing services heavily disclaim their valuations. Additionally, dealers may claim to furnish valuations only as an accommodation and without special compensation, and so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The valuation process during times of market distress can be particularly difficult and unpredictable and during such time the disparity of valuations provided by third-party dealers can widen.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788" w:right="720" w:bottom="0" w:gutter="0" w:footer="0" w:header="0"/>
        </w:sectPr>
      </w:pPr>
    </w:p>
    <w:bookmarkStart w:id="24" w:name="page25"/>
    <w:bookmarkEnd w:id="24"/>
    <w:p>
      <w:pPr>
        <w:ind w:right="140" w:firstLine="499"/>
        <w:spacing w:after="0" w:line="257" w:lineRule="auto"/>
        <w:rPr>
          <w:sz w:val="20"/>
          <w:szCs w:val="20"/>
          <w:color w:val="auto"/>
        </w:rPr>
      </w:pPr>
      <w:r>
        <w:rPr>
          <w:rFonts w:ascii="Times New Roman" w:cs="Times New Roman" w:eastAsia="Times New Roman" w:hAnsi="Times New Roman"/>
          <w:sz w:val="20"/>
          <w:szCs w:val="20"/>
          <w:color w:val="auto"/>
        </w:rPr>
        <w:t>Our business, financial condition and results of operations and our ability to make distributions to our stockholders could be materially adversely affected if our fair value determinations of these assets were materially higher than the values that would exist if a ready market existed for these assets.</w:t>
      </w:r>
    </w:p>
    <w:p>
      <w:pPr>
        <w:spacing w:after="0" w:line="183" w:lineRule="exact"/>
        <w:rPr>
          <w:sz w:val="20"/>
          <w:szCs w:val="20"/>
          <w:color w:val="auto"/>
        </w:rPr>
      </w:pPr>
    </w:p>
    <w:p>
      <w:pPr>
        <w:ind w:left="500" w:right="340"/>
        <w:spacing w:after="0" w:line="258" w:lineRule="auto"/>
        <w:rPr>
          <w:sz w:val="20"/>
          <w:szCs w:val="20"/>
          <w:color w:val="auto"/>
        </w:rPr>
      </w:pPr>
      <w:r>
        <w:rPr>
          <w:rFonts w:ascii="Times New Roman" w:cs="Times New Roman" w:eastAsia="Times New Roman" w:hAnsi="Times New Roman"/>
          <w:sz w:val="20"/>
          <w:szCs w:val="20"/>
          <w:i w:val="1"/>
          <w:iCs w:val="1"/>
          <w:color w:val="auto"/>
        </w:rPr>
        <w:t>Because the assets that we acquire might experience periods of illiquidity, we might be prevented from selling our Agency RMBS at favorable times and prices, which could materially adversely affect our business, financial condition and results of operations and our ability to pay distributions to our stockholders.</w:t>
      </w:r>
    </w:p>
    <w:p>
      <w:pPr>
        <w:spacing w:after="0" w:line="176" w:lineRule="exact"/>
        <w:rPr>
          <w:sz w:val="20"/>
          <w:szCs w:val="20"/>
          <w:color w:val="auto"/>
        </w:rPr>
      </w:pPr>
    </w:p>
    <w:p>
      <w:pPr>
        <w:ind w:right="160" w:firstLine="499"/>
        <w:spacing w:after="0" w:line="247" w:lineRule="auto"/>
        <w:rPr>
          <w:sz w:val="20"/>
          <w:szCs w:val="20"/>
          <w:color w:val="auto"/>
        </w:rPr>
      </w:pPr>
      <w:r>
        <w:rPr>
          <w:rFonts w:ascii="Times New Roman" w:cs="Times New Roman" w:eastAsia="Times New Roman" w:hAnsi="Times New Roman"/>
          <w:sz w:val="20"/>
          <w:szCs w:val="20"/>
          <w:color w:val="auto"/>
        </w:rPr>
        <w:t>Agency RMBS might experience periods of illiquidity. Such conditions are more likely to occur for structured Agency RMBS because such securities are generally traded in markets much less liquid than the PT Agency RMBS market. As a result, we may be unable to dispose of our Agency RMBS at advantageous times and prices or in a timely manner. The lack of liquidity might result from the absence of a willing buyer or an established market for these assets as well as legal or contractual restrictions on resale. The illiquidity of Agency RMBS could materially adversely affect our business, financial condition and results of operations and our ability to pay distributions to our stockholders.</w:t>
      </w:r>
    </w:p>
    <w:p>
      <w:pPr>
        <w:spacing w:after="0" w:line="193" w:lineRule="exact"/>
        <w:rPr>
          <w:sz w:val="20"/>
          <w:szCs w:val="20"/>
          <w:color w:val="auto"/>
        </w:rPr>
      </w:pPr>
    </w:p>
    <w:p>
      <w:pPr>
        <w:ind w:left="500" w:right="200"/>
        <w:spacing w:after="0" w:line="275" w:lineRule="auto"/>
        <w:rPr>
          <w:sz w:val="20"/>
          <w:szCs w:val="20"/>
          <w:color w:val="auto"/>
        </w:rPr>
      </w:pPr>
      <w:r>
        <w:rPr>
          <w:rFonts w:ascii="Times New Roman" w:cs="Times New Roman" w:eastAsia="Times New Roman" w:hAnsi="Times New Roman"/>
          <w:sz w:val="20"/>
          <w:szCs w:val="20"/>
          <w:i w:val="1"/>
          <w:iCs w:val="1"/>
          <w:color w:val="auto"/>
        </w:rPr>
        <w:t>Our use of repurchase agreements may give our lenders greater rights in the event that either we or any of our lenders file for bankruptcy, which may make it difficult for us to recover our collateral in the event of a bankruptcy filing.</w:t>
      </w:r>
    </w:p>
    <w:p>
      <w:pPr>
        <w:spacing w:after="0" w:line="162" w:lineRule="exact"/>
        <w:rPr>
          <w:sz w:val="20"/>
          <w:szCs w:val="20"/>
          <w:color w:val="auto"/>
        </w:rPr>
      </w:pPr>
    </w:p>
    <w:p>
      <w:pPr>
        <w:ind w:right="40" w:firstLine="499"/>
        <w:spacing w:after="0" w:line="245" w:lineRule="auto"/>
        <w:rPr>
          <w:sz w:val="20"/>
          <w:szCs w:val="20"/>
          <w:color w:val="auto"/>
        </w:rPr>
      </w:pPr>
      <w:r>
        <w:rPr>
          <w:rFonts w:ascii="Times New Roman" w:cs="Times New Roman" w:eastAsia="Times New Roman" w:hAnsi="Times New Roman"/>
          <w:sz w:val="20"/>
          <w:szCs w:val="20"/>
          <w:color w:val="auto"/>
        </w:rPr>
        <w:t>Our borrowings under repurchase agreements may qualify for special treatment under the bankruptcy code, giving our lenders the ability to avoid the automatic stay provisions of the bankruptcy code and to take possession of and liquidate our collateral under the repurchase agreements without delay if we file for bankruptcy. Furthermore, the special treatment of repurchase agreements under the bankruptcy code may make it difficult for us to recover our pledged assets in the event that any of our lenders files for bankruptcy. Thus, the use of repurchase agreements exposes our pledged assets to risk in the event of a bankruptcy filing by either our lenders or us. In addition, if the lender is a broker or dealer subject to the Securities Investor Protection Act of 1970, or an insured depository institution subject to the Federal Deposit Insurance Act, our ability to exercise our rights to recover our investment under a repurchase agreement or to be compensated for any damages resulting from the lender’s insolvency may be further limited by those statutes.</w:t>
      </w:r>
    </w:p>
    <w:p>
      <w:pPr>
        <w:spacing w:after="0" w:line="193" w:lineRule="exact"/>
        <w:rPr>
          <w:sz w:val="20"/>
          <w:szCs w:val="20"/>
          <w:color w:val="auto"/>
        </w:rPr>
      </w:pPr>
    </w:p>
    <w:p>
      <w:pPr>
        <w:ind w:left="500" w:right="60"/>
        <w:spacing w:after="0" w:line="251" w:lineRule="auto"/>
        <w:rPr>
          <w:sz w:val="20"/>
          <w:szCs w:val="20"/>
          <w:color w:val="auto"/>
        </w:rPr>
      </w:pPr>
      <w:r>
        <w:rPr>
          <w:rFonts w:ascii="Times New Roman" w:cs="Times New Roman" w:eastAsia="Times New Roman" w:hAnsi="Times New Roman"/>
          <w:sz w:val="20"/>
          <w:szCs w:val="20"/>
          <w:i w:val="1"/>
          <w:iCs w:val="1"/>
          <w:color w:val="auto"/>
        </w:rPr>
        <w:t>If our lenders default on their obligations to resell the Agency RMBS back to us at the end of the repo transaction term, or if the value of the Agency RMBS has declined by the end of the repo transaction term or if we default on our obligations under the repo transaction, we will lose money on these transactions, which, in turn, may materially adversely affect our business, financial condition and results of operations and our ability to pay distributions to our stockholders.</w:t>
      </w:r>
    </w:p>
    <w:p>
      <w:pPr>
        <w:spacing w:after="0" w:line="186" w:lineRule="exact"/>
        <w:rPr>
          <w:sz w:val="20"/>
          <w:szCs w:val="20"/>
          <w:color w:val="auto"/>
        </w:rPr>
      </w:pPr>
    </w:p>
    <w:p>
      <w:pPr>
        <w:ind w:right="40" w:firstLine="499"/>
        <w:spacing w:after="0" w:line="243" w:lineRule="auto"/>
        <w:rPr>
          <w:sz w:val="20"/>
          <w:szCs w:val="20"/>
          <w:color w:val="auto"/>
        </w:rPr>
      </w:pPr>
      <w:r>
        <w:rPr>
          <w:rFonts w:ascii="Times New Roman" w:cs="Times New Roman" w:eastAsia="Times New Roman" w:hAnsi="Times New Roman"/>
          <w:sz w:val="20"/>
          <w:szCs w:val="20"/>
          <w:color w:val="auto"/>
        </w:rPr>
        <w:t>When we engage in a repo transaction, we initially sell securities to the financial institution under one of our master repurchase agreements in exchange for cash, and our counterparty is obligated to resell the securities to us at the end of the term of the transaction, which is typically less than 90 days but may be up to 364 days or more. The cash we receive when we initially sell the securities is less than the value of those securities, which is referred to as the haircut. Many financial institutions from which we may obtain repurchase agreement financing have increased their haircuts in the past and may do so again in the future. When these haircuts are increased, we are required to post additional cash or securities as collateral for our Agency RMBS. If our counterparty defaults on its obligation to resell the securities to us, we would incur a loss on the transaction equal to the amount of the haircut (assuming there was no change in the value of the securities) . We would also lose money on a repo transaction if the value of the underlying securities had declined as of the end of the transaction term, as we would have to repurchase the securities for their initial value but would receive securities worth less than that amount. Any losses we incur on our repo transactions could materially adversely affect our business, financial condition and results of operations and our ability to pay distributions to our stockholders.</w:t>
      </w:r>
    </w:p>
    <w:p>
      <w:pPr>
        <w:spacing w:after="0" w:line="200" w:lineRule="exact"/>
        <w:rPr>
          <w:sz w:val="20"/>
          <w:szCs w:val="20"/>
          <w:color w:val="auto"/>
        </w:rPr>
      </w:pPr>
    </w:p>
    <w:p>
      <w:pPr>
        <w:ind w:right="60" w:firstLine="499"/>
        <w:spacing w:after="0" w:line="252" w:lineRule="auto"/>
        <w:rPr>
          <w:sz w:val="20"/>
          <w:szCs w:val="20"/>
          <w:color w:val="auto"/>
        </w:rPr>
      </w:pPr>
      <w:r>
        <w:rPr>
          <w:rFonts w:ascii="Times New Roman" w:cs="Times New Roman" w:eastAsia="Times New Roman" w:hAnsi="Times New Roman"/>
          <w:sz w:val="20"/>
          <w:szCs w:val="20"/>
          <w:color w:val="auto"/>
        </w:rPr>
        <w:t>If we default on one of our obligations under a repo transaction, the counterparty can terminate the transaction and cease entering into any other repo transactions with us. In that case, we would likely need to establish a replacement repurchase facility with another financial institution in order to continue to leverage our portfolio and carry out our investment strategy. There is no assurance we would be able to establish a suitable replacement facility on acceptable terms or at all.</w:t>
      </w:r>
    </w:p>
    <w:p>
      <w:pPr>
        <w:spacing w:after="0" w:line="186" w:lineRule="exact"/>
        <w:rPr>
          <w:sz w:val="20"/>
          <w:szCs w:val="20"/>
          <w:color w:val="auto"/>
        </w:rPr>
      </w:pPr>
    </w:p>
    <w:p>
      <w:pPr>
        <w:ind w:left="500" w:right="100"/>
        <w:spacing w:after="0" w:line="275" w:lineRule="auto"/>
        <w:rPr>
          <w:sz w:val="20"/>
          <w:szCs w:val="20"/>
          <w:color w:val="auto"/>
        </w:rPr>
      </w:pPr>
      <w:r>
        <w:rPr>
          <w:rFonts w:ascii="Times New Roman" w:cs="Times New Roman" w:eastAsia="Times New Roman" w:hAnsi="Times New Roman"/>
          <w:sz w:val="20"/>
          <w:szCs w:val="20"/>
          <w:i w:val="1"/>
          <w:iCs w:val="1"/>
          <w:color w:val="auto"/>
        </w:rPr>
        <w:t>Clearing facilities or exchanges upon which some of our hedging instruments are traded may increase margin requirements on our hedging instruments in the event of adverse economic developments.</w:t>
      </w:r>
    </w:p>
    <w:p>
      <w:pPr>
        <w:spacing w:after="0" w:line="162"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In response to events having or expected to have adverse economic consequences or which create market uncertainty, clearing facilities or exchanges upon which some of our hedging instruments, such as T-Note, Fed Funds, SOFR and ERIS SOFR Swap futures contracts and interest rate swaps, are traded may require us to post additional collateral against our hedging instruments. In the event that future adverse economic developments or market uncertainty result in increased margin requirements for our hedging instruments, it could materially adversely affect our liquidity position,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788" w:right="720" w:bottom="0" w:gutter="0" w:footer="0" w:header="0"/>
        </w:sectPr>
      </w:pPr>
    </w:p>
    <w:bookmarkStart w:id="25" w:name="page26"/>
    <w:bookmarkEnd w:id="25"/>
    <w:p>
      <w:pPr>
        <w:ind w:left="500" w:right="420"/>
        <w:spacing w:after="0" w:line="272" w:lineRule="auto"/>
        <w:rPr>
          <w:sz w:val="20"/>
          <w:szCs w:val="20"/>
          <w:color w:val="auto"/>
        </w:rPr>
      </w:pPr>
      <w:r>
        <w:rPr>
          <w:rFonts w:ascii="Times New Roman" w:cs="Times New Roman" w:eastAsia="Times New Roman" w:hAnsi="Times New Roman"/>
          <w:sz w:val="20"/>
          <w:szCs w:val="20"/>
          <w:i w:val="1"/>
          <w:iCs w:val="1"/>
          <w:color w:val="auto"/>
        </w:rPr>
        <w:t>Our inability to access funding or the terms on which such funding is available could have a material adverse effect on our financial condition, particularly in times of significant market dislocations.</w:t>
      </w:r>
    </w:p>
    <w:p>
      <w:pPr>
        <w:spacing w:after="0" w:line="166" w:lineRule="exact"/>
        <w:rPr>
          <w:sz w:val="20"/>
          <w:szCs w:val="20"/>
          <w:color w:val="auto"/>
        </w:rPr>
      </w:pPr>
    </w:p>
    <w:p>
      <w:pPr>
        <w:ind w:right="120" w:firstLine="499"/>
        <w:spacing w:after="0" w:line="246" w:lineRule="auto"/>
        <w:rPr>
          <w:sz w:val="20"/>
          <w:szCs w:val="20"/>
          <w:color w:val="auto"/>
        </w:rPr>
      </w:pPr>
      <w:r>
        <w:rPr>
          <w:rFonts w:ascii="Times New Roman" w:cs="Times New Roman" w:eastAsia="Times New Roman" w:hAnsi="Times New Roman"/>
          <w:sz w:val="20"/>
          <w:szCs w:val="20"/>
          <w:color w:val="auto"/>
        </w:rPr>
        <w:t>Our ability to fund our operations, meet financial obligations and finance asset acquisitions is dependent upon our ability to secure and maintain our repurchase agreements with our counterparties. Because repurchase agreements are short- term commitments of capital, lenders may respond to market conditions in ways that make it more difficult for us to renew or replace on a continuous basis our maturing short-term borrowings and have imposed and may continue to impose more onerous terms when rolling such financings. If we are not able to renew our existing repurchase agreements or arrange for new financing on terms acceptable to us, or if we are required to post more collateral or face larger haircuts, we may have to curtail our asset acquisition activities and/or dispose of assets.</w:t>
      </w:r>
    </w:p>
    <w:p>
      <w:pPr>
        <w:spacing w:after="0" w:line="191" w:lineRule="exact"/>
        <w:rPr>
          <w:sz w:val="20"/>
          <w:szCs w:val="20"/>
          <w:color w:val="auto"/>
        </w:rPr>
      </w:pPr>
    </w:p>
    <w:p>
      <w:pPr>
        <w:ind w:firstLine="500"/>
        <w:spacing w:after="0" w:line="242" w:lineRule="auto"/>
        <w:rPr>
          <w:sz w:val="20"/>
          <w:szCs w:val="20"/>
          <w:color w:val="auto"/>
        </w:rPr>
      </w:pPr>
      <w:r>
        <w:rPr>
          <w:rFonts w:ascii="Times New Roman" w:cs="Times New Roman" w:eastAsia="Times New Roman" w:hAnsi="Times New Roman"/>
          <w:sz w:val="20"/>
          <w:szCs w:val="20"/>
          <w:color w:val="auto"/>
        </w:rPr>
        <w:t>Issues related to financing are exacerbated in times of significant dislocation in the financial markets, for example, such as those experienced related to the COVID -19 pandemic. It is possible our lenders will become unwilling or unable to provide us with financing, and we could be forced to sell our assets at an inopportune time when prices are depressed. In addition, if the regulatory capital requirements imposed on our lenders change, they may be required to significantly increase the cost of the financing that they provide to us. Our lenders also have revised and may continue to revise the terms of such financings, including haircuts and requiring additional collateral in the form of cash, based on, among other factors, the regulatory environment and their management of actual and perceived risk. Moreover, the amount of financing we receive under our repurchase agreements will be directly related to our lenders’ valuation of our assets that collateralize the outstanding borrowings. Typically, repurchase agreements grant the lender the absolute right to re-evaluate the fair market value of the assets that cover outstanding borrowings at any time. If a lender determines in its sole discretion that the value of the assets has decreased, the lender has the right to initiate a margin call. These valuations may be different than the values that we ascribe to these assets and may be influenced by recent asset sales at distressed levels by forced sellers. A margin call requires us to transfer additional assets to a lender without any advance of funds from the lender for such transfer or to repay a portion of the outstanding borrowings. Significant margin calls could have a material adverse effect on our results of operations, financial condition, business, liquidity and ability to make distributions to our stockholders, and could cause the value of our common stock to decline. In addition, we have in the past experienced an increase in haircuts on financings we have rolled, and may again in the future. As haircuts are increased, we are required to post additional collateral. We may also be forced to sell assets at significantly depressed prices to meet such margin calls and to maintain adequate liquidity. As of December 31, 2025, we had met all margin call requirements, but a sufficiently deep and/or rapid increase in margin calls or haircuts could have an adverse impact on our liquidity.</w:t>
      </w:r>
    </w:p>
    <w:p>
      <w:pPr>
        <w:spacing w:after="0" w:line="196" w:lineRule="exact"/>
        <w:rPr>
          <w:sz w:val="20"/>
          <w:szCs w:val="20"/>
          <w:color w:val="auto"/>
        </w:rPr>
      </w:pPr>
    </w:p>
    <w:p>
      <w:pPr>
        <w:ind w:left="500" w:right="140"/>
        <w:spacing w:after="0" w:line="258" w:lineRule="auto"/>
        <w:rPr>
          <w:sz w:val="20"/>
          <w:szCs w:val="20"/>
          <w:color w:val="auto"/>
        </w:rPr>
      </w:pPr>
      <w:r>
        <w:rPr>
          <w:rFonts w:ascii="Times New Roman" w:cs="Times New Roman" w:eastAsia="Times New Roman" w:hAnsi="Times New Roman"/>
          <w:sz w:val="20"/>
          <w:szCs w:val="20"/>
          <w:i w:val="1"/>
          <w:iCs w:val="1"/>
          <w:color w:val="auto"/>
        </w:rPr>
        <w:t>We may change our investment strategy, investment guidelines and asset allocation without notice or stockholder consent, which may result in riskier investments. In addition, our charter provides that our Board of Directors may revoke or otherwise terminate our REIT election, without the approval of our stockholders.</w:t>
      </w:r>
    </w:p>
    <w:p>
      <w:pPr>
        <w:spacing w:after="0" w:line="178" w:lineRule="exact"/>
        <w:rPr>
          <w:sz w:val="20"/>
          <w:szCs w:val="20"/>
          <w:color w:val="auto"/>
        </w:rPr>
      </w:pPr>
    </w:p>
    <w:p>
      <w:pPr>
        <w:ind w:right="200" w:firstLine="499"/>
        <w:spacing w:after="0" w:line="249" w:lineRule="auto"/>
        <w:rPr>
          <w:sz w:val="20"/>
          <w:szCs w:val="20"/>
          <w:color w:val="auto"/>
        </w:rPr>
      </w:pPr>
      <w:r>
        <w:rPr>
          <w:rFonts w:ascii="Times New Roman" w:cs="Times New Roman" w:eastAsia="Times New Roman" w:hAnsi="Times New Roman"/>
          <w:sz w:val="20"/>
          <w:szCs w:val="20"/>
          <w:color w:val="auto"/>
        </w:rPr>
        <w:t>Our Board of Directors has the authority to change our investment strategy or asset allocation at any time without notice to or consent from our stockholders. To the extent that our investment strategy changes in the future, we may make investments that are different from, and possibly riskier than, the investments described in this Report. A change in our investment strategy may increase our exposure to interest rate and real estate market fluctuations. Furthermore, a change in our asset allocation could result in our allocating assets in a different manner than as described in this Report.</w:t>
      </w:r>
    </w:p>
    <w:p>
      <w:pPr>
        <w:spacing w:after="0" w:line="185" w:lineRule="exact"/>
        <w:rPr>
          <w:sz w:val="20"/>
          <w:szCs w:val="20"/>
          <w:color w:val="auto"/>
        </w:rPr>
      </w:pPr>
    </w:p>
    <w:p>
      <w:pPr>
        <w:ind w:right="140" w:firstLine="499"/>
        <w:spacing w:after="0" w:line="252" w:lineRule="auto"/>
        <w:rPr>
          <w:sz w:val="20"/>
          <w:szCs w:val="20"/>
          <w:color w:val="auto"/>
        </w:rPr>
      </w:pPr>
      <w:r>
        <w:rPr>
          <w:rFonts w:ascii="Times New Roman" w:cs="Times New Roman" w:eastAsia="Times New Roman" w:hAnsi="Times New Roman"/>
          <w:sz w:val="20"/>
          <w:szCs w:val="20"/>
          <w:color w:val="auto"/>
        </w:rPr>
        <w:t>In addition, our charter provides that our Board of Directors may revoke or otherwise terminate our REIT election, without the approval of our stockholders, if it determines that it is no longer in our best interests to qualify as a REIT. These changes could materially adversely affect our business, financial condition, results of operations, the market value of our common stock and our ability to make distributions to our stockholders.</w:t>
      </w:r>
    </w:p>
    <w:p>
      <w:pPr>
        <w:spacing w:after="0" w:line="188" w:lineRule="exact"/>
        <w:rPr>
          <w:sz w:val="20"/>
          <w:szCs w:val="20"/>
          <w:color w:val="auto"/>
        </w:rPr>
      </w:pPr>
    </w:p>
    <w:p>
      <w:pPr>
        <w:ind w:right="320" w:firstLine="499"/>
        <w:spacing w:after="0" w:line="272" w:lineRule="auto"/>
        <w:rPr>
          <w:sz w:val="20"/>
          <w:szCs w:val="20"/>
          <w:color w:val="auto"/>
        </w:rPr>
      </w:pPr>
      <w:r>
        <w:rPr>
          <w:rFonts w:ascii="Times New Roman" w:cs="Times New Roman" w:eastAsia="Times New Roman" w:hAnsi="Times New Roman"/>
          <w:sz w:val="20"/>
          <w:szCs w:val="20"/>
          <w:i w:val="1"/>
          <w:iCs w:val="1"/>
          <w:color w:val="auto"/>
        </w:rPr>
        <w:t>A prolonged economic slowdown, a lengthy or severe recession or declining real estate values could impair our investments and harm our operations.</w:t>
      </w:r>
    </w:p>
    <w:p>
      <w:pPr>
        <w:spacing w:after="0" w:line="166"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We believe the risks associated with our business may be more severe during periods of economic slowdown or recession, especially if these periods are accompanied by declining real estate values. Declining real estate values have in the past reduced, and in the future will likely reduce, the level of new mortgage and other real estate -related loan originations since borrowers often use appreciation in the value of their existing properties to support the purchase of or investment in additional properties. Borrowers may also be unable to refinance their loans or sell their homes to facilitate relocating to a less distressed area of the country – thus lowering prepayment activity on our portfolio of Agency RMBS. To the extent securities in our portfolio of Agency RMBS are carried at prices below par, this would reduce the yield we realize on our portfolio, and adversely affect our results of operations, financial condition, liquidity and business and our ability to pay dividends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780"/>
          </w:cols>
          <w:pgMar w:left="720" w:top="790" w:right="740" w:bottom="0" w:gutter="0" w:footer="0" w:header="0"/>
        </w:sectPr>
      </w:pPr>
    </w:p>
    <w:bookmarkStart w:id="26" w:name="page27"/>
    <w:bookmarkEnd w:id="26"/>
    <w:p>
      <w:pPr>
        <w:ind w:right="80" w:firstLine="499"/>
        <w:spacing w:after="0" w:line="245" w:lineRule="auto"/>
        <w:rPr>
          <w:sz w:val="20"/>
          <w:szCs w:val="20"/>
          <w:color w:val="auto"/>
        </w:rPr>
      </w:pPr>
      <w:r>
        <w:rPr>
          <w:rFonts w:ascii="Times New Roman" w:cs="Times New Roman" w:eastAsia="Times New Roman" w:hAnsi="Times New Roman"/>
          <w:sz w:val="20"/>
          <w:szCs w:val="20"/>
          <w:color w:val="auto"/>
        </w:rPr>
        <w:t>Market disruptions in a single country could cause a worsening of conditions on a regional and even global level, and economic problems in a single country are increasingly affecting other markets and economies. A continuation of this trend could result in problems in one country adversely affecting regional and even global economic conditions and markets. For example, concerns about the fiscal stability and growth prospects of certain European countries in the last economic downturn had a negative impact on most economies of the Eurozone and global markets. Military conflict in Ukraine and Israel and the resulting sanctions and penalties have caused, and may continue to cause, increased price volatility for publicly traded securities and other national, regional and international economic disruptions and economic uncertainty. The occurrence of similar crises in the future could cause increased volatility in the economies and financial markets of countries throughout a region, or even globally.</w:t>
      </w:r>
    </w:p>
    <w:p>
      <w:pPr>
        <w:spacing w:after="0" w:line="193" w:lineRule="exact"/>
        <w:rPr>
          <w:sz w:val="20"/>
          <w:szCs w:val="20"/>
          <w:color w:val="auto"/>
        </w:rPr>
      </w:pPr>
    </w:p>
    <w:p>
      <w:pPr>
        <w:ind w:left="500" w:right="360"/>
        <w:spacing w:after="0" w:line="275" w:lineRule="auto"/>
        <w:rPr>
          <w:sz w:val="20"/>
          <w:szCs w:val="20"/>
          <w:color w:val="auto"/>
        </w:rPr>
      </w:pPr>
      <w:r>
        <w:rPr>
          <w:rFonts w:ascii="Times New Roman" w:cs="Times New Roman" w:eastAsia="Times New Roman" w:hAnsi="Times New Roman"/>
          <w:sz w:val="20"/>
          <w:szCs w:val="20"/>
          <w:i w:val="1"/>
          <w:iCs w:val="1"/>
          <w:color w:val="auto"/>
        </w:rPr>
        <w:t>Competition might prevent us from acquiring Agency RMBS at favorable yields, which could materially adversely affect our business, financial condition and results of operations and our ability to pay distributions to our stockholders.</w:t>
      </w:r>
    </w:p>
    <w:p>
      <w:pPr>
        <w:spacing w:after="0" w:line="162"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20"/>
          <w:szCs w:val="20"/>
          <w:color w:val="auto"/>
        </w:rPr>
        <w:t>We operate in a highly competitive market for investment opportunities. Our net income largely depends on our ability to acquire Agency RMBS at favorable spreads over our borrowing costs. In acquiring Agency RMBS, we compete with a variety of institutional investors, including other REITs, investment banking firms, savings and loan associations, banks, insurance companies, mutual funds, other lenders, other entities that purchase Agency RMBS, the Fed, other governmental entities and government-sponsored entities, many of which have greater financial, technical, marketing and other resources than we do. Some competitors may have a lower cost of funds and access to funding sources that may not be available to us, such as funding from the U.S. government. Additionally, many of our competitors are not subject to REIT tax compliance or required to maintain an exemption from the Investment Company Act. In addition, some of our competitors may have higher risk tolerances or different risk assessments, which could allow them to consider a wider variety of investments. Furthermore, competition for investments in Agency RMBS may lead the price of such investments to increase, which may further limit our ability to generate desired returns. As a result, we may not be able to acquire sufficient Agency RMBS at favorable spreads over our borrowing costs, which would materially adversely affect our business, financial condition and results of operations and our ability to pay distributions to our stockholders.</w:t>
      </w:r>
    </w:p>
    <w:p>
      <w:pPr>
        <w:spacing w:after="0" w:line="197" w:lineRule="exact"/>
        <w:rPr>
          <w:sz w:val="20"/>
          <w:szCs w:val="20"/>
          <w:color w:val="auto"/>
        </w:rPr>
      </w:pPr>
    </w:p>
    <w:p>
      <w:pPr>
        <w:ind w:left="500" w:right="420"/>
        <w:spacing w:after="0" w:line="258" w:lineRule="auto"/>
        <w:rPr>
          <w:sz w:val="20"/>
          <w:szCs w:val="20"/>
          <w:color w:val="auto"/>
        </w:rPr>
      </w:pPr>
      <w:r>
        <w:rPr>
          <w:rFonts w:ascii="Times New Roman" w:cs="Times New Roman" w:eastAsia="Times New Roman" w:hAnsi="Times New Roman"/>
          <w:sz w:val="20"/>
          <w:szCs w:val="20"/>
          <w:i w:val="1"/>
          <w:iCs w:val="1"/>
          <w:color w:val="auto"/>
        </w:rPr>
        <w:t>We are highly dependent on communications and information systems operated by third parties, and systems failures could significantly disrupt our business, which may, in turn, adversely affect our business, financial condition and results of operations and our ability to pay distributions to our stockholders.</w:t>
      </w:r>
    </w:p>
    <w:p>
      <w:pPr>
        <w:spacing w:after="0" w:line="178" w:lineRule="exact"/>
        <w:rPr>
          <w:sz w:val="20"/>
          <w:szCs w:val="20"/>
          <w:color w:val="auto"/>
        </w:rPr>
      </w:pPr>
    </w:p>
    <w:p>
      <w:pPr>
        <w:ind w:right="40" w:firstLine="499"/>
        <w:spacing w:after="0" w:line="247" w:lineRule="auto"/>
        <w:rPr>
          <w:sz w:val="20"/>
          <w:szCs w:val="20"/>
          <w:color w:val="auto"/>
        </w:rPr>
      </w:pPr>
      <w:r>
        <w:rPr>
          <w:rFonts w:ascii="Times New Roman" w:cs="Times New Roman" w:eastAsia="Times New Roman" w:hAnsi="Times New Roman"/>
          <w:sz w:val="20"/>
          <w:szCs w:val="20"/>
          <w:color w:val="auto"/>
        </w:rPr>
        <w:t>Our business is highly dependent on communications and information systems that allow us to monitor, value, buy, sell, finance and hedge our investments. These systems are operated by third parties and, as a result, we have limited ability to ensure their continued operation. In the event of a systems failure or interruption, we will have limited ability to affect the timing and success of systems restoration. Any failure or interruption of these systems could cause delays or other problems in our securities trading activities, including Agency RMBS trading activities, which could have a material adverse effect on our business, financial condition and results of operations and our ability to pay distributions to our stockholders.</w:t>
      </w:r>
    </w:p>
    <w:p>
      <w:pPr>
        <w:spacing w:after="0" w:line="188" w:lineRule="exact"/>
        <w:rPr>
          <w:sz w:val="20"/>
          <w:szCs w:val="20"/>
          <w:color w:val="auto"/>
        </w:rPr>
      </w:pPr>
    </w:p>
    <w:p>
      <w:pPr>
        <w:ind w:right="80" w:firstLine="499"/>
        <w:spacing w:after="0" w:line="243" w:lineRule="auto"/>
        <w:rPr>
          <w:sz w:val="20"/>
          <w:szCs w:val="20"/>
          <w:color w:val="auto"/>
        </w:rPr>
      </w:pPr>
      <w:r>
        <w:rPr>
          <w:rFonts w:ascii="Times New Roman" w:cs="Times New Roman" w:eastAsia="Times New Roman" w:hAnsi="Times New Roman"/>
          <w:sz w:val="20"/>
          <w:szCs w:val="20"/>
          <w:color w:val="auto"/>
        </w:rPr>
        <w:t>Computer malware, ransomware, viruses, and computer hacking and phishing attacks have become more prevalent in the financial services industry and may occur on our or certain of our third party service providers' systems in the future. We rely heavily on our Manager’s financial, accounting and other data processing systems. Although we have not detected a breach to date, financial services institutions have reported breaches of their systems, some of which have been significant. Even with all reasonable security efforts, not every breach can be prevented or even detected. It is possible that we, our Manager or certain of our third-party service providers have experienced an undetected breach, and it is likely that other financial institutions have experienced more breaches than have been detected and reported. There is no assurance that we, our Manager, or certain of the third parties that facilitate our and our Manager’s business activities, have not or will not experience a breach. It is difficult to determine what, if any, negative impact may directly result from any specific interruption or cyber-attacks or security breaches of our networks or systems (or the networks or systems of certain third parties that facilitate our business activities) or any failure to maintain performance, reliability and security of our or certain of our third-party service providers' technical infrastructure, but such computer malware, ransomware, viruses, and computer hacking and phishing attacks may negatively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788" w:right="720" w:bottom="0" w:gutter="0" w:footer="0" w:header="0"/>
        </w:sectPr>
      </w:pPr>
    </w:p>
    <w:bookmarkStart w:id="27" w:name="page28"/>
    <w:bookmarkEnd w:id="27"/>
    <w:p>
      <w:pPr>
        <w:ind w:left="500" w:right="80"/>
        <w:spacing w:after="0" w:line="251" w:lineRule="auto"/>
        <w:rPr>
          <w:sz w:val="20"/>
          <w:szCs w:val="20"/>
          <w:color w:val="auto"/>
        </w:rPr>
      </w:pPr>
      <w:r>
        <w:rPr>
          <w:rFonts w:ascii="Times New Roman" w:cs="Times New Roman" w:eastAsia="Times New Roman" w:hAnsi="Times New Roman"/>
          <w:sz w:val="20"/>
          <w:szCs w:val="20"/>
          <w:i w:val="1"/>
          <w:iCs w:val="1"/>
          <w:color w:val="auto"/>
        </w:rPr>
        <w:t>We invest in securities guaranteed by the Enterprises which are currently under conservatorship by the FHFA. The ultimate impact on the operations of the Enterprises from the conservatorships and the support they receive from the U.S. government is not determinable and could affect the Enterprises in such a way that our business, operations and financial condition may be adversely affected.</w:t>
      </w:r>
    </w:p>
    <w:p>
      <w:pPr>
        <w:spacing w:after="0" w:line="186" w:lineRule="exact"/>
        <w:rPr>
          <w:sz w:val="20"/>
          <w:szCs w:val="20"/>
          <w:color w:val="auto"/>
        </w:rPr>
      </w:pPr>
    </w:p>
    <w:p>
      <w:pPr>
        <w:ind w:right="40" w:firstLine="499"/>
        <w:spacing w:after="0" w:line="244" w:lineRule="auto"/>
        <w:rPr>
          <w:sz w:val="20"/>
          <w:szCs w:val="20"/>
          <w:color w:val="auto"/>
        </w:rPr>
      </w:pPr>
      <w:r>
        <w:rPr>
          <w:rFonts w:ascii="Times New Roman" w:cs="Times New Roman" w:eastAsia="Times New Roman" w:hAnsi="Times New Roman"/>
          <w:sz w:val="20"/>
          <w:szCs w:val="20"/>
          <w:color w:val="auto"/>
        </w:rPr>
        <w:t>As conservator, the FHFA has assumed all the powers of the shareholders, directors and officers of the Enterprises with the goal of preserving and conserving their assets. At various times since implementation of the conservatorship, Congress and U.S. presidential administrations have considered structural changes to the Enterprises. The market value of Agency RMBS today is highly dependent on the continued support of the Enterprises by the U.S. government. If such support is modified or withdrawn, if the U.S. Treasury fails to inject new capital as needed, or if the Enterprises are released from conservatorship, the market value of Agency RMBS could significantly decline, making it difficult for us to obtain repurchase agreement financing and could force us to sell assets at substantial losses. Furthermore, any policy changes to the relationship between the Enterprises and the U.S. government may create market uncertainty and have the effect of reducing the actual or perceived credit quality of securities issued by the Enterprises. It may also interrupt the cash flow received by investors on the underlying Agency RMBS.</w:t>
      </w:r>
    </w:p>
    <w:p>
      <w:pPr>
        <w:spacing w:after="0" w:line="196" w:lineRule="exact"/>
        <w:rPr>
          <w:sz w:val="20"/>
          <w:szCs w:val="20"/>
          <w:color w:val="auto"/>
        </w:rPr>
      </w:pPr>
    </w:p>
    <w:p>
      <w:pPr>
        <w:jc w:val="both"/>
        <w:ind w:firstLine="499"/>
        <w:spacing w:after="0" w:line="277" w:lineRule="auto"/>
        <w:rPr>
          <w:sz w:val="20"/>
          <w:szCs w:val="20"/>
          <w:color w:val="auto"/>
        </w:rPr>
      </w:pPr>
      <w:r>
        <w:rPr>
          <w:rFonts w:ascii="Times New Roman" w:cs="Times New Roman" w:eastAsia="Times New Roman" w:hAnsi="Times New Roman"/>
          <w:sz w:val="20"/>
          <w:szCs w:val="20"/>
          <w:color w:val="auto"/>
        </w:rPr>
        <w:t>All of the foregoing could materially adversely affect the availability, pricing, liquidity, market value and financing of our assets and materially adversely affect our business, operations and financial condition and our ability to pay distributions to our stockholders.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Conflicts of Interest in Our Relationship with Our Manager and Bimini</w:t>
      </w:r>
    </w:p>
    <w:p>
      <w:pPr>
        <w:spacing w:after="0" w:line="231" w:lineRule="exact"/>
        <w:rPr>
          <w:sz w:val="20"/>
          <w:szCs w:val="20"/>
          <w:color w:val="auto"/>
        </w:rPr>
      </w:pPr>
    </w:p>
    <w:p>
      <w:pPr>
        <w:ind w:left="500" w:right="160"/>
        <w:spacing w:after="0" w:line="252" w:lineRule="auto"/>
        <w:rPr>
          <w:sz w:val="20"/>
          <w:szCs w:val="20"/>
          <w:color w:val="auto"/>
        </w:rPr>
      </w:pPr>
      <w:r>
        <w:rPr>
          <w:rFonts w:ascii="Times New Roman" w:cs="Times New Roman" w:eastAsia="Times New Roman" w:hAnsi="Times New Roman"/>
          <w:sz w:val="20"/>
          <w:szCs w:val="20"/>
          <w:i w:val="1"/>
          <w:iCs w:val="1"/>
          <w:color w:val="auto"/>
        </w:rPr>
        <w:t>The management agreement with our Manager was not negotiated on an arm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s-length basis and the terms, including fees payable and our inability to terminate, or our election not to renew, the management agreement based on our Manager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poor performance without paying our Manager a significant termination fee, except for a termination of the Manager with cause, may not be as favorable to us as if it were negotiated with an unaffiliated third party.</w:t>
      </w:r>
    </w:p>
    <w:p>
      <w:pPr>
        <w:spacing w:after="0" w:line="184" w:lineRule="exact"/>
        <w:rPr>
          <w:sz w:val="20"/>
          <w:szCs w:val="20"/>
          <w:color w:val="auto"/>
        </w:rPr>
      </w:pPr>
    </w:p>
    <w:p>
      <w:pPr>
        <w:ind w:right="20" w:firstLine="499"/>
        <w:spacing w:after="0" w:line="246" w:lineRule="auto"/>
        <w:rPr>
          <w:sz w:val="20"/>
          <w:szCs w:val="20"/>
          <w:color w:val="auto"/>
        </w:rPr>
      </w:pPr>
      <w:r>
        <w:rPr>
          <w:rFonts w:ascii="Times New Roman" w:cs="Times New Roman" w:eastAsia="Times New Roman" w:hAnsi="Times New Roman"/>
          <w:sz w:val="20"/>
          <w:szCs w:val="20"/>
          <w:color w:val="auto"/>
        </w:rPr>
        <w:t>The management agreement with our Manager was negotiated between related parties, and we did not have the benefit of arm’s-length negotiations of the type normally conducted with an unaffiliated third party. The terms of the management agreement with our Manager, including fees payable and our inability to terminate, or our election not to renew, the management agreement based on our Manager’s poor performance without paying our Manager a significant termination fee, except for a termination of the Manager with cause, may not reflect the terms we may have received if it was negotiated with an unrelated third party. In addition, as a result of the relationship with our Manager, we may choose not to enforce, or to enforce less vigorously, our rights under the management agreement because of our desire to maintain our ongoing relationship with our Manager.</w:t>
      </w:r>
    </w:p>
    <w:p>
      <w:pPr>
        <w:spacing w:after="0" w:line="193" w:lineRule="exact"/>
        <w:rPr>
          <w:sz w:val="20"/>
          <w:szCs w:val="20"/>
          <w:color w:val="auto"/>
        </w:rPr>
      </w:pPr>
    </w:p>
    <w:p>
      <w:pPr>
        <w:ind w:left="500" w:right="480"/>
        <w:spacing w:after="0" w:line="257" w:lineRule="auto"/>
        <w:rPr>
          <w:sz w:val="20"/>
          <w:szCs w:val="20"/>
          <w:color w:val="auto"/>
        </w:rPr>
      </w:pPr>
      <w:r>
        <w:rPr>
          <w:rFonts w:ascii="Times New Roman" w:cs="Times New Roman" w:eastAsia="Times New Roman" w:hAnsi="Times New Roman"/>
          <w:sz w:val="20"/>
          <w:szCs w:val="20"/>
          <w:i w:val="1"/>
          <w:iCs w:val="1"/>
          <w:color w:val="auto"/>
        </w:rPr>
        <w:t>We have no employees and our Manager is responsible for making all of our investment decisions. None of our or our Manager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officers are required to devote any specific amount of time to our business, and each of them may provide their services to Bimini, which could result in conflicts of interest.</w:t>
      </w:r>
    </w:p>
    <w:p>
      <w:pPr>
        <w:spacing w:after="0" w:line="179" w:lineRule="exact"/>
        <w:rPr>
          <w:sz w:val="20"/>
          <w:szCs w:val="20"/>
          <w:color w:val="auto"/>
        </w:rPr>
      </w:pPr>
    </w:p>
    <w:p>
      <w:pPr>
        <w:ind w:right="40" w:firstLine="499"/>
        <w:spacing w:after="0" w:line="244" w:lineRule="auto"/>
        <w:rPr>
          <w:sz w:val="20"/>
          <w:szCs w:val="20"/>
          <w:color w:val="auto"/>
        </w:rPr>
      </w:pPr>
      <w:r>
        <w:rPr>
          <w:rFonts w:ascii="Times New Roman" w:cs="Times New Roman" w:eastAsia="Times New Roman" w:hAnsi="Times New Roman"/>
          <w:sz w:val="20"/>
          <w:szCs w:val="20"/>
          <w:color w:val="auto"/>
        </w:rPr>
        <w:t>Our Manager is responsible for making all of our investments. We do not have any employees, and we are completely reliant on our Manager to provide us with investment advisory services. Each of our and our Manager’s officers is an employee of Bimini and none of them will devote their time to us exclusively. Each of Messrs. Cauley and Haas, who are the members of our Manager’s investment committee, is an officer of Bimini and has significant responsibilities to Bimini. Due to the fact that each of our officers is responsible for providing services to Bimini, they may not devote sufficient time to the management of our business operations. At times when there are turbulent conditions in the mortgage markets or distress in the credit markets or other times when we will need focused support and assistance from our executive officers and our Manager, Bimini and its affiliates will likewise require greater focus and attention from them. In such situations, we may not receive the level of support and assistance that we otherwise would likely have received if we were internally managed or if such executives were not otherwise committed to provide support to Bimini.</w:t>
      </w:r>
    </w:p>
    <w:p>
      <w:pPr>
        <w:spacing w:after="0" w:line="196" w:lineRule="exact"/>
        <w:rPr>
          <w:sz w:val="20"/>
          <w:szCs w:val="20"/>
          <w:color w:val="auto"/>
        </w:rPr>
      </w:pPr>
    </w:p>
    <w:p>
      <w:pPr>
        <w:ind w:right="20" w:firstLine="499"/>
        <w:spacing w:after="0" w:line="249" w:lineRule="auto"/>
        <w:rPr>
          <w:sz w:val="20"/>
          <w:szCs w:val="20"/>
          <w:color w:val="auto"/>
        </w:rPr>
      </w:pPr>
      <w:r>
        <w:rPr>
          <w:rFonts w:ascii="Times New Roman" w:cs="Times New Roman" w:eastAsia="Times New Roman" w:hAnsi="Times New Roman"/>
          <w:sz w:val="20"/>
          <w:szCs w:val="20"/>
          <w:color w:val="auto"/>
        </w:rPr>
        <w:t>Our Board of Directors has adopted investment guidelines that require that any investment transaction between us and Bimini or any affiliate of Bimini receive the prior approval of a majority of our independent directors. However, this policy will not eliminate the conflicts of interest that our officers will face in making investment decisions on behalf of Bimini and us. Further, we do not have any agreement or understanding with Bimini that would give us any priority over Bimini or any of its affiliates. Accordingly, we may compete for access to the benefits that we expect our relationship with our Manager and Bimini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790" w:right="720" w:bottom="0" w:gutter="0" w:footer="0" w:header="0"/>
        </w:sectPr>
      </w:pPr>
    </w:p>
    <w:bookmarkStart w:id="28" w:name="page29"/>
    <w:bookmarkEnd w:id="28"/>
    <w:p>
      <w:pPr>
        <w:jc w:val="both"/>
        <w:ind w:left="500" w:right="300"/>
        <w:spacing w:after="0" w:line="256" w:lineRule="auto"/>
        <w:rPr>
          <w:sz w:val="20"/>
          <w:szCs w:val="20"/>
          <w:color w:val="auto"/>
        </w:rPr>
      </w:pPr>
      <w:r>
        <w:rPr>
          <w:rFonts w:ascii="Times New Roman" w:cs="Times New Roman" w:eastAsia="Times New Roman" w:hAnsi="Times New Roman"/>
          <w:sz w:val="20"/>
          <w:szCs w:val="20"/>
          <w:i w:val="1"/>
          <w:iCs w:val="1"/>
          <w:color w:val="auto"/>
        </w:rPr>
        <w:t>We are completely dependent upon our Manager and certain key personnel of Bimini who provide services to us through the management agreement, and we may not find suitable replacements for our Manager and these personnel if the management agreement is terminated or such key personnel are no longer available to us.</w:t>
      </w:r>
    </w:p>
    <w:p>
      <w:pPr>
        <w:spacing w:after="0" w:line="182" w:lineRule="exact"/>
        <w:rPr>
          <w:sz w:val="20"/>
          <w:szCs w:val="20"/>
          <w:color w:val="auto"/>
        </w:rPr>
      </w:pPr>
    </w:p>
    <w:p>
      <w:pPr>
        <w:ind w:firstLine="499"/>
        <w:spacing w:after="0" w:line="247" w:lineRule="auto"/>
        <w:rPr>
          <w:sz w:val="20"/>
          <w:szCs w:val="20"/>
          <w:color w:val="auto"/>
        </w:rPr>
      </w:pPr>
      <w:r>
        <w:rPr>
          <w:rFonts w:ascii="Times New Roman" w:cs="Times New Roman" w:eastAsia="Times New Roman" w:hAnsi="Times New Roman"/>
          <w:sz w:val="20"/>
          <w:szCs w:val="20"/>
          <w:color w:val="auto"/>
        </w:rPr>
        <w:t>We are completely dependent on our Manager to conduct our operations pursuant to the management agreement. Because we do not have any employees or separate facilities, we are reliant on our Manager to provide us with the personnel, services and resources necessary to carry out our day-to-day operations. Our management agreement does not require our Manager to dedicate specific personnel to our operations or a specific amount of time to our business. Additionally, because we are affiliated with Bimini, we may be negatively impacted by an event or factors that negatively impacts or could negatively impact Bimini’s business or financial condition.</w:t>
      </w:r>
    </w:p>
    <w:p>
      <w:pPr>
        <w:spacing w:after="0" w:line="191"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20"/>
          <w:szCs w:val="20"/>
          <w:color w:val="auto"/>
        </w:rPr>
        <w:t>Our management agreement is automatically renewed in accordance with the terms of the agreement, each year, on February 20. Upon the expiration of any automatic renewal term, our Manager may elect not to renew the management agreement without cause, and without penalty, on 180-days’ prior written notice to us. If we elect not to renew the management agreement without cause, we would have to pay a termination fee equal to three times the average annual management fee earned by our Manager during the prior 24-month period immediately preceding the most recently completed calendar quarter prior to the effective date of termination. During the term of the management agreement and for two years after its expiration or termination, we may not, without the consent of our Manager, employ any employee of the Manager or any of its affiliates or any person who has been employed by our Manager or any of its affiliates at any time within the two-year period immediately preceding the date on which the person commences employment with us. We do not have retention agreements with any of our officers. We believe that the successful implementation of our investment and financing strategies depends to a significant extent upon the experience of Bimini’s executive officers. None of these individuals’ continued service is guaranteed. If the management agreement is terminated or these individuals leave Bimini, we may be unable to execute our business plan.</w:t>
      </w:r>
    </w:p>
    <w:p>
      <w:pPr>
        <w:spacing w:after="0" w:line="197" w:lineRule="exact"/>
        <w:rPr>
          <w:sz w:val="20"/>
          <w:szCs w:val="20"/>
          <w:color w:val="auto"/>
        </w:rPr>
      </w:pPr>
    </w:p>
    <w:p>
      <w:pPr>
        <w:ind w:left="500" w:right="100"/>
        <w:spacing w:after="0" w:line="275" w:lineRule="auto"/>
        <w:rPr>
          <w:sz w:val="20"/>
          <w:szCs w:val="20"/>
          <w:color w:val="auto"/>
        </w:rPr>
      </w:pPr>
      <w:r>
        <w:rPr>
          <w:rFonts w:ascii="Times New Roman" w:cs="Times New Roman" w:eastAsia="Times New Roman" w:hAnsi="Times New Roman"/>
          <w:sz w:val="20"/>
          <w:szCs w:val="20"/>
          <w:i w:val="1"/>
          <w:iCs w:val="1"/>
          <w:color w:val="auto"/>
        </w:rPr>
        <w:t>We, Bimini and other accounts managed by our Manager may compete for opportunities to acquire assets, which are allocated in accordance with the Investment Allocation Agreement by and among Bimini, our Manager and us.</w:t>
      </w:r>
    </w:p>
    <w:p>
      <w:pPr>
        <w:spacing w:after="0" w:line="162" w:lineRule="exact"/>
        <w:rPr>
          <w:sz w:val="20"/>
          <w:szCs w:val="20"/>
          <w:color w:val="auto"/>
        </w:rPr>
      </w:pPr>
    </w:p>
    <w:p>
      <w:pPr>
        <w:ind w:right="220" w:firstLine="499"/>
        <w:spacing w:after="0" w:line="247" w:lineRule="auto"/>
        <w:rPr>
          <w:sz w:val="20"/>
          <w:szCs w:val="20"/>
          <w:color w:val="auto"/>
        </w:rPr>
      </w:pPr>
      <w:r>
        <w:rPr>
          <w:rFonts w:ascii="Times New Roman" w:cs="Times New Roman" w:eastAsia="Times New Roman" w:hAnsi="Times New Roman"/>
          <w:sz w:val="20"/>
          <w:szCs w:val="20"/>
          <w:color w:val="auto"/>
        </w:rPr>
        <w:t>From time to time Bimini may seek to purchase for itself the same or similar assets that our Manager seeks to purchase for us, or our Manager may seek to purchase the same or similar assets for us as it does for other accounts that may be managed by our Manager in the future. In such an instance, our Manager has no duty to allocate such opportunities in a manner that preferentially favors us. Bimini and our Manager make available to us opportunities to acquire assets that they determine, in their reasonable and good faith judgment, based on our objectives, policies and strategies, and other relevant factors, are appropriate for us in accordance with the Investment Allocation Agreement.</w:t>
      </w:r>
    </w:p>
    <w:p>
      <w:pPr>
        <w:spacing w:after="0" w:line="191" w:lineRule="exact"/>
        <w:rPr>
          <w:sz w:val="20"/>
          <w:szCs w:val="20"/>
          <w:color w:val="auto"/>
        </w:rPr>
      </w:pPr>
    </w:p>
    <w:p>
      <w:pPr>
        <w:ind w:right="120" w:firstLine="499"/>
        <w:spacing w:after="0" w:line="244" w:lineRule="auto"/>
        <w:rPr>
          <w:sz w:val="20"/>
          <w:szCs w:val="20"/>
          <w:color w:val="auto"/>
        </w:rPr>
      </w:pPr>
      <w:r>
        <w:rPr>
          <w:rFonts w:ascii="Times New Roman" w:cs="Times New Roman" w:eastAsia="Times New Roman" w:hAnsi="Times New Roman"/>
          <w:sz w:val="20"/>
          <w:szCs w:val="20"/>
          <w:color w:val="auto"/>
        </w:rPr>
        <w:t>Because many of our targeted assets are typically available only in specified quantities and because many of our targeted assets are also targeted assets for Bimini and may be targeted assets for other accounts our Manager may manage in the future, neither Bimini nor our Manager may be able to buy as much of any given asset as required to satisfy the needs of Bimini, us and any other account our Manager may manage in the future. In these cases, the Investment Allocation Agreement will require the allocation of such assets to multiple accounts in proportion to their needs and available capital. The Investment Allocation Agreement will permit departure from such proportional allocation when (i) allocating purchases of whole-pool Agency RMBS, because those securities cannot be divided into multiple parts to be allocated among various accounts, and (ii) such allocation would result in an inefficiently small amount of the security being purchased for an account. In that case, the Investment Allocation Agreement allows for a protocol of allocating assets so that, on an overall basis, each account is treated equitably.</w:t>
      </w:r>
    </w:p>
    <w:p>
      <w:pPr>
        <w:spacing w:after="0" w:line="198" w:lineRule="exact"/>
        <w:rPr>
          <w:sz w:val="20"/>
          <w:szCs w:val="20"/>
          <w:color w:val="auto"/>
        </w:rPr>
      </w:pPr>
    </w:p>
    <w:p>
      <w:pPr>
        <w:ind w:left="500" w:right="100"/>
        <w:spacing w:after="0" w:line="275" w:lineRule="auto"/>
        <w:rPr>
          <w:sz w:val="20"/>
          <w:szCs w:val="20"/>
          <w:color w:val="auto"/>
        </w:rPr>
      </w:pPr>
      <w:r>
        <w:rPr>
          <w:rFonts w:ascii="Times New Roman" w:cs="Times New Roman" w:eastAsia="Times New Roman" w:hAnsi="Times New Roman"/>
          <w:sz w:val="20"/>
          <w:szCs w:val="20"/>
          <w:i w:val="1"/>
          <w:iCs w:val="1"/>
          <w:color w:val="auto"/>
        </w:rPr>
        <w:t>There are conflicts of interest in our relationships with our Manager and Bimini, which could result in decisions that are not in the best interests of our stockholders.</w:t>
      </w:r>
    </w:p>
    <w:p>
      <w:pPr>
        <w:spacing w:after="0" w:line="160" w:lineRule="exact"/>
        <w:rPr>
          <w:sz w:val="20"/>
          <w:szCs w:val="20"/>
          <w:color w:val="auto"/>
        </w:rPr>
      </w:pPr>
    </w:p>
    <w:p>
      <w:pPr>
        <w:ind w:right="20" w:firstLine="499"/>
        <w:spacing w:after="0" w:line="259" w:lineRule="auto"/>
        <w:rPr>
          <w:sz w:val="20"/>
          <w:szCs w:val="20"/>
          <w:color w:val="auto"/>
        </w:rPr>
      </w:pPr>
      <w:r>
        <w:rPr>
          <w:rFonts w:ascii="Times New Roman" w:cs="Times New Roman" w:eastAsia="Times New Roman" w:hAnsi="Times New Roman"/>
          <w:sz w:val="20"/>
          <w:szCs w:val="20"/>
          <w:color w:val="auto"/>
        </w:rPr>
        <w:t>We are subject to conflicts of interest arising out of our relationships with Bimini and our Manager. All of our executive officers are employees of Bimini. As a result, our officers may have conflicts between their duties to us and their duties to Bimini or our Manager.</w:t>
      </w:r>
    </w:p>
    <w:p>
      <w:pPr>
        <w:spacing w:after="0" w:line="177" w:lineRule="exact"/>
        <w:rPr>
          <w:sz w:val="20"/>
          <w:szCs w:val="20"/>
          <w:color w:val="auto"/>
        </w:rPr>
      </w:pPr>
    </w:p>
    <w:p>
      <w:pPr>
        <w:ind w:right="120" w:firstLine="499"/>
        <w:spacing w:after="0" w:line="252" w:lineRule="auto"/>
        <w:rPr>
          <w:sz w:val="20"/>
          <w:szCs w:val="20"/>
          <w:color w:val="auto"/>
        </w:rPr>
      </w:pPr>
      <w:r>
        <w:rPr>
          <w:rFonts w:ascii="Times New Roman" w:cs="Times New Roman" w:eastAsia="Times New Roman" w:hAnsi="Times New Roman"/>
          <w:sz w:val="20"/>
          <w:szCs w:val="20"/>
          <w:color w:val="auto"/>
        </w:rPr>
        <w:t>We may acquire or sell assets in which Bimini or its affiliates have or may have an interest. Similarly, Bimini or its affiliates may acquire or sell assets in which we have or may have an interest. Although such acquisitions or dispositions may present conflicts of interest, we nonetheless may pursue and consummate such transactions. Additionally, we may engage in transactions directly with Bimini or its affiliates, including the purchase and sale of all or a portion of a portfolio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790" w:right="720" w:bottom="0" w:gutter="0" w:footer="0" w:header="0"/>
        </w:sectPr>
      </w:pPr>
    </w:p>
    <w:bookmarkStart w:id="29" w:name="page30"/>
    <w:bookmarkEnd w:id="29"/>
    <w:p>
      <w:pPr>
        <w:ind w:right="60" w:firstLine="499"/>
        <w:spacing w:after="0" w:line="247" w:lineRule="auto"/>
        <w:rPr>
          <w:sz w:val="20"/>
          <w:szCs w:val="20"/>
          <w:color w:val="auto"/>
        </w:rPr>
      </w:pPr>
      <w:r>
        <w:rPr>
          <w:rFonts w:ascii="Times New Roman" w:cs="Times New Roman" w:eastAsia="Times New Roman" w:hAnsi="Times New Roman"/>
          <w:sz w:val="20"/>
          <w:szCs w:val="20"/>
          <w:color w:val="auto"/>
        </w:rPr>
        <w:t>The officers of Bimini and our Manager devote as much time to us as our Manager deems appropriate. However, these officers may have conflicts in allocating their time and services among us, Bimini and our Manager. During turbulent conditions in the mortgage industry, distress in the credit markets or other times when we will need focused support and assistance from our Manager’s officers and Bimini’s employees, Bimini and other entities for which our Manager may serve as a manager in the future will likewise require greater focus and attention, placing our Manager’s and Bimini’s resources in high demand. In such situations, we may not receive the necessary support and assistance we require or would otherwise receive if we were internally managed.</w:t>
      </w:r>
    </w:p>
    <w:p>
      <w:pPr>
        <w:spacing w:after="0" w:line="188" w:lineRule="exact"/>
        <w:rPr>
          <w:sz w:val="20"/>
          <w:szCs w:val="20"/>
          <w:color w:val="auto"/>
        </w:rPr>
      </w:pPr>
    </w:p>
    <w:p>
      <w:pPr>
        <w:ind w:right="280" w:firstLine="499"/>
        <w:spacing w:after="0" w:line="249" w:lineRule="auto"/>
        <w:rPr>
          <w:sz w:val="20"/>
          <w:szCs w:val="20"/>
          <w:color w:val="auto"/>
        </w:rPr>
      </w:pPr>
      <w:r>
        <w:rPr>
          <w:rFonts w:ascii="Times New Roman" w:cs="Times New Roman" w:eastAsia="Times New Roman" w:hAnsi="Times New Roman"/>
          <w:sz w:val="20"/>
          <w:szCs w:val="20"/>
          <w:color w:val="auto"/>
        </w:rPr>
        <w:t>Mr. Cauley, our Chief Executive Officer and Chairman of our Board of Directors, also serves as Chief Executive Officer and Chairman of the Board of Directors of Bimini and owns shares of common stock of Bimini. Mr. Haas, our Chief Financial Officer, Chief Investment Officer, Secretary and a member of our Board of Directors, also serves as the President, Chief Financial Officer, Chief Investment Officer and Treasurer of Bimini and owns shares of common stock of Bimini. Accordingly, Messrs. Cauley and Haas may have a conflict of interest with respect to actions by our Board of Directors that relate to Bimini or our Manager.</w:t>
      </w:r>
    </w:p>
    <w:p>
      <w:pPr>
        <w:spacing w:after="0" w:line="187" w:lineRule="exact"/>
        <w:rPr>
          <w:sz w:val="20"/>
          <w:szCs w:val="20"/>
          <w:color w:val="auto"/>
        </w:rPr>
      </w:pPr>
    </w:p>
    <w:p>
      <w:pPr>
        <w:ind w:right="60" w:firstLine="499"/>
        <w:spacing w:after="0" w:line="252" w:lineRule="auto"/>
        <w:rPr>
          <w:sz w:val="20"/>
          <w:szCs w:val="20"/>
          <w:color w:val="auto"/>
        </w:rPr>
      </w:pPr>
      <w:r>
        <w:rPr>
          <w:rFonts w:ascii="Times New Roman" w:cs="Times New Roman" w:eastAsia="Times New Roman" w:hAnsi="Times New Roman"/>
          <w:sz w:val="20"/>
          <w:szCs w:val="20"/>
          <w:color w:val="auto"/>
        </w:rPr>
        <w:t>As of February 19, 2026, Bimini owned approximately 0.3% of our outstanding shares of common stock. In evaluating opportunities for us and other management strategies, this may lead our Manager to emphasize certain asset acquisition, disposition or management objectives over others, such as balancing risk or capital preservation objectives against return objectives. This could increase the risks or decrease the returns of your investment.</w:t>
      </w:r>
    </w:p>
    <w:p>
      <w:pPr>
        <w:spacing w:after="0" w:line="188" w:lineRule="exact"/>
        <w:rPr>
          <w:sz w:val="20"/>
          <w:szCs w:val="20"/>
          <w:color w:val="auto"/>
        </w:rPr>
      </w:pPr>
    </w:p>
    <w:p>
      <w:pPr>
        <w:ind w:left="500" w:right="280"/>
        <w:spacing w:after="0" w:line="256" w:lineRule="auto"/>
        <w:rPr>
          <w:sz w:val="20"/>
          <w:szCs w:val="20"/>
          <w:color w:val="auto"/>
        </w:rPr>
      </w:pPr>
      <w:r>
        <w:rPr>
          <w:rFonts w:ascii="Times New Roman" w:cs="Times New Roman" w:eastAsia="Times New Roman" w:hAnsi="Times New Roman"/>
          <w:sz w:val="20"/>
          <w:szCs w:val="20"/>
          <w:i w:val="1"/>
          <w:iCs w:val="1"/>
          <w:color w:val="auto"/>
        </w:rPr>
        <w:t>If we elect to not renew the management agreement without cause, we would be required to pay our Manager a substantial termination fee. These and other provisions in our management agreement make non-renewal of our management agreement difficult and costly.</w:t>
      </w:r>
    </w:p>
    <w:p>
      <w:pPr>
        <w:spacing w:after="0" w:line="182" w:lineRule="exact"/>
        <w:rPr>
          <w:sz w:val="20"/>
          <w:szCs w:val="20"/>
          <w:color w:val="auto"/>
        </w:rPr>
      </w:pPr>
    </w:p>
    <w:p>
      <w:pPr>
        <w:ind w:right="80" w:firstLine="499"/>
        <w:spacing w:after="0" w:line="244" w:lineRule="auto"/>
        <w:rPr>
          <w:sz w:val="20"/>
          <w:szCs w:val="20"/>
          <w:color w:val="auto"/>
        </w:rPr>
      </w:pPr>
      <w:r>
        <w:rPr>
          <w:rFonts w:ascii="Times New Roman" w:cs="Times New Roman" w:eastAsia="Times New Roman" w:hAnsi="Times New Roman"/>
          <w:sz w:val="20"/>
          <w:szCs w:val="20"/>
          <w:color w:val="auto"/>
        </w:rPr>
        <w:t>Electing not to renew the management agreement without cause would be difficult and costly for us. Our management agreement is automatically renewed in accordance with the terms of the agreement, each year, on February 20. However, with the consent of the majority of our independent directors, we may elect not to renew our management agreement in subsequent years upon 180-days’ prior written notice. If we elect to not renew the agreement because of a decision by our Board of Directors that the management fee is unfair, our Manager has the right to renegotiate a mutually agreeable management fee. If we elect to not renew the management agreement without cause, we are required to pay our Manager a termination fee equal to three times the average annual management fee earned by our Manager during the prior 24-month period immediately preceding the most recently completed calendar quarter prior to the effective date of termination. These provisions may increase the effective cost to us of electing to not renew the management agreement, thereby adversely affecting our inclination to end our relationship with our Manager even if we believe our Manager’s performance is unsatisfactory.</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Our Manager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management fee is payable regardless of our performance.</w:t>
      </w:r>
    </w:p>
    <w:p>
      <w:pPr>
        <w:spacing w:after="0" w:line="231" w:lineRule="exact"/>
        <w:rPr>
          <w:sz w:val="20"/>
          <w:szCs w:val="20"/>
          <w:color w:val="auto"/>
        </w:rPr>
      </w:pPr>
    </w:p>
    <w:p>
      <w:pPr>
        <w:ind w:right="120" w:firstLine="499"/>
        <w:spacing w:after="0" w:line="247" w:lineRule="auto"/>
        <w:rPr>
          <w:sz w:val="20"/>
          <w:szCs w:val="20"/>
          <w:color w:val="auto"/>
        </w:rPr>
      </w:pPr>
      <w:r>
        <w:rPr>
          <w:rFonts w:ascii="Times New Roman" w:cs="Times New Roman" w:eastAsia="Times New Roman" w:hAnsi="Times New Roman"/>
          <w:sz w:val="20"/>
          <w:szCs w:val="20"/>
          <w:color w:val="auto"/>
        </w:rPr>
        <w:t>Our Manager is entitled to receive a management fee from us that is based on the amount of our equity (as defined in the management agreement), regardless of the performance of our investment portfolio. For example, we would pay our Manager a management fee for a specific period even if we experienced a net loss during the same period. Our Manager’s entitlement to substantial non-performance-based compensation may reduce its incentive to devote sufficient time and effort to seeking investments that provide attractive risk-adjusted returns for our investment portfolio. This in turn could materially adversely affect our business, financial condition and results of operations and our ability to make distributions to our stockholders.</w:t>
      </w:r>
    </w:p>
    <w:p>
      <w:pPr>
        <w:spacing w:after="0" w:line="190" w:lineRule="exact"/>
        <w:rPr>
          <w:sz w:val="20"/>
          <w:szCs w:val="20"/>
          <w:color w:val="auto"/>
        </w:rPr>
      </w:pPr>
    </w:p>
    <w:p>
      <w:pPr>
        <w:ind w:left="500" w:right="520"/>
        <w:spacing w:after="0" w:line="275" w:lineRule="auto"/>
        <w:rPr>
          <w:sz w:val="20"/>
          <w:szCs w:val="20"/>
          <w:color w:val="auto"/>
        </w:rPr>
      </w:pPr>
      <w:r>
        <w:rPr>
          <w:rFonts w:ascii="Times New Roman" w:cs="Times New Roman" w:eastAsia="Times New Roman" w:hAnsi="Times New Roman"/>
          <w:sz w:val="20"/>
          <w:szCs w:val="20"/>
          <w:i w:val="1"/>
          <w:iCs w:val="1"/>
          <w:color w:val="auto"/>
        </w:rPr>
        <w:t>Our Manager will not be liable to us for any acts or omissions performed in accordance with the management agreement, including with respect to the performance of our investments.</w:t>
      </w:r>
    </w:p>
    <w:p>
      <w:pPr>
        <w:spacing w:after="0" w:line="162"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20"/>
          <w:szCs w:val="20"/>
          <w:color w:val="auto"/>
        </w:rPr>
        <w:t>Our Manager has not assumed any responsibility other than to render the services called for under the management agreement in good faith and is not responsible for any action of our Board of Directors in following or declining to follow its advice or recommendations, including as set forth in the investment guidelines. Our Manager and its affiliates, and the directors, officers, employees, members and stockholders of our Manager and its affiliates, will not be liable to us, our Board of Directors or our stockholders for any acts or omissions performed in accordance with and pursuant to the management agreement, except by reason of acts constituting bad faith, willful misconduct, gross negligence or reckless disregard of their respective duties under the management agreement. We have agreed to indemnify our Manager and its affiliates, and the directors, officers, employees, members and stockholders of our Manager and its affiliates, with respect to all expenses, losses, damages, liabilities, demands, charges and claims in respect of or arising from any acts or omissions of our Manager, its affiliates, and the directors, officers, employees, members and stockholders of our Manager and its affiliates, performed in good faith under the management agreement and not constituting bad faith, willful misconduct, gross negligence, or reckless disregard of their respective duties. Therefore, our stockholders have no recourse against our Manager with respect to the performance of investments made in accordance with the management agreement.</w:t>
      </w:r>
    </w:p>
    <w:p>
      <w:pPr>
        <w:sectPr>
          <w:pgSz w:w="12240" w:h="15840" w:orient="portrait"/>
          <w:cols w:equalWidth="0" w:num="1">
            <w:col w:w="10800"/>
          </w:cols>
          <w:pgMar w:left="720" w:top="78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788" w:right="720" w:bottom="0" w:gutter="0" w:footer="0" w:header="0"/>
          <w:type w:val="continuous"/>
        </w:sectPr>
      </w:pPr>
    </w:p>
    <w:bookmarkStart w:id="30" w:name="page31"/>
    <w:bookmarkEnd w:id="30"/>
    <w:p>
      <w:pPr>
        <w:ind w:left="3820"/>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Common Stock</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Investing in our common stock may involve a high degree of risk.</w:t>
      </w:r>
    </w:p>
    <w:p>
      <w:pPr>
        <w:spacing w:after="0" w:line="229" w:lineRule="exact"/>
        <w:rPr>
          <w:sz w:val="20"/>
          <w:szCs w:val="20"/>
          <w:color w:val="auto"/>
        </w:rPr>
      </w:pPr>
    </w:p>
    <w:p>
      <w:pPr>
        <w:ind w:right="160" w:firstLine="499"/>
        <w:spacing w:after="0" w:line="259" w:lineRule="auto"/>
        <w:rPr>
          <w:sz w:val="20"/>
          <w:szCs w:val="20"/>
          <w:color w:val="auto"/>
        </w:rPr>
      </w:pPr>
      <w:r>
        <w:rPr>
          <w:rFonts w:ascii="Times New Roman" w:cs="Times New Roman" w:eastAsia="Times New Roman" w:hAnsi="Times New Roman"/>
          <w:sz w:val="20"/>
          <w:szCs w:val="20"/>
          <w:color w:val="auto"/>
        </w:rPr>
        <w:t>The investments we make in accordance with our investment objectives may result in a high amount of risk when compared to alternative investment options and volatility or loss of principal. Our investments may be highly speculative and aggressive, and therefore an investment in our common stock may not be suitable for someone with lower risk tolerance.</w:t>
      </w:r>
    </w:p>
    <w:p>
      <w:pPr>
        <w:spacing w:after="0" w:line="177" w:lineRule="exact"/>
        <w:rPr>
          <w:sz w:val="20"/>
          <w:szCs w:val="20"/>
          <w:color w:val="auto"/>
        </w:rPr>
      </w:pPr>
    </w:p>
    <w:p>
      <w:pPr>
        <w:ind w:left="500" w:right="60"/>
        <w:spacing w:after="0" w:line="275" w:lineRule="auto"/>
        <w:rPr>
          <w:sz w:val="20"/>
          <w:szCs w:val="20"/>
          <w:color w:val="auto"/>
        </w:rPr>
      </w:pPr>
      <w:r>
        <w:rPr>
          <w:rFonts w:ascii="Times New Roman" w:cs="Times New Roman" w:eastAsia="Times New Roman" w:hAnsi="Times New Roman"/>
          <w:sz w:val="20"/>
          <w:szCs w:val="20"/>
          <w:i w:val="1"/>
          <w:iCs w:val="1"/>
          <w:color w:val="auto"/>
        </w:rPr>
        <w:t>We have not established a minimum distribution payment level, and we cannot assure you of our ability to make distributions to our stockholders in the future.</w:t>
      </w:r>
    </w:p>
    <w:p>
      <w:pPr>
        <w:spacing w:after="0" w:line="162" w:lineRule="exact"/>
        <w:rPr>
          <w:sz w:val="20"/>
          <w:szCs w:val="20"/>
          <w:color w:val="auto"/>
        </w:rPr>
      </w:pPr>
    </w:p>
    <w:p>
      <w:pPr>
        <w:ind w:right="100" w:firstLine="499"/>
        <w:spacing w:after="0" w:line="244" w:lineRule="auto"/>
        <w:rPr>
          <w:sz w:val="20"/>
          <w:szCs w:val="20"/>
          <w:color w:val="auto"/>
        </w:rPr>
      </w:pPr>
      <w:r>
        <w:rPr>
          <w:rFonts w:ascii="Times New Roman" w:cs="Times New Roman" w:eastAsia="Times New Roman" w:hAnsi="Times New Roman"/>
          <w:sz w:val="20"/>
          <w:szCs w:val="20"/>
          <w:color w:val="auto"/>
        </w:rPr>
        <w:t>We intend to continue to make monthly distributions to our stockholders in amounts such that we distribute all or substantially all of our REIT taxable income in each year, subject to certain adjustments. We have not established a minimum distribution payment level, and our ability to make distributions might be harmed by the risk factors described herein. All distributions will be made at the discretion of our Board of Directors out of funds legally available therefor and will depend on our earnings, our financial condition, maintaining our qualification as a REIT and such other factors as our Board of Directors may deem relevant from time to time. We cannot assure you that we will have the ability to make distributions to our stockholders in the future. To the extent that we decide to pay distributions from the proceeds of a securities offering, such distributions would generally be considered a return of capital for U.S. federal income tax purposes. A return of capital reduces the basis of a stockholder’s investment in our common stock to the extent of such basis and is treated as capital gain thereafter.</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We may be subject to adverse legislative or regulatory changes that could reduce the market price of our common stock.</w:t>
      </w:r>
    </w:p>
    <w:p>
      <w:pPr>
        <w:spacing w:after="0" w:line="229"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20"/>
          <w:szCs w:val="20"/>
          <w:color w:val="auto"/>
        </w:rPr>
        <w:t>At any time, laws or regulations, or the administrative or judicial interpretations of those laws or regulations, which impact our business and Maryland corporations may be amended. In addition, the markets for RMBS and derivatives, including interest rate swaps, have been the subject of intense scrutiny in recent years. We cannot predict when or if any new law, regulation or administrative or judicial interpretation, or any amendment to any existing law, regulation or administrative or judicial interpretation, will be adopted or promulgated or will become effective. Additionally, revisions to these laws, regulations or administrative or judicial interpretations could cause us to change our investments. We could be materially adversely affected by any such change to any existing, or any new, law, regulation or administrative or judicial interpretation, which could reduce the market price of our common stock.</w:t>
      </w:r>
    </w:p>
    <w:p>
      <w:pPr>
        <w:spacing w:after="0" w:line="191" w:lineRule="exact"/>
        <w:rPr>
          <w:sz w:val="20"/>
          <w:szCs w:val="20"/>
          <w:color w:val="auto"/>
        </w:rPr>
      </w:pPr>
    </w:p>
    <w:p>
      <w:pPr>
        <w:ind w:right="20" w:firstLine="499"/>
        <w:spacing w:after="0" w:line="246" w:lineRule="auto"/>
        <w:rPr>
          <w:sz w:val="20"/>
          <w:szCs w:val="20"/>
          <w:color w:val="auto"/>
        </w:rPr>
      </w:pPr>
      <w:r>
        <w:rPr>
          <w:rFonts w:ascii="Times New Roman" w:cs="Times New Roman" w:eastAsia="Times New Roman" w:hAnsi="Times New Roman"/>
          <w:sz w:val="20"/>
          <w:szCs w:val="20"/>
          <w:color w:val="auto"/>
        </w:rPr>
        <w:t>In addition, at any time, the U.S. federal income tax laws or regulations governing REITs or the administrative interpretations of those laws or regulations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or any new, U.S. federal income tax law, regulation or administrative interpretation. Prospective stockholders are urged to consult with their tax advisors with respect to any legislative, regulatory or administrative developments and proposals and their potential effect on investment in our common stock.</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The market value of our common stock may be volatile.</w:t>
      </w:r>
    </w:p>
    <w:p>
      <w:pPr>
        <w:spacing w:after="0" w:line="227" w:lineRule="exact"/>
        <w:rPr>
          <w:sz w:val="20"/>
          <w:szCs w:val="20"/>
          <w:color w:val="auto"/>
        </w:rPr>
      </w:pPr>
    </w:p>
    <w:p>
      <w:pPr>
        <w:ind w:right="40" w:firstLine="499"/>
        <w:spacing w:after="0" w:line="245" w:lineRule="auto"/>
        <w:rPr>
          <w:sz w:val="20"/>
          <w:szCs w:val="20"/>
          <w:color w:val="auto"/>
        </w:rPr>
      </w:pPr>
      <w:r>
        <w:rPr>
          <w:rFonts w:ascii="Times New Roman" w:cs="Times New Roman" w:eastAsia="Times New Roman" w:hAnsi="Times New Roman"/>
          <w:sz w:val="20"/>
          <w:szCs w:val="20"/>
          <w:color w:val="auto"/>
        </w:rPr>
        <w:t>The market value of shares of our common stock may be based primarily upon current and expected future cash dividends and our book value. The market price of shares of our common stock may be influenced by the dividends on those shares relative to market interest rates. Rising interest rates may lead potential buyers of our common stock to expect a higher dividend rate, which could adversely affect the market price of shares of our common stock. In addition, our book value could decrease, which could reduce the market price of our common stock to the extent our common stock trades relative to our book value. As a result, the market price of our common stock may be highly volatile and subject to wide price fluctuations. In addition, the trading volume in our common stock may fluctuate and cause significant price variations to occur. Some of the factors that could negatively affect the share price or trading volume of our common stock include:</w:t>
      </w:r>
    </w:p>
    <w:p>
      <w:pPr>
        <w:spacing w:after="0" w:line="195" w:lineRule="exact"/>
        <w:rPr>
          <w:sz w:val="20"/>
          <w:szCs w:val="20"/>
          <w:color w:val="auto"/>
        </w:rPr>
      </w:pPr>
    </w:p>
    <w:p>
      <w:pPr>
        <w:ind w:left="1040" w:hanging="495"/>
        <w:spacing w:after="0"/>
        <w:tabs>
          <w:tab w:leader="none" w:pos="1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variations in our operating results or distributions;</w:t>
      </w:r>
    </w:p>
    <w:p>
      <w:pPr>
        <w:spacing w:after="0" w:line="35" w:lineRule="exact"/>
        <w:rPr>
          <w:rFonts w:ascii="Times New Roman" w:cs="Times New Roman" w:eastAsia="Times New Roman" w:hAnsi="Times New Roman"/>
          <w:sz w:val="20"/>
          <w:szCs w:val="20"/>
          <w:color w:val="auto"/>
        </w:rPr>
      </w:pPr>
    </w:p>
    <w:p>
      <w:pPr>
        <w:ind w:left="1040" w:right="660" w:hanging="495"/>
        <w:spacing w:after="0" w:line="245" w:lineRule="auto"/>
        <w:tabs>
          <w:tab w:leader="none" w:pos="1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earnings estimates or publication of research reports about us or the real estate or specialty finance industry;</w:t>
      </w:r>
    </w:p>
    <w:p>
      <w:pPr>
        <w:ind w:left="1040" w:hanging="495"/>
        <w:spacing w:after="0"/>
        <w:tabs>
          <w:tab w:leader="none" w:pos="1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valuations of Agency RMBS;</w:t>
      </w:r>
    </w:p>
    <w:p>
      <w:pPr>
        <w:spacing w:after="0" w:line="10" w:lineRule="exact"/>
        <w:rPr>
          <w:rFonts w:ascii="Times New Roman" w:cs="Times New Roman" w:eastAsia="Times New Roman" w:hAnsi="Times New Roman"/>
          <w:sz w:val="20"/>
          <w:szCs w:val="20"/>
          <w:color w:val="auto"/>
        </w:rPr>
      </w:pPr>
    </w:p>
    <w:p>
      <w:pPr>
        <w:ind w:left="1040" w:hanging="495"/>
        <w:spacing w:after="0"/>
        <w:tabs>
          <w:tab w:leader="none" w:pos="1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market interest rates that lead purchasers of our common stock to expect a higher dividend yield;</w:t>
      </w:r>
    </w:p>
    <w:p>
      <w:pPr>
        <w:spacing w:after="0" w:line="10" w:lineRule="exact"/>
        <w:rPr>
          <w:rFonts w:ascii="Times New Roman" w:cs="Times New Roman" w:eastAsia="Times New Roman" w:hAnsi="Times New Roman"/>
          <w:sz w:val="20"/>
          <w:szCs w:val="20"/>
          <w:color w:val="auto"/>
        </w:rPr>
      </w:pPr>
    </w:p>
    <w:p>
      <w:pPr>
        <w:ind w:left="1040" w:hanging="495"/>
        <w:spacing w:after="0"/>
        <w:tabs>
          <w:tab w:leader="none" w:pos="1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action or regulation;</w:t>
      </w:r>
    </w:p>
    <w:p>
      <w:pPr>
        <w:spacing w:after="0" w:line="10" w:lineRule="exact"/>
        <w:rPr>
          <w:rFonts w:ascii="Times New Roman" w:cs="Times New Roman" w:eastAsia="Times New Roman" w:hAnsi="Times New Roman"/>
          <w:sz w:val="20"/>
          <w:szCs w:val="20"/>
          <w:color w:val="auto"/>
        </w:rPr>
      </w:pPr>
    </w:p>
    <w:p>
      <w:pPr>
        <w:ind w:left="1040" w:hanging="495"/>
        <w:spacing w:after="0"/>
        <w:tabs>
          <w:tab w:leader="none" w:pos="10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784" w:right="720" w:bottom="0" w:gutter="0" w:footer="0" w:header="0"/>
        </w:sectPr>
      </w:pPr>
    </w:p>
    <w:bookmarkStart w:id="31" w:name="page32"/>
    <w:bookmarkEnd w:id="31"/>
    <w:p>
      <w:pPr>
        <w:ind w:left="1040" w:hanging="495"/>
        <w:spacing w:after="0"/>
        <w:tabs>
          <w:tab w:leader="none" w:pos="1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market valuations of similar companies;</w:t>
      </w:r>
    </w:p>
    <w:p>
      <w:pPr>
        <w:spacing w:after="0" w:line="35" w:lineRule="exact"/>
        <w:rPr>
          <w:rFonts w:ascii="Times New Roman" w:cs="Times New Roman" w:eastAsia="Times New Roman" w:hAnsi="Times New Roman"/>
          <w:sz w:val="20"/>
          <w:szCs w:val="20"/>
          <w:color w:val="auto"/>
        </w:rPr>
      </w:pPr>
    </w:p>
    <w:p>
      <w:pPr>
        <w:ind w:left="680" w:right="320" w:hanging="135"/>
        <w:spacing w:after="0" w:line="244" w:lineRule="auto"/>
        <w:tabs>
          <w:tab w:leader="none" w:pos="1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shares of our common stock, the availability of shares of our common stock, or the perception that these sales could occur;</w:t>
      </w:r>
    </w:p>
    <w:p>
      <w:pPr>
        <w:ind w:left="1040" w:hanging="495"/>
        <w:spacing w:after="0"/>
        <w:tabs>
          <w:tab w:leader="none" w:pos="1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reaction to any increased indebtedness we incur in the future;</w:t>
      </w:r>
    </w:p>
    <w:p>
      <w:pPr>
        <w:spacing w:after="0" w:line="10" w:lineRule="exact"/>
        <w:rPr>
          <w:rFonts w:ascii="Times New Roman" w:cs="Times New Roman" w:eastAsia="Times New Roman" w:hAnsi="Times New Roman"/>
          <w:sz w:val="20"/>
          <w:szCs w:val="20"/>
          <w:color w:val="auto"/>
        </w:rPr>
      </w:pPr>
    </w:p>
    <w:p>
      <w:pPr>
        <w:ind w:left="1040" w:hanging="495"/>
        <w:spacing w:after="0"/>
        <w:tabs>
          <w:tab w:leader="none" w:pos="1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our Manager or additions or departures of key management personnel;</w:t>
      </w:r>
    </w:p>
    <w:p>
      <w:pPr>
        <w:spacing w:after="0" w:line="10" w:lineRule="exact"/>
        <w:rPr>
          <w:rFonts w:ascii="Times New Roman" w:cs="Times New Roman" w:eastAsia="Times New Roman" w:hAnsi="Times New Roman"/>
          <w:sz w:val="20"/>
          <w:szCs w:val="20"/>
          <w:color w:val="auto"/>
        </w:rPr>
      </w:pPr>
    </w:p>
    <w:p>
      <w:pPr>
        <w:ind w:left="1040" w:hanging="495"/>
        <w:spacing w:after="0"/>
        <w:tabs>
          <w:tab w:leader="none" w:pos="1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institutional stockholders;</w:t>
      </w:r>
    </w:p>
    <w:p>
      <w:pPr>
        <w:spacing w:after="0" w:line="10" w:lineRule="exact"/>
        <w:rPr>
          <w:rFonts w:ascii="Times New Roman" w:cs="Times New Roman" w:eastAsia="Times New Roman" w:hAnsi="Times New Roman"/>
          <w:sz w:val="20"/>
          <w:szCs w:val="20"/>
          <w:color w:val="auto"/>
        </w:rPr>
      </w:pPr>
    </w:p>
    <w:p>
      <w:pPr>
        <w:ind w:left="1040" w:hanging="495"/>
        <w:spacing w:after="0"/>
        <w:tabs>
          <w:tab w:leader="none" w:pos="1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 and</w:t>
      </w:r>
    </w:p>
    <w:p>
      <w:pPr>
        <w:spacing w:after="0" w:line="10" w:lineRule="exact"/>
        <w:rPr>
          <w:rFonts w:ascii="Times New Roman" w:cs="Times New Roman" w:eastAsia="Times New Roman" w:hAnsi="Times New Roman"/>
          <w:sz w:val="20"/>
          <w:szCs w:val="20"/>
          <w:color w:val="auto"/>
        </w:rPr>
      </w:pPr>
    </w:p>
    <w:p>
      <w:pPr>
        <w:ind w:left="1040" w:hanging="495"/>
        <w:spacing w:after="0"/>
        <w:tabs>
          <w:tab w:leader="none" w:pos="10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and economic conditions.</w:t>
      </w:r>
    </w:p>
    <w:p>
      <w:pPr>
        <w:spacing w:after="0" w:line="210" w:lineRule="exact"/>
        <w:rPr>
          <w:sz w:val="20"/>
          <w:szCs w:val="20"/>
          <w:color w:val="auto"/>
        </w:rPr>
      </w:pPr>
    </w:p>
    <w:p>
      <w:pPr>
        <w:ind w:right="420" w:firstLine="499"/>
        <w:spacing w:after="0" w:line="277" w:lineRule="auto"/>
        <w:rPr>
          <w:sz w:val="20"/>
          <w:szCs w:val="20"/>
          <w:color w:val="auto"/>
        </w:rPr>
      </w:pPr>
      <w:r>
        <w:rPr>
          <w:rFonts w:ascii="Times New Roman" w:cs="Times New Roman" w:eastAsia="Times New Roman" w:hAnsi="Times New Roman"/>
          <w:sz w:val="20"/>
          <w:szCs w:val="20"/>
          <w:color w:val="auto"/>
        </w:rPr>
        <w:t>We cannot make any assurances that the market price of our common stock will not fluctuate or decline significantly in the future.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Organization and Structure</w:t>
      </w:r>
    </w:p>
    <w:p>
      <w:pPr>
        <w:spacing w:after="0" w:line="234" w:lineRule="exact"/>
        <w:rPr>
          <w:sz w:val="20"/>
          <w:szCs w:val="20"/>
          <w:color w:val="auto"/>
        </w:rPr>
      </w:pPr>
    </w:p>
    <w:p>
      <w:pPr>
        <w:ind w:left="500" w:right="340"/>
        <w:spacing w:after="0" w:line="275" w:lineRule="auto"/>
        <w:rPr>
          <w:sz w:val="20"/>
          <w:szCs w:val="20"/>
          <w:color w:val="auto"/>
        </w:rPr>
      </w:pPr>
      <w:r>
        <w:rPr>
          <w:rFonts w:ascii="Times New Roman" w:cs="Times New Roman" w:eastAsia="Times New Roman" w:hAnsi="Times New Roman"/>
          <w:sz w:val="20"/>
          <w:szCs w:val="20"/>
          <w:i w:val="1"/>
          <w:iCs w:val="1"/>
          <w:color w:val="auto"/>
        </w:rPr>
        <w:t>Loss of our exemption from regulation under the Investment Company Act would negatively affect the value of shares of our common stock and our ability to pay distributions to our stockholders.</w:t>
      </w:r>
    </w:p>
    <w:p>
      <w:pPr>
        <w:spacing w:after="0" w:line="162"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We have operated and intend to continue to operate our business so as to be exempt from registration under the Investment Company Act, because we are “primarily engaged in the business of purchasing or otherwise acquiring mortgages and other liens on and interests in real estate.” Specifically, we invest and intend to continue to invest so that at least 55% of the assets that we own on an unconsolidated basis consist of qualifying mortgages and other liens and interests in real estate, which are collectively referred to as “qualifying real estate assets,” and so that at least 80% of the assets we own on an unconsolidated basis consist of real estate-related assets (including our qualifying real estate assets). We treat GSE whole-pool residential mortgage PT securities issued with respect to an underlying pool of mortgage loans in which we hold all of the certificates issued by the pool as qualifying real estate assets based on no-action letters issued by the SEC. To the extent that the SEC publishes new or different guidance with respect to these matters, we may fail to qualify for this exemption.</w:t>
      </w:r>
    </w:p>
    <w:p>
      <w:pPr>
        <w:spacing w:after="0" w:line="196" w:lineRule="exact"/>
        <w:rPr>
          <w:sz w:val="20"/>
          <w:szCs w:val="20"/>
          <w:color w:val="auto"/>
        </w:rPr>
      </w:pPr>
    </w:p>
    <w:p>
      <w:pPr>
        <w:ind w:right="60" w:firstLine="499"/>
        <w:spacing w:after="0" w:line="246" w:lineRule="auto"/>
        <w:rPr>
          <w:sz w:val="20"/>
          <w:szCs w:val="20"/>
          <w:color w:val="auto"/>
        </w:rPr>
      </w:pPr>
      <w:r>
        <w:rPr>
          <w:rFonts w:ascii="Times New Roman" w:cs="Times New Roman" w:eastAsia="Times New Roman" w:hAnsi="Times New Roman"/>
          <w:sz w:val="20"/>
          <w:szCs w:val="20"/>
          <w:color w:val="auto"/>
        </w:rPr>
        <w:t>If we fail to qualify for this exemption, we could be required to restructure our activities in a manner that, or at a time when, we would not otherwise choose to do so, which could negatively affect the value of shares of our common stock and our ability to distribute dividends. For example, if the market value of our investments in CMOs or structured Agency RMBS, neither of which are qualifying real estate assets for Investment Company Act purposes, were to increase by an amount that resulted in less than 55% of our assets being invested in PT Agency RMBS, we might have to sell CMOs or structured Agency RMBS in order to maintain our exemption from the Investment Company Act. The sale could occur during adverse market conditions, and we could be forced to accept a price below that which we believe is acceptable.</w:t>
      </w:r>
    </w:p>
    <w:p>
      <w:pPr>
        <w:spacing w:after="0" w:line="191" w:lineRule="exact"/>
        <w:rPr>
          <w:sz w:val="20"/>
          <w:szCs w:val="20"/>
          <w:color w:val="auto"/>
        </w:rPr>
      </w:pPr>
    </w:p>
    <w:p>
      <w:pPr>
        <w:ind w:right="40" w:firstLine="499"/>
        <w:spacing w:after="0" w:line="252" w:lineRule="auto"/>
        <w:rPr>
          <w:sz w:val="20"/>
          <w:szCs w:val="20"/>
          <w:color w:val="auto"/>
        </w:rPr>
      </w:pPr>
      <w:r>
        <w:rPr>
          <w:rFonts w:ascii="Times New Roman" w:cs="Times New Roman" w:eastAsia="Times New Roman" w:hAnsi="Times New Roman"/>
          <w:sz w:val="20"/>
          <w:szCs w:val="20"/>
          <w:color w:val="auto"/>
        </w:rPr>
        <w:t>Alternatively, if we fail to qualify for this exemption, we may have to register under the Investment Company Act and we could become subject to substantial regulation with respect to our capital structure (including our ability to use leverage), management, operations, transactions with affiliated persons (as defined in the Investment Company Act), portfolio composition, including restrictions with respect to diversification and industry concentration, and other matters.</w:t>
      </w:r>
    </w:p>
    <w:p>
      <w:pPr>
        <w:spacing w:after="0" w:line="184" w:lineRule="exact"/>
        <w:rPr>
          <w:sz w:val="20"/>
          <w:szCs w:val="20"/>
          <w:color w:val="auto"/>
        </w:rPr>
      </w:pPr>
    </w:p>
    <w:p>
      <w:pPr>
        <w:ind w:right="120" w:firstLine="499"/>
        <w:spacing w:after="0" w:line="247" w:lineRule="auto"/>
        <w:rPr>
          <w:sz w:val="20"/>
          <w:szCs w:val="20"/>
          <w:color w:val="auto"/>
        </w:rPr>
      </w:pPr>
      <w:r>
        <w:rPr>
          <w:rFonts w:ascii="Times New Roman" w:cs="Times New Roman" w:eastAsia="Times New Roman" w:hAnsi="Times New Roman"/>
          <w:sz w:val="20"/>
          <w:szCs w:val="20"/>
          <w:color w:val="auto"/>
        </w:rPr>
        <w:t>We may be required at times to adopt less efficient methods of financing certain of our securities, and we may be precluded from acquiring certain types of higher yielding securities. The net effect of these factors would be to lower our net interest income. If we fail to qualify for an exemption from registration as an investment company or an exclusion from the definition of an investment company, our ability to use leverage would be substantially reduced, and we would not be able to conduct our business as described herein. Our business will be materially and adversely affected if we fail to qualify for and maintain an exemption from regulation pursuant to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780"/>
          </w:cols>
          <w:pgMar w:left="720" w:top="1023" w:right="740" w:bottom="0" w:gutter="0" w:footer="0" w:header="0"/>
        </w:sectPr>
      </w:pPr>
    </w:p>
    <w:bookmarkStart w:id="32" w:name="page33"/>
    <w:bookmarkEnd w:id="32"/>
    <w:p>
      <w:pPr>
        <w:jc w:val="both"/>
        <w:ind w:left="500" w:right="20"/>
        <w:spacing w:after="0" w:line="256" w:lineRule="auto"/>
        <w:rPr>
          <w:sz w:val="20"/>
          <w:szCs w:val="20"/>
          <w:color w:val="auto"/>
        </w:rPr>
      </w:pPr>
      <w:r>
        <w:rPr>
          <w:rFonts w:ascii="Times New Roman" w:cs="Times New Roman" w:eastAsia="Times New Roman" w:hAnsi="Times New Roman"/>
          <w:sz w:val="20"/>
          <w:szCs w:val="20"/>
          <w:i w:val="1"/>
          <w:iCs w:val="1"/>
          <w:color w:val="auto"/>
        </w:rPr>
        <w:t>Failure to obtain and maintain an exemption from being regulated as a commodity pool operator could subject us to additional regulation and compliance requirements and may result in fines and other penalties which could materially adversely affect our business and financial condition.</w:t>
      </w:r>
    </w:p>
    <w:p>
      <w:pPr>
        <w:spacing w:after="0" w:line="182" w:lineRule="exact"/>
        <w:rPr>
          <w:sz w:val="20"/>
          <w:szCs w:val="20"/>
          <w:color w:val="auto"/>
        </w:rPr>
      </w:pPr>
    </w:p>
    <w:p>
      <w:pPr>
        <w:ind w:right="40" w:firstLine="499"/>
        <w:spacing w:after="0" w:line="242" w:lineRule="auto"/>
        <w:rPr>
          <w:sz w:val="20"/>
          <w:szCs w:val="20"/>
          <w:color w:val="auto"/>
        </w:rPr>
      </w:pPr>
      <w:r>
        <w:rPr>
          <w:rFonts w:ascii="Times New Roman" w:cs="Times New Roman" w:eastAsia="Times New Roman" w:hAnsi="Times New Roman"/>
          <w:sz w:val="20"/>
          <w:szCs w:val="20"/>
          <w:color w:val="auto"/>
        </w:rPr>
        <w:t>The Dodd-Frank Act established a comprehensive new regulatory framework for derivative contracts commonly referred to as “swaps.” As a result, any investment fund that trades in swaps may be considered a “commodity pool,” which would cause its operators (in some cases the fund’s directors) to be regulated as “commodity pool operators” (“CPOs”) . Under new rules adopted by the U.S. Commodity Futures Trading Commission (the “CFTC”), those funds that become commodity pools solely because of their use of swaps must register with the National Futures Association (the “NFA”). Registration requires compliance with the CFTC’s regulations and the NFA’s rules with respect to capital raising, disclosure, reporting, recordkeeping and other business conduct. However, the CFTC’s Division of Swap Dealer and Intermediary Oversight issued a no-action letter saying, although it believes that mortgage REITs are properly considered commodity pools, it would not recommend that the CFTC take enforcement action against the operator of a mortgage REIT who does not register as a CPO if, among other things, the mortgage REIT limits the initial margin and premiums required to establish its swaps, futures and other commodity interest positions to not more than five percent (5%) of its total assets, the mortgage REIT limits the net income derived annually from those commodity interest positions which are not qualifying hedging transactions to less than five percent (5%) of its gross income and interests in the mortgage REIT are not marketed to the public as or in a commodity pool or otherwise as or in a vehicle for trading in the commodity futures, commodity options or swaps markets.</w:t>
      </w:r>
    </w:p>
    <w:p>
      <w:pPr>
        <w:spacing w:after="0" w:line="203" w:lineRule="exact"/>
        <w:rPr>
          <w:sz w:val="20"/>
          <w:szCs w:val="20"/>
          <w:color w:val="auto"/>
        </w:rPr>
      </w:pPr>
    </w:p>
    <w:p>
      <w:pPr>
        <w:ind w:right="20" w:firstLine="500"/>
        <w:spacing w:after="0" w:line="244" w:lineRule="auto"/>
        <w:rPr>
          <w:sz w:val="20"/>
          <w:szCs w:val="20"/>
          <w:color w:val="auto"/>
        </w:rPr>
      </w:pPr>
      <w:r>
        <w:rPr>
          <w:rFonts w:ascii="Times New Roman" w:cs="Times New Roman" w:eastAsia="Times New Roman" w:hAnsi="Times New Roman"/>
          <w:sz w:val="20"/>
          <w:szCs w:val="20"/>
          <w:color w:val="auto"/>
        </w:rPr>
        <w:t>We use hedging instruments in conjunction with our investment portfolio and related borrowings to reduce or mitigate risks associated with changes in interest rates, mortgage spreads, yield curve shapes and market volatility. These hedging instruments may include interest rate swaps, interest rate futures and options on interest rate futures. We do not currently engage in any speculative derivatives activities or other non-hedging transactions using swaps, futures or options on futures. We do not use these instruments for the purpose of trading in commodity interests, and we do not consider the Company or its operations to be a commodity pool as to which CPO registration or compliance is required. We have claimed the relief afforded by the above-described no-action letter. Consequently, we will be restricted to operating within the parameters discussed in the no-action letter and will not enter into hedging transactions covered by the no-action letter if they would cause us to exceed the limits set forth in the no-action letter. However, there can be no assurance that the CFTC will agree that we are entitled to the no-action letter relief claimed.</w:t>
      </w:r>
    </w:p>
    <w:p>
      <w:pPr>
        <w:spacing w:after="0" w:line="198" w:lineRule="exact"/>
        <w:rPr>
          <w:sz w:val="20"/>
          <w:szCs w:val="20"/>
          <w:color w:val="auto"/>
        </w:rPr>
      </w:pPr>
    </w:p>
    <w:p>
      <w:pPr>
        <w:ind w:firstLine="500"/>
        <w:spacing w:after="0" w:line="243" w:lineRule="auto"/>
        <w:rPr>
          <w:sz w:val="20"/>
          <w:szCs w:val="20"/>
          <w:color w:val="auto"/>
        </w:rPr>
      </w:pPr>
      <w:r>
        <w:rPr>
          <w:rFonts w:ascii="Times New Roman" w:cs="Times New Roman" w:eastAsia="Times New Roman" w:hAnsi="Times New Roman"/>
          <w:sz w:val="20"/>
          <w:szCs w:val="20"/>
          <w:color w:val="auto"/>
        </w:rPr>
        <w:t>The CFTC has substantial enforcement power with respect to violations of the laws over which it has jurisdiction, including their anti-fraud and anti-manipulation provisions. For example, the CFTC may suspend or revoke the registration of or the no- action relief afforded to a person who fails to comply with commodities laws and regulations, prohibit such a person from trading or doing business with registered entities, impose civil money penalties, require restitution and seek fines or imprisonment for criminal violations. In the event that the CFTC asserts that we are not entitled to the no-action letter relief claimed, we may be obligated to furnish additional disclosures and reports, among other things. Further, a private right of action exists against those who violate the laws over which the CFTC has jurisdiction or who willfully aid, abet, counsel, induce or procure a violation of those laws. In the event that we fail to comply with statutory requirements relating to derivatives or with the CFTC’s rules thereunder, including the no-action letter described above, we may be subject to significant fines, penalties and other civil or governmental actions or proceedings, any of which could have a materially adverse effect on our business, financial condition and results of operations and our ability to pay distributions to our stockholders.</w:t>
      </w:r>
    </w:p>
    <w:p>
      <w:pPr>
        <w:spacing w:after="0" w:line="199" w:lineRule="exact"/>
        <w:rPr>
          <w:sz w:val="20"/>
          <w:szCs w:val="20"/>
          <w:color w:val="auto"/>
        </w:rPr>
      </w:pPr>
    </w:p>
    <w:p>
      <w:pPr>
        <w:ind w:left="500" w:right="400"/>
        <w:spacing w:after="0" w:line="275" w:lineRule="auto"/>
        <w:rPr>
          <w:sz w:val="20"/>
          <w:szCs w:val="20"/>
          <w:color w:val="auto"/>
        </w:rPr>
      </w:pPr>
      <w:r>
        <w:rPr>
          <w:rFonts w:ascii="Times New Roman" w:cs="Times New Roman" w:eastAsia="Times New Roman" w:hAnsi="Times New Roman"/>
          <w:sz w:val="20"/>
          <w:szCs w:val="20"/>
          <w:i w:val="1"/>
          <w:iCs w:val="1"/>
          <w:color w:val="auto"/>
        </w:rPr>
        <w:t>Our ownership limitations and certain other provisions of applicable law and our charter and bylaws may restrict business combination opportunities that would otherwise be favorable to our stockholders.</w:t>
      </w:r>
    </w:p>
    <w:p>
      <w:pPr>
        <w:spacing w:after="0" w:line="162" w:lineRule="exact"/>
        <w:rPr>
          <w:sz w:val="20"/>
          <w:szCs w:val="20"/>
          <w:color w:val="auto"/>
        </w:rPr>
      </w:pPr>
    </w:p>
    <w:p>
      <w:pPr>
        <w:ind w:right="160" w:firstLine="499"/>
        <w:spacing w:after="0" w:line="245" w:lineRule="auto"/>
        <w:rPr>
          <w:sz w:val="20"/>
          <w:szCs w:val="20"/>
          <w:color w:val="auto"/>
        </w:rPr>
      </w:pPr>
      <w:r>
        <w:rPr>
          <w:rFonts w:ascii="Times New Roman" w:cs="Times New Roman" w:eastAsia="Times New Roman" w:hAnsi="Times New Roman"/>
          <w:sz w:val="20"/>
          <w:szCs w:val="20"/>
          <w:color w:val="auto"/>
        </w:rPr>
        <w:t>Our charter and bylaws and Maryland law contain provisions that may delay, defer or prevent a change in control or other transaction that might involve a premium price for our common stock or otherwise be in the best interests of our stockholders, including business combination provisions, supermajority vote and cause requirements for removal of directors, provisions that vacancies on our Board of Directors may be filled only by the remaining directors for the full term of the directorship in which the vacancy occurred, the power of our Board of Directors to increase or decrease the aggregate number of authorized shares of stock or the number of shares of any class or series of stock, to cause us to issue additional shares of stock of any class or series and to fix the terms of one or more classes or series of stock without stockholder approval, the restrictions on ownership and transfer of our stock and advance notice requirements for director nominations and stockholder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780"/>
          </w:cols>
          <w:pgMar w:left="720" w:top="790" w:right="740" w:bottom="0" w:gutter="0" w:footer="0" w:header="0"/>
        </w:sectPr>
      </w:pPr>
    </w:p>
    <w:bookmarkStart w:id="33" w:name="page34"/>
    <w:bookmarkEnd w:id="33"/>
    <w:p>
      <w:pPr>
        <w:ind w:right="20" w:firstLine="499"/>
        <w:spacing w:after="0" w:line="244" w:lineRule="auto"/>
        <w:rPr>
          <w:sz w:val="20"/>
          <w:szCs w:val="20"/>
          <w:color w:val="auto"/>
        </w:rPr>
      </w:pPr>
      <w:r>
        <w:rPr>
          <w:rFonts w:ascii="Times New Roman" w:cs="Times New Roman" w:eastAsia="Times New Roman" w:hAnsi="Times New Roman"/>
          <w:sz w:val="20"/>
          <w:szCs w:val="20"/>
          <w:color w:val="auto"/>
        </w:rPr>
        <w:t>To assist us in qualifying as a REIT, among other purposes, ownership of our stock by any person is generally limited to 9.8% in value or number of shares, whichever is more restrictive, of any class or series of our stock. Additionally, our charter prohibits beneficial or constructive ownership of our stock that would otherwise result in our failure to qualify as a REIT. The ownership rules in our charter are complex and may cause the outstanding stock owned by a group of related individuals or entities to be deemed to be owned by one individual or entity. As a result, these ownership rules could cause an individual or entity to unintentionally own shares beneficially or constructively in excess of our ownership limits. Any attempt to own or transfer shares of our common stock or preferred stock in excess of our ownership limits without the consent of our Board of Directors will result in such shares being transferred to a charitable trust. These provisions may inhibit market activity and the resulting opportunity for our stockholders to receive a premium for their stock that might otherwise exist if any person were to attempt to assemble a block of shares of our stock in excess of the number of shares permitted under our charter and that may be in the best interests of our security holders.</w:t>
      </w:r>
    </w:p>
    <w:p>
      <w:pPr>
        <w:spacing w:after="0" w:line="192"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20"/>
          <w:szCs w:val="20"/>
          <w:color w:val="auto"/>
        </w:rPr>
        <w:t>Our Board of Directors may, without stockholder approval, amend our charter to increase or decrease the aggregate number of our shares or the number of shares of any class or series that we have the authority to issue and to classify or reclassify any unissued shares of common stock or preferred stock, and set the preferences, rights and other terms of the classified or reclassified shares. As a result, our Board of Directors may take actions with respect to our common stock or preferred stock that may have the effect of delaying or preventing a change in control, including transactions at a premium over the market price of our shares, even if stockholders believe that a change in control is in their interest. These provisions, along with the restrictions on ownership and transfer contained in our charter and certain provisions of Maryland law described below, could discourage unsolicited acquisition proposals or make it more difficult for a third party to gain control of us, which could adversely affect the market price of our securities.</w:t>
      </w:r>
    </w:p>
    <w:p>
      <w:pPr>
        <w:spacing w:after="0" w:line="193" w:lineRule="exact"/>
        <w:rPr>
          <w:sz w:val="20"/>
          <w:szCs w:val="20"/>
          <w:color w:val="auto"/>
        </w:rPr>
      </w:pPr>
    </w:p>
    <w:p>
      <w:pPr>
        <w:ind w:left="500"/>
        <w:spacing w:after="0" w:line="275" w:lineRule="auto"/>
        <w:rPr>
          <w:sz w:val="20"/>
          <w:szCs w:val="20"/>
          <w:color w:val="auto"/>
        </w:rPr>
      </w:pPr>
      <w:r>
        <w:rPr>
          <w:rFonts w:ascii="Times New Roman" w:cs="Times New Roman" w:eastAsia="Times New Roman" w:hAnsi="Times New Roman"/>
          <w:sz w:val="20"/>
          <w:szCs w:val="20"/>
          <w:i w:val="1"/>
          <w:iCs w:val="1"/>
          <w:color w:val="auto"/>
        </w:rPr>
        <w:t>Our rights and the rights of our stockholders to take action against our directors and officers are limited, which could limit your recourse in the event of actions not in your best interests.</w:t>
      </w:r>
    </w:p>
    <w:p>
      <w:pPr>
        <w:spacing w:after="0" w:line="162" w:lineRule="exact"/>
        <w:rPr>
          <w:sz w:val="20"/>
          <w:szCs w:val="20"/>
          <w:color w:val="auto"/>
        </w:rPr>
      </w:pPr>
    </w:p>
    <w:p>
      <w:pPr>
        <w:ind w:right="280" w:firstLine="499"/>
        <w:spacing w:after="0" w:line="275" w:lineRule="auto"/>
        <w:rPr>
          <w:sz w:val="20"/>
          <w:szCs w:val="20"/>
          <w:color w:val="auto"/>
        </w:rPr>
      </w:pPr>
      <w:r>
        <w:rPr>
          <w:rFonts w:ascii="Times New Roman" w:cs="Times New Roman" w:eastAsia="Times New Roman" w:hAnsi="Times New Roman"/>
          <w:sz w:val="20"/>
          <w:szCs w:val="20"/>
          <w:color w:val="auto"/>
        </w:rPr>
        <w:t>Our charter limits the liability of our directors and officers to us and our stockholders for money damages, except for liability resulting from:</w:t>
      </w:r>
    </w:p>
    <w:p>
      <w:pPr>
        <w:spacing w:after="0" w:line="165" w:lineRule="exact"/>
        <w:rPr>
          <w:sz w:val="20"/>
          <w:szCs w:val="20"/>
          <w:color w:val="auto"/>
        </w:rPr>
      </w:pPr>
    </w:p>
    <w:p>
      <w:pPr>
        <w:ind w:left="720" w:hanging="35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receipt of an improper benefit or profit in money, property or services; or</w:t>
      </w:r>
    </w:p>
    <w:p>
      <w:pPr>
        <w:spacing w:after="0" w:line="35" w:lineRule="exact"/>
        <w:rPr>
          <w:rFonts w:ascii="Times New Roman" w:cs="Times New Roman" w:eastAsia="Times New Roman" w:hAnsi="Times New Roman"/>
          <w:sz w:val="20"/>
          <w:szCs w:val="20"/>
          <w:color w:val="auto"/>
        </w:rPr>
      </w:pPr>
    </w:p>
    <w:p>
      <w:pPr>
        <w:ind w:left="720" w:right="280" w:hanging="35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 judgment based upon a finding of active and deliberate dishonesty by the director or officer that was material to the cause of action adjudicated.</w:t>
      </w:r>
    </w:p>
    <w:p>
      <w:pPr>
        <w:spacing w:after="0" w:line="191"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We have entered into indemnification agreements with our directors and executive officers that obligate us to indemnify them to the maximum extent permitted by Maryland law. In addition, our charter authorizes the Company to obligate itself to indemnify our present and former directors and officers for actions taken by them in those and other capacities to the maximum extent permitted by Maryland law. Our bylaws require us, to the maximum extent permitted by Maryland law, to indemnify each present and former director or officer in the defense of any proceeding to which he or she is made, or threatened to be made, a party by reason of his or her service to us. In addition, we may be obligated to advance the defense costs incurred by our directors and officers. As a result, we and our stockholders may have more limited rights against our directors and officers than might otherwise exist absent the provisions in our charter, bylaws and indemnification agreements or that might exist with other companies.</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Certain provisions of Maryland law could inhibit changes in control.</w:t>
      </w:r>
    </w:p>
    <w:p>
      <w:pPr>
        <w:spacing w:after="0" w:line="229" w:lineRule="exact"/>
        <w:rPr>
          <w:sz w:val="20"/>
          <w:szCs w:val="20"/>
          <w:color w:val="auto"/>
        </w:rPr>
      </w:pPr>
    </w:p>
    <w:p>
      <w:pPr>
        <w:ind w:right="400" w:firstLine="499"/>
        <w:spacing w:after="0" w:line="257" w:lineRule="auto"/>
        <w:rPr>
          <w:sz w:val="20"/>
          <w:szCs w:val="20"/>
          <w:color w:val="auto"/>
        </w:rPr>
      </w:pPr>
      <w:r>
        <w:rPr>
          <w:rFonts w:ascii="Times New Roman" w:cs="Times New Roman" w:eastAsia="Times New Roman" w:hAnsi="Times New Roman"/>
          <w:sz w:val="20"/>
          <w:szCs w:val="20"/>
          <w:color w:val="auto"/>
        </w:rPr>
        <w:t>Certain provisions of the Maryland General Corporation Law (the “MGCL”), may have the effect of inhibiting a third party from making a proposal to acquire us or impeding a change of control under circumstances that otherwise could provide our stockholders with the opportunity to realize a premium over the then-prevailing market price of our common stock, including:</w:t>
      </w:r>
    </w:p>
    <w:p>
      <w:pPr>
        <w:spacing w:after="0" w:line="184" w:lineRule="exact"/>
        <w:rPr>
          <w:sz w:val="20"/>
          <w:szCs w:val="20"/>
          <w:color w:val="auto"/>
        </w:rPr>
      </w:pPr>
    </w:p>
    <w:p>
      <w:pPr>
        <w:ind w:left="720" w:right="120" w:hanging="350"/>
        <w:spacing w:after="0" w:line="24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the voting power of our then-outstanding stock) or an affiliate of an interested stockholder for five years after the most recent date on which the stockholder became an interested stockholder, and thereafter require two supermajority stockholder votes to approve any such combination; and</w:t>
      </w:r>
    </w:p>
    <w:p>
      <w:pPr>
        <w:ind w:left="720" w:hanging="350"/>
        <w:spacing w:after="0" w:line="24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 share” provisions that provide that a holder of “control shares” of the Company (defined as voting shares of stock which, when aggregated with all other shares of stock owned by the acquiror or in respect of which the acquiror is able to exercise or direct the exercise of voting power (except solely by virtue of a revocable proxy), entitle the acquiror to exercise one of three increasing ranges of voting power in electing directors) acquired in a “control share acquisition” (defined as the direct or indirect acquisition of ownership or control of issued and outstanding “control shares,” subject to certain exceptions) generally has no voting rights with respect to the control shares except to the extent approved by our stockholders by the affirmative vote of two-thirds of all the votes entitled to be cast on the matter, excluding all interested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788" w:right="720" w:bottom="0" w:gutter="0" w:footer="0" w:header="0"/>
        </w:sectPr>
      </w:pPr>
    </w:p>
    <w:bookmarkStart w:id="34" w:name="page35"/>
    <w:bookmarkEnd w:id="34"/>
    <w:p>
      <w:pPr>
        <w:ind w:right="100" w:firstLine="499"/>
        <w:spacing w:after="0" w:line="247" w:lineRule="auto"/>
        <w:rPr>
          <w:sz w:val="20"/>
          <w:szCs w:val="20"/>
          <w:color w:val="auto"/>
        </w:rPr>
      </w:pPr>
      <w:r>
        <w:rPr>
          <w:rFonts w:ascii="Times New Roman" w:cs="Times New Roman" w:eastAsia="Times New Roman" w:hAnsi="Times New Roman"/>
          <w:sz w:val="20"/>
          <w:szCs w:val="20"/>
          <w:color w:val="auto"/>
        </w:rPr>
        <w:t>We have elected to opt-out of these provisions of the MGCL, in the case of the business combination provisions, by resolution of our Board of Directors (provided that such business combination is first approved by our Board of Directors, including a majority of our directors who are not affiliates or associates of such person), and in the case of the control share provisions, pursuant to a provision in our bylaws. However, our Board of Directors may by resolution elect to repeal the foregoing opt-out from the business combination provisions of the MGCL, and we may, by amendment to our bylaws, opt-in to the control share provisions of the MGCL in the future.</w:t>
      </w:r>
    </w:p>
    <w:p>
      <w:pPr>
        <w:spacing w:after="0" w:line="190" w:lineRule="exact"/>
        <w:rPr>
          <w:sz w:val="20"/>
          <w:szCs w:val="20"/>
          <w:color w:val="auto"/>
        </w:rPr>
      </w:pPr>
    </w:p>
    <w:p>
      <w:pPr>
        <w:ind w:left="500" w:right="140"/>
        <w:spacing w:after="0" w:line="252" w:lineRule="auto"/>
        <w:rPr>
          <w:sz w:val="20"/>
          <w:szCs w:val="20"/>
          <w:color w:val="auto"/>
        </w:rPr>
      </w:pPr>
      <w:r>
        <w:rPr>
          <w:rFonts w:ascii="Times New Roman" w:cs="Times New Roman" w:eastAsia="Times New Roman" w:hAnsi="Times New Roman"/>
          <w:sz w:val="20"/>
          <w:szCs w:val="20"/>
          <w:i w:val="1"/>
          <w:iCs w:val="1"/>
          <w:color w:val="auto"/>
        </w:rPr>
        <w:t>Our bylaws designate the Circuit Court for Baltimore City, Maryland as the sole and exclusive forum for certain types of actions and proceedings that may be initiated by our stockholders, which could limit stockholders' ability to obtain a favorable judicial forum for disputes with us or our directors or officers and could discourage lawsuits against us and our directors and officers.</w:t>
      </w:r>
    </w:p>
    <w:p>
      <w:pPr>
        <w:spacing w:after="0" w:line="184" w:lineRule="exact"/>
        <w:rPr>
          <w:sz w:val="20"/>
          <w:szCs w:val="20"/>
          <w:color w:val="auto"/>
        </w:rPr>
      </w:pPr>
    </w:p>
    <w:p>
      <w:pPr>
        <w:ind w:right="240" w:firstLine="499"/>
        <w:spacing w:after="0" w:line="246" w:lineRule="auto"/>
        <w:rPr>
          <w:sz w:val="20"/>
          <w:szCs w:val="20"/>
          <w:color w:val="auto"/>
        </w:rPr>
      </w:pPr>
      <w:r>
        <w:rPr>
          <w:rFonts w:ascii="Times New Roman" w:cs="Times New Roman" w:eastAsia="Times New Roman" w:hAnsi="Times New Roman"/>
          <w:sz w:val="20"/>
          <w:szCs w:val="20"/>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the MGCL, (b) any derivative action or proceeding brought on our behalf, (c) any action asserting a claim of breach of any duty owed by any of our directors or officers to us or to our stockholders, (d) any action asserting a claim against us or any of our directors or officers arising pursuant to any provision of the MGCL or our charter or bylaws or (e) any other action asserting a claim against us or any of our directors or officers that is governed by the internal affairs doctrine.</w:t>
      </w:r>
    </w:p>
    <w:p>
      <w:pPr>
        <w:spacing w:after="0" w:line="189" w:lineRule="exact"/>
        <w:rPr>
          <w:sz w:val="20"/>
          <w:szCs w:val="20"/>
          <w:color w:val="auto"/>
        </w:rPr>
      </w:pPr>
    </w:p>
    <w:p>
      <w:pPr>
        <w:ind w:right="160" w:firstLine="499"/>
        <w:spacing w:after="0" w:line="249" w:lineRule="auto"/>
        <w:rPr>
          <w:sz w:val="20"/>
          <w:szCs w:val="20"/>
          <w:color w:val="auto"/>
        </w:rPr>
      </w:pPr>
      <w:r>
        <w:rPr>
          <w:rFonts w:ascii="Times New Roman" w:cs="Times New Roman" w:eastAsia="Times New Roman" w:hAnsi="Times New Roman"/>
          <w:sz w:val="20"/>
          <w:szCs w:val="20"/>
          <w:color w:val="auto"/>
        </w:rPr>
        <w:t>This exclusive forum provision may limit the ability of our stockholders to bring a claim in a judicial forum that such stockholders find favorable for disputes with us or our directors or officers, which may discourage such lawsuits against us and our directors and officers. Alternatively, if a court were to find the choice of forum provisions contained in our bylaws to be inapplicable or unenforceable in an action, we may incur additional costs associated with resolving such action in other jurisdictions, which could materially adversely affect our business, financial condition, and operating results.</w:t>
      </w:r>
    </w:p>
    <w:p>
      <w:pPr>
        <w:spacing w:after="0" w:line="18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u w:val="single" w:color="auto"/>
          <w:color w:val="auto"/>
        </w:rPr>
        <w:t>U.S. Federal Income Tax Risks</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Your investment has various U.S. federal income tax risks.</w:t>
      </w:r>
    </w:p>
    <w:p>
      <w:pPr>
        <w:spacing w:after="0" w:line="227" w:lineRule="exact"/>
        <w:rPr>
          <w:sz w:val="20"/>
          <w:szCs w:val="20"/>
          <w:color w:val="auto"/>
        </w:rPr>
      </w:pPr>
    </w:p>
    <w:p>
      <w:pPr>
        <w:ind w:right="40" w:firstLine="499"/>
        <w:spacing w:after="0" w:line="247" w:lineRule="auto"/>
        <w:rPr>
          <w:sz w:val="20"/>
          <w:szCs w:val="20"/>
          <w:color w:val="auto"/>
        </w:rPr>
      </w:pPr>
      <w:r>
        <w:rPr>
          <w:rFonts w:ascii="Times New Roman" w:cs="Times New Roman" w:eastAsia="Times New Roman" w:hAnsi="Times New Roman"/>
          <w:sz w:val="20"/>
          <w:szCs w:val="20"/>
          <w:color w:val="auto"/>
        </w:rPr>
        <w:t>This summary of certain tax risks is limited to the U.S. federal income tax risks addressed below. Additional risks or issues may exist that are not addressed in this Form 10-K and that could affect the U.S. federal income tax treatment of us or our stockholders. This summary is not intended to be used and cannot be used by any stockholder to avoid penalties that may be imposed on stockholders under the Code. We strongly urge you to seek advice based on your particular circumstances from your tax advisor concerning the effects of U.S. federal, state and local income tax law on an investment in our common stock and on your individual tax situation.</w:t>
      </w:r>
    </w:p>
    <w:p>
      <w:pPr>
        <w:spacing w:after="0" w:line="193" w:lineRule="exact"/>
        <w:rPr>
          <w:sz w:val="20"/>
          <w:szCs w:val="20"/>
          <w:color w:val="auto"/>
        </w:rPr>
      </w:pPr>
    </w:p>
    <w:p>
      <w:pPr>
        <w:ind w:left="500" w:right="280"/>
        <w:spacing w:after="0" w:line="258" w:lineRule="auto"/>
        <w:rPr>
          <w:sz w:val="20"/>
          <w:szCs w:val="20"/>
          <w:color w:val="auto"/>
        </w:rPr>
      </w:pPr>
      <w:r>
        <w:rPr>
          <w:rFonts w:ascii="Times New Roman" w:cs="Times New Roman" w:eastAsia="Times New Roman" w:hAnsi="Times New Roman"/>
          <w:sz w:val="20"/>
          <w:szCs w:val="20"/>
          <w:i w:val="1"/>
          <w:iCs w:val="1"/>
          <w:color w:val="auto"/>
        </w:rPr>
        <w:t>Our failure to maintain our qualification as a REIT would subject us to U.S. federal income tax, which could adversely affect the value of the shares of our common stock and would substantially reduce the cash available for distribution to our stockholders.</w:t>
      </w:r>
    </w:p>
    <w:p>
      <w:pPr>
        <w:spacing w:after="0" w:line="176" w:lineRule="exact"/>
        <w:rPr>
          <w:sz w:val="20"/>
          <w:szCs w:val="20"/>
          <w:color w:val="auto"/>
        </w:rPr>
      </w:pPr>
    </w:p>
    <w:p>
      <w:pPr>
        <w:ind w:right="80" w:firstLine="499"/>
        <w:spacing w:after="0" w:line="245" w:lineRule="auto"/>
        <w:rPr>
          <w:sz w:val="20"/>
          <w:szCs w:val="20"/>
          <w:color w:val="auto"/>
        </w:rPr>
      </w:pPr>
      <w:r>
        <w:rPr>
          <w:rFonts w:ascii="Times New Roman" w:cs="Times New Roman" w:eastAsia="Times New Roman" w:hAnsi="Times New Roman"/>
          <w:sz w:val="20"/>
          <w:szCs w:val="20"/>
          <w:color w:val="auto"/>
        </w:rPr>
        <w:t>We believe that commencing with our short taxable year ended December 31, 2013, we have been organized and have operated in conformity with the requirements for qualification as a REIT under the Code, and we intend to operate in a manner that will enable us to continue to meet the requirements for qualification and taxation as a REIT. However, we cannot assure you that we will remain qualified as a REIT. Moreover, our qualification and taxation as a REIT will depend upon our ability to meet on a continuing basis, through actual annual operating results, certain qualification tests set forth in the U.S. federal tax laws. Accordingly, given the complex nature of the rules governing REITs, the ongoing importance of factual determinations, including the potential tax treatment of investments we make, and the possibility of future changes in our circumstances, no assurance can be given that our actual results of operations for any particular taxable year will satisfy such requirements.</w:t>
      </w:r>
    </w:p>
    <w:p>
      <w:pPr>
        <w:spacing w:after="0" w:line="194"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20"/>
          <w:szCs w:val="20"/>
          <w:color w:val="auto"/>
        </w:rPr>
        <w:t>If we fail to qualify as a REIT in any calendar year, we would be required to pay U.S. federal income tax (and any applicable state and local tax) on our taxable income at regular corporate rates, and dividends paid to our stockholders would not be deductible by us in computing our taxable income. Further, if we fail to qualify as a REIT, we might need to borrow money or sell assets in order to pay any resulting tax. Our payment of income tax would decrease the amount of our income available for distribution to our stockholders. Furthermore, if we fail to maintain our qualification as a REIT, we no longer would be required under U.S. federal tax laws to distribute substantially all of our REIT taxable income to our stockholders. Unless our failure to qualify as a REIT was subject to relief under U.S. federal tax laws, we could not re-elect to qualify as a REIT until the fifth calendar year following the year in which we failed to qualify.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788" w:right="720" w:bottom="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20"/>
          <w:szCs w:val="20"/>
          <w:i w:val="1"/>
          <w:iCs w:val="1"/>
          <w:color w:val="auto"/>
        </w:rPr>
        <w:t>Complying with REIT requirements may cause us to forego or liquidate otherwise attractive investments.</w:t>
      </w:r>
    </w:p>
    <w:p>
      <w:pPr>
        <w:spacing w:after="0" w:line="227" w:lineRule="exact"/>
        <w:rPr>
          <w:sz w:val="20"/>
          <w:szCs w:val="20"/>
          <w:color w:val="auto"/>
        </w:rPr>
      </w:pPr>
    </w:p>
    <w:p>
      <w:pPr>
        <w:ind w:right="40" w:firstLine="499"/>
        <w:spacing w:after="0" w:line="252" w:lineRule="auto"/>
        <w:rPr>
          <w:sz w:val="20"/>
          <w:szCs w:val="20"/>
          <w:color w:val="auto"/>
        </w:rPr>
      </w:pPr>
      <w:r>
        <w:rPr>
          <w:rFonts w:ascii="Times New Roman" w:cs="Times New Roman" w:eastAsia="Times New Roman" w:hAnsi="Times New Roman"/>
          <w:sz w:val="20"/>
          <w:szCs w:val="20"/>
          <w:color w:val="auto"/>
        </w:rPr>
        <w:t>To continue to qualify as a REIT, we must satisfy various tests regarding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investment performance.</w:t>
      </w:r>
    </w:p>
    <w:p>
      <w:pPr>
        <w:spacing w:after="0" w:line="184" w:lineRule="exact"/>
        <w:rPr>
          <w:sz w:val="20"/>
          <w:szCs w:val="20"/>
          <w:color w:val="auto"/>
        </w:rPr>
      </w:pPr>
    </w:p>
    <w:p>
      <w:pPr>
        <w:ind w:right="80" w:firstLine="499"/>
        <w:spacing w:after="0" w:line="242" w:lineRule="auto"/>
        <w:rPr>
          <w:sz w:val="20"/>
          <w:szCs w:val="20"/>
          <w:color w:val="auto"/>
        </w:rPr>
      </w:pPr>
      <w:r>
        <w:rPr>
          <w:rFonts w:ascii="Times New Roman" w:cs="Times New Roman" w:eastAsia="Times New Roman" w:hAnsi="Times New Roman"/>
          <w:sz w:val="20"/>
          <w:szCs w:val="20"/>
          <w:color w:val="auto"/>
        </w:rPr>
        <w:t>In particular, we must ensure that at the end of each calendar quarter, at least 75% of the value of our total assets consists of cash, cash items, government securities and qualified REIT real estate assets, including Agency RMBS. The remainder of our investment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TRS securities, and qualified real estate assets) can consist of the securities of any one issuer, no more than 25% of the value of our total assets can be represented by securities of one or more TRSs and no more than 25% of the value of our assets can be represented by debt of “publicly offered REITs” (i.e., REITs that are required to file annual and period reports with the SEC under the Exchange Act) that is not secured by real property or interests in real property. Generally, if we fail to comply with these requirements at the end of any calendar quarter, we must correct the failure within 30 days after the end of such calendar quarter or qualify for certain statutory relief provisions to avoid losing our REIT qualification and becoming subject to U.S. federal income tax (and any applicable state and local taxes) on all of our income. As a result, we may be required to liquidate from our portfolio otherwise attractive investments or contribute such investments to a TRS. These actions could have the effect of reducing our income and amounts available for distribution to our stockholders.</w:t>
      </w:r>
    </w:p>
    <w:p>
      <w:pPr>
        <w:spacing w:after="0" w:line="208" w:lineRule="exact"/>
        <w:rPr>
          <w:sz w:val="20"/>
          <w:szCs w:val="20"/>
          <w:color w:val="auto"/>
        </w:rPr>
      </w:pPr>
    </w:p>
    <w:p>
      <w:pPr>
        <w:ind w:left="500" w:right="320"/>
        <w:spacing w:after="0" w:line="275" w:lineRule="auto"/>
        <w:rPr>
          <w:sz w:val="20"/>
          <w:szCs w:val="20"/>
          <w:color w:val="auto"/>
        </w:rPr>
      </w:pPr>
      <w:r>
        <w:rPr>
          <w:rFonts w:ascii="Times New Roman" w:cs="Times New Roman" w:eastAsia="Times New Roman" w:hAnsi="Times New Roman"/>
          <w:sz w:val="20"/>
          <w:szCs w:val="20"/>
          <w:i w:val="1"/>
          <w:iCs w:val="1"/>
          <w:color w:val="auto"/>
        </w:rPr>
        <w:t>Failure to make required distributions would subject us to tax, which would reduce the cash available for distribution to our stockholders.</w:t>
      </w:r>
    </w:p>
    <w:p>
      <w:pPr>
        <w:spacing w:after="0" w:line="160" w:lineRule="exact"/>
        <w:rPr>
          <w:sz w:val="20"/>
          <w:szCs w:val="20"/>
          <w:color w:val="auto"/>
        </w:rPr>
      </w:pPr>
    </w:p>
    <w:p>
      <w:pPr>
        <w:ind w:right="20" w:firstLine="499"/>
        <w:spacing w:after="0" w:line="249" w:lineRule="auto"/>
        <w:rPr>
          <w:sz w:val="20"/>
          <w:szCs w:val="20"/>
          <w:color w:val="auto"/>
        </w:rPr>
      </w:pPr>
      <w:r>
        <w:rPr>
          <w:rFonts w:ascii="Times New Roman" w:cs="Times New Roman" w:eastAsia="Times New Roman" w:hAnsi="Times New Roman"/>
          <w:sz w:val="20"/>
          <w:szCs w:val="20"/>
          <w:color w:val="auto"/>
        </w:rPr>
        <w:t>To continue to qualify as a REIT, we must distribute to our stockholders each calendar year at least 90% of our REIT taxable income (including certain items of non-cash income), determined without regard to the deductions for dividends paid and excluding net capital gain. To the extent that we satisfy the 90% distribution requirement but distribute less than 100% of our taxable income, we will be subject to U.S. federal corporate income tax on our undistributed income. In addition, we will incur a 4% nondeductible excise tax on the amount, if any, by which our distributions in any calendar year are less than the sum of:</w:t>
      </w:r>
    </w:p>
    <w:p>
      <w:pPr>
        <w:spacing w:after="0" w:line="190" w:lineRule="exact"/>
        <w:rPr>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our REIT ordinary income for that year;</w:t>
      </w:r>
    </w:p>
    <w:p>
      <w:pPr>
        <w:spacing w:after="0" w:line="35"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95% of our REIT capital gain net income for that year; and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undistributed taxable income from prior years.</w:t>
      </w:r>
    </w:p>
    <w:p>
      <w:pPr>
        <w:spacing w:after="0" w:line="212" w:lineRule="exact"/>
        <w:rPr>
          <w:sz w:val="20"/>
          <w:szCs w:val="20"/>
          <w:color w:val="auto"/>
        </w:rPr>
      </w:pPr>
    </w:p>
    <w:p>
      <w:pPr>
        <w:ind w:left="500" w:right="600"/>
        <w:spacing w:after="0" w:line="275" w:lineRule="auto"/>
        <w:rPr>
          <w:sz w:val="20"/>
          <w:szCs w:val="20"/>
          <w:color w:val="auto"/>
        </w:rPr>
      </w:pPr>
      <w:r>
        <w:rPr>
          <w:rFonts w:ascii="Times New Roman" w:cs="Times New Roman" w:eastAsia="Times New Roman" w:hAnsi="Times New Roman"/>
          <w:sz w:val="20"/>
          <w:szCs w:val="20"/>
          <w:i w:val="1"/>
          <w:iCs w:val="1"/>
          <w:color w:val="auto"/>
        </w:rPr>
        <w:t>We intend to distribute our REIT taxable income to our stockholders in a manner intended to satisfy the 90% distribution requirement and to avoid both U.S. federal corporate income tax and the 4% nondeductible excise tax.</w:t>
      </w:r>
    </w:p>
    <w:p>
      <w:pPr>
        <w:spacing w:after="0" w:line="162" w:lineRule="exact"/>
        <w:rPr>
          <w:sz w:val="20"/>
          <w:szCs w:val="20"/>
          <w:color w:val="auto"/>
        </w:rPr>
      </w:pPr>
    </w:p>
    <w:p>
      <w:pPr>
        <w:ind w:right="20" w:firstLine="499"/>
        <w:spacing w:after="0" w:line="243" w:lineRule="auto"/>
        <w:rPr>
          <w:sz w:val="20"/>
          <w:szCs w:val="20"/>
          <w:color w:val="auto"/>
        </w:rPr>
      </w:pPr>
      <w:r>
        <w:rPr>
          <w:rFonts w:ascii="Times New Roman" w:cs="Times New Roman" w:eastAsia="Times New Roman" w:hAnsi="Times New Roman"/>
          <w:sz w:val="20"/>
          <w:szCs w:val="20"/>
          <w:color w:val="auto"/>
        </w:rPr>
        <w:t>Our taxable income may be substantially different than our net income as determined based on generally accepted accounting principles in the United States (“GAAP”), because, for example, realized capital losses will be deducted in determining our GAAP net income but may not be deductible in computing our taxable income. In addition, unrealized portfolio gains and losses are included in GAAP net income, but are not included in REIT taxable income. Also, we may invest in assets that generate taxable income in excess of economic income or in advance of the corresponding cash flow from the assets. As a result of the foregoing, we may generate less cash flow than taxable income in a particular year. To the extent that we distribute less than 100% of our taxable income in a taxable year to our stockholders, whether due to non-cash taxable income or otherwise, we may incur U.S. federal corporate income tax and the 4% nondeductible excise tax on that income. If we have non-cash taxable income in a taxable year, we may be required to use cash reserves, incur debt, sell assets, make taxable distributions of our stock or debt securities or liquidate non-cash assets at rates or at times that we regard as unfavorable to satisfy the distribution requirement and to avoid U.S. federal corporate income tax and the 4% nondeductible excise tax in that year.</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Even if we qualify for taxation as a REIT, we may face other tax liabilities that reduce our cash flows.</w:t>
      </w:r>
    </w:p>
    <w:p>
      <w:pPr>
        <w:spacing w:after="0" w:line="229"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20"/>
          <w:szCs w:val="20"/>
          <w:color w:val="auto"/>
        </w:rPr>
        <w:t>Even if we qualify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any TRSs we form will be subject to regular corporate U.S. federal, state and local taxes. Any of these taxes would decrease cash available for distributions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790" w:right="720" w:bottom="0" w:gutter="0" w:footer="0" w:header="0"/>
        </w:sectPr>
      </w:pPr>
    </w:p>
    <w:bookmarkStart w:id="36" w:name="page37"/>
    <w:bookmarkEnd w:id="36"/>
    <w:p>
      <w:pPr>
        <w:ind w:right="520" w:firstLine="540"/>
        <w:spacing w:after="0" w:line="275" w:lineRule="auto"/>
        <w:rPr>
          <w:sz w:val="20"/>
          <w:szCs w:val="20"/>
          <w:color w:val="auto"/>
        </w:rPr>
      </w:pPr>
      <w:r>
        <w:rPr>
          <w:rFonts w:ascii="Times New Roman" w:cs="Times New Roman" w:eastAsia="Times New Roman" w:hAnsi="Times New Roman"/>
          <w:sz w:val="20"/>
          <w:szCs w:val="20"/>
          <w:i w:val="1"/>
          <w:iCs w:val="1"/>
          <w:color w:val="auto"/>
        </w:rPr>
        <w:t>The failure of Agency RMBS subject to a repurchase agreement to qualify as real estate assets would adversely affect our ability to continue to qualify as a REIT.</w:t>
      </w:r>
    </w:p>
    <w:p>
      <w:pPr>
        <w:spacing w:after="0" w:line="160" w:lineRule="exact"/>
        <w:rPr>
          <w:sz w:val="20"/>
          <w:szCs w:val="20"/>
          <w:color w:val="auto"/>
        </w:rPr>
      </w:pPr>
    </w:p>
    <w:p>
      <w:pPr>
        <w:ind w:right="40" w:firstLine="499"/>
        <w:spacing w:after="0" w:line="247" w:lineRule="auto"/>
        <w:rPr>
          <w:sz w:val="20"/>
          <w:szCs w:val="20"/>
          <w:color w:val="auto"/>
        </w:rPr>
      </w:pPr>
      <w:r>
        <w:rPr>
          <w:rFonts w:ascii="Times New Roman" w:cs="Times New Roman" w:eastAsia="Times New Roman" w:hAnsi="Times New Roman"/>
          <w:sz w:val="20"/>
          <w:szCs w:val="20"/>
          <w:color w:val="auto"/>
        </w:rPr>
        <w:t>We have entered and intend to continue to enter into repurchase agreements under which we nominally sell certain of our Agency RMBS to a counterparty and simultaneously enter into an agreement to repurchase the sold assets. We believe that for U.S. federal income tax purposes these transactions will be treated as secured debt and we will be treated as the owner of the Agency RMBS that are the subject of any such agreement, notwithstanding that such agreements may transfer record ownership of such assets to the counterparty during the term of the agreement. It is possible, however, that the IRS could successfully assert that we do not own the Agency RMBS during the term of the repurchase agreement, in which case we could fail to qualify as a REIT.</w:t>
      </w:r>
    </w:p>
    <w:p>
      <w:pPr>
        <w:spacing w:after="0" w:line="193" w:lineRule="exact"/>
        <w:rPr>
          <w:sz w:val="20"/>
          <w:szCs w:val="20"/>
          <w:color w:val="auto"/>
        </w:rPr>
      </w:pPr>
    </w:p>
    <w:p>
      <w:pPr>
        <w:ind w:left="500" w:right="40"/>
        <w:spacing w:after="0" w:line="275" w:lineRule="auto"/>
        <w:rPr>
          <w:sz w:val="20"/>
          <w:szCs w:val="20"/>
          <w:color w:val="auto"/>
        </w:rPr>
      </w:pPr>
      <w:r>
        <w:rPr>
          <w:rFonts w:ascii="Times New Roman" w:cs="Times New Roman" w:eastAsia="Times New Roman" w:hAnsi="Times New Roman"/>
          <w:sz w:val="20"/>
          <w:szCs w:val="20"/>
          <w:i w:val="1"/>
          <w:iCs w:val="1"/>
          <w:color w:val="auto"/>
        </w:rPr>
        <w:t>Our ability to invest in and dispose of forward settling contracts, including TBA securities, could be limited by the requirements necessary to continue to qualify as a REIT, and we could fail to qualify as a REIT as a result of these investments.</w:t>
      </w:r>
    </w:p>
    <w:p>
      <w:pPr>
        <w:spacing w:after="0" w:line="162" w:lineRule="exact"/>
        <w:rPr>
          <w:sz w:val="20"/>
          <w:szCs w:val="20"/>
          <w:color w:val="auto"/>
        </w:rPr>
      </w:pPr>
    </w:p>
    <w:p>
      <w:pPr>
        <w:ind w:right="100" w:firstLine="499"/>
        <w:spacing w:after="0" w:line="247" w:lineRule="auto"/>
        <w:rPr>
          <w:sz w:val="20"/>
          <w:szCs w:val="20"/>
          <w:color w:val="auto"/>
        </w:rPr>
      </w:pPr>
      <w:r>
        <w:rPr>
          <w:rFonts w:ascii="Times New Roman" w:cs="Times New Roman" w:eastAsia="Times New Roman" w:hAnsi="Times New Roman"/>
          <w:sz w:val="20"/>
          <w:szCs w:val="20"/>
          <w:color w:val="auto"/>
        </w:rPr>
        <w:t>We may purchase Agency RMBS through forward settling contracts, including TBA securities transactions. We may recognize income or gains on the disposition of forward settling contracts. For example, rather than take delivery of the Agency RMBS subject to a TBA, we may dispose of the TBA through a “roll” transaction in which we agree to purchase similar securities in the future at a predetermined price or otherwise, which may result in the recognition of income or gains. The law is unclear regarding whether forward settling contracts will be qualifying assets for the 75% asset test and whether income and gains from dispositions of forward settling contracts will be qualifying income for the 75% gross income test.</w:t>
      </w:r>
    </w:p>
    <w:p>
      <w:pPr>
        <w:spacing w:after="0" w:line="188"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Until we receive a favorable private letter ruling from the IRS or we are advised by counsel that forward settling contracts should be treated as qualifying assets for purposes of the 75% asset test, we will limit our investment in forward settling contracts and any non-qualifying assets to no more than 25% of our total gross assets at the end of any calendar quarter and will limit the forward settling contracts issued by any one issuer to no more than 5% of our total gross assets at the end of any calendar quarter. Further, until we receive a favorable private letter ruling from the IRS or we are advised by counsel that income and gains from the disposition of forward settling contracts should be treated as qualifying income for purposes of the 75% gross income test, we will limit our income and gains from dispositions of forward settling contracts and any non-qualifying income to no more than 25% of our gross income for each calendar year. Accordingly, our ability to purchase Agency RMBS through forward settling contracts and to dispose of forward settling contracts through roll transactions or otherwise, could be limited.</w:t>
      </w:r>
    </w:p>
    <w:p>
      <w:pPr>
        <w:spacing w:after="0" w:line="198"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20"/>
          <w:szCs w:val="20"/>
          <w:color w:val="auto"/>
        </w:rPr>
        <w:t>Moreover, even if we are advised by counsel that forward settling contracts should be treated as qualifying assets or that income and gains from dispositions of forward settling contracts should be treated as qualifying income, it is possible that the IRS could successfully take the position that such assets are not qualifying assets and such income is not qualifying income. In that event, we could be subject to a penalty tax or we could fail to qualify as a REIT if (i) the value of our forward settling contracts, together with our other non-qualifying assets for purposes of the 75% asset test, exceeded 25% of our total gross assets at the end of any calendar quarter, (ii) the value of our forward settling contracts, including TBAs, issued by any one issuer exceeded 5% of our total assets at the end of any calendar quarter, or (iii) our income and gains from the disposition of forward settling contracts, together with our other non-qualifying income for purposes of the 75% gross income test, exceeded 25% of our gross income for any taxable year.</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Complying with REIT requirements may limit our ability to hedge effectively.</w:t>
      </w:r>
    </w:p>
    <w:p>
      <w:pPr>
        <w:spacing w:after="0" w:line="229" w:lineRule="exact"/>
        <w:rPr>
          <w:sz w:val="20"/>
          <w:szCs w:val="20"/>
          <w:color w:val="auto"/>
        </w:rPr>
      </w:pPr>
    </w:p>
    <w:p>
      <w:pPr>
        <w:ind w:right="240" w:firstLine="499"/>
        <w:spacing w:after="0" w:line="249" w:lineRule="auto"/>
        <w:rPr>
          <w:sz w:val="20"/>
          <w:szCs w:val="20"/>
          <w:color w:val="auto"/>
        </w:rPr>
      </w:pPr>
      <w:r>
        <w:rPr>
          <w:rFonts w:ascii="Times New Roman" w:cs="Times New Roman" w:eastAsia="Times New Roman" w:hAnsi="Times New Roman"/>
          <w:sz w:val="20"/>
          <w:szCs w:val="20"/>
          <w:color w:val="auto"/>
        </w:rPr>
        <w:t>The REIT provisions of the Code substantially limit our ability to hedge. Our aggregate gross income from non-qualifying hedges, fees, and certain other non-qualifying sources cannot exceed 5% of our annual gross income. As a result, we might have to limit our use of advantageous hedging techniques or implement those hedges through a TRS. Any hedging income earned by a TRS would be subject to U.S. federal, state and local income tax at regular corporate rates. This could increase the cost of our hedging activities or expose us to greater risks associated with changes in interest rates than we would otherwise want to bear.</w:t>
      </w:r>
    </w:p>
    <w:p>
      <w:pPr>
        <w:spacing w:after="0" w:line="189" w:lineRule="exact"/>
        <w:rPr>
          <w:sz w:val="20"/>
          <w:szCs w:val="20"/>
          <w:color w:val="auto"/>
        </w:rPr>
      </w:pPr>
    </w:p>
    <w:p>
      <w:pPr>
        <w:ind w:left="500" w:right="440"/>
        <w:spacing w:after="0" w:line="272" w:lineRule="auto"/>
        <w:rPr>
          <w:sz w:val="20"/>
          <w:szCs w:val="20"/>
          <w:color w:val="auto"/>
        </w:rPr>
      </w:pPr>
      <w:r>
        <w:rPr>
          <w:rFonts w:ascii="Times New Roman" w:cs="Times New Roman" w:eastAsia="Times New Roman" w:hAnsi="Times New Roman"/>
          <w:sz w:val="20"/>
          <w:szCs w:val="20"/>
          <w:i w:val="1"/>
          <w:iCs w:val="1"/>
          <w:color w:val="auto"/>
        </w:rPr>
        <w:t>Our ownership of and relationship with any TRSs that we form will be limited and a failure to comply with the limits would jeopardize our REIT qualification and may result in the application of a 100% excise tax.</w:t>
      </w:r>
    </w:p>
    <w:p>
      <w:pPr>
        <w:spacing w:after="0" w:line="166"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A REIT may own up to 100% of the stock of one or more TRSs. A TRS may earn income that would not be qualifying income if earned directly by the parent REIT. Both the subsidiary and the REIT must jointly elect to treat the subsidiary as a TRS. A corporation (other than a REIT) of which a TRS directly or indirectly owns more than 35% of the voting power or value of the stock will automatically be treated as a TRS. Overall, no more than 25% of the value of a REIT’s total assets may consist of stock or securities of one or more TRSs. A domestic TRS will pay U.S. federal, state and local income tax at regular corporate rates on any income that it earns. In addition, the Code limits the deductibility of interest paid or accrued by a TRS to its parent REIT to ensure that the TRS is subject to an appropriate level of corporate taxation. The rules also impose a 100% excise tax on certain transactions between a TRS and its parent REIT that are not conducted on an arm’s length basis. Any domestic TRS that we may form will pay U.S. federal, state and local income tax on its taxable income, and its after-tax net income will be available for distribution to us (but is not required to be distributed to us at regular corporate rates).</w:t>
      </w:r>
    </w:p>
    <w:p>
      <w:pPr>
        <w:sectPr>
          <w:pgSz w:w="12240" w:h="15840" w:orient="portrait"/>
          <w:cols w:equalWidth="0" w:num="1">
            <w:col w:w="10800"/>
          </w:cols>
          <w:pgMar w:left="720" w:top="55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559" w:right="720" w:bottom="0" w:gutter="0" w:footer="0" w:header="0"/>
          <w:type w:val="continuous"/>
        </w:sectPr>
      </w:pPr>
    </w:p>
    <w:bookmarkStart w:id="37" w:name="page38"/>
    <w:bookmarkEnd w:id="37"/>
    <w:p>
      <w:pPr>
        <w:ind w:left="500" w:right="120"/>
        <w:spacing w:after="0" w:line="272" w:lineRule="auto"/>
        <w:rPr>
          <w:sz w:val="20"/>
          <w:szCs w:val="20"/>
          <w:color w:val="auto"/>
        </w:rPr>
      </w:pPr>
      <w:r>
        <w:rPr>
          <w:rFonts w:ascii="Times New Roman" w:cs="Times New Roman" w:eastAsia="Times New Roman" w:hAnsi="Times New Roman"/>
          <w:sz w:val="20"/>
          <w:szCs w:val="20"/>
          <w:i w:val="1"/>
          <w:iCs w:val="1"/>
          <w:color w:val="auto"/>
        </w:rPr>
        <w:t>We may pay taxable dividends in cash and our common stock, in which case stockholders may sell shares of our common stock to pay tax on such dividends, placing downward pressure on the market price of our common stock.</w:t>
      </w:r>
    </w:p>
    <w:p>
      <w:pPr>
        <w:spacing w:after="0" w:line="166" w:lineRule="exact"/>
        <w:rPr>
          <w:sz w:val="20"/>
          <w:szCs w:val="20"/>
          <w:color w:val="auto"/>
        </w:rPr>
      </w:pPr>
    </w:p>
    <w:p>
      <w:pPr>
        <w:ind w:right="20" w:firstLine="499"/>
        <w:spacing w:after="0" w:line="243" w:lineRule="auto"/>
        <w:rPr>
          <w:sz w:val="20"/>
          <w:szCs w:val="20"/>
          <w:color w:val="auto"/>
        </w:rPr>
      </w:pPr>
      <w:r>
        <w:rPr>
          <w:rFonts w:ascii="Times New Roman" w:cs="Times New Roman" w:eastAsia="Times New Roman" w:hAnsi="Times New Roman"/>
          <w:sz w:val="20"/>
          <w:szCs w:val="20"/>
          <w:color w:val="auto"/>
        </w:rPr>
        <w:t>We may make taxable dividends that are payable partly in cash and partly in our common stock. The IRS has issued Revenue Procedure 2017- 45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 Although we have no current intention of paying dividends in our own stock, if in the future we choose to pay dividends in our own stock, our stockholders may be required to pay tax in excess of the cash that they receive. If a U.S. stockholder sells the shares that it receives as a dividend in order to pay this tax, the sales proceeds may be less than the amount included in income with respect to the dividend, depending on the market price of our common stock at the time of the sale. Furthermore, with respect to certain non-U.S. stockholders, we may be required to withhold U.S. federal income tax with respect to such dividends, including in respect of all or a portion of such dividend that is payable in common stock. If we pay dividends in our common stock and a significant number of our stockholders determine to sell shares of our common stock in order to pay taxes owed on dividends, it may put downward pressure on the trading price of our common stock.</w:t>
      </w:r>
    </w:p>
    <w:p>
      <w:pPr>
        <w:spacing w:after="0" w:line="199" w:lineRule="exact"/>
        <w:rPr>
          <w:sz w:val="20"/>
          <w:szCs w:val="20"/>
          <w:color w:val="auto"/>
        </w:rPr>
      </w:pPr>
    </w:p>
    <w:p>
      <w:pPr>
        <w:ind w:left="500" w:right="480"/>
        <w:spacing w:after="0" w:line="275" w:lineRule="auto"/>
        <w:rPr>
          <w:sz w:val="20"/>
          <w:szCs w:val="20"/>
          <w:color w:val="auto"/>
        </w:rPr>
      </w:pPr>
      <w:r>
        <w:rPr>
          <w:rFonts w:ascii="Times New Roman" w:cs="Times New Roman" w:eastAsia="Times New Roman" w:hAnsi="Times New Roman"/>
          <w:sz w:val="20"/>
          <w:szCs w:val="20"/>
          <w:i w:val="1"/>
          <w:iCs w:val="1"/>
          <w:color w:val="auto"/>
        </w:rPr>
        <w:t>Our ownership limitations may restrict change of control or business combination opportunities in which our stockholders might receive a premium for their stock.</w:t>
      </w:r>
    </w:p>
    <w:p>
      <w:pPr>
        <w:spacing w:after="0" w:line="160"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In order for us to qualify as a REIT for each taxable year after 2013, no more than 50% in value of our outstanding stock may be owned, directly or indirectly, by five or fewer individuals during the last half of any calendar year. “Individuals” for this purpose include natural persons, private foundations, some employee benefit plans and trusts, and some charitable trusts. In order to assist us in qualifying as a REIT, among other purposes, ownership of our stock by any person is generally limited to 9.8% in value or number of shares, whichever is more restrictive, of any class or series of our stock.</w:t>
      </w:r>
    </w:p>
    <w:p>
      <w:pPr>
        <w:spacing w:after="0" w:line="187" w:lineRule="exact"/>
        <w:rPr>
          <w:sz w:val="20"/>
          <w:szCs w:val="20"/>
          <w:color w:val="auto"/>
        </w:rPr>
      </w:pPr>
    </w:p>
    <w:p>
      <w:pPr>
        <w:ind w:right="80" w:firstLine="499"/>
        <w:spacing w:after="0" w:line="259" w:lineRule="auto"/>
        <w:rPr>
          <w:sz w:val="20"/>
          <w:szCs w:val="20"/>
          <w:color w:val="auto"/>
        </w:rPr>
      </w:pPr>
      <w:r>
        <w:rPr>
          <w:rFonts w:ascii="Times New Roman" w:cs="Times New Roman" w:eastAsia="Times New Roman" w:hAnsi="Times New Roman"/>
          <w:sz w:val="20"/>
          <w:szCs w:val="20"/>
          <w:color w:val="auto"/>
        </w:rPr>
        <w:t>These ownership limitations could have the effect of discouraging a takeover or other transaction in which holders of our common stock might receive a premium for their common stock over the then-prevailing market price or which holders might believe to be otherwise in their best interests.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Dividends payable by REITs do not qualify for the reduced tax rates available for some dividends.</w:t>
      </w:r>
    </w:p>
    <w:p>
      <w:pPr>
        <w:spacing w:after="0" w:line="227" w:lineRule="exact"/>
        <w:rPr>
          <w:sz w:val="20"/>
          <w:szCs w:val="20"/>
          <w:color w:val="auto"/>
        </w:rPr>
      </w:pPr>
    </w:p>
    <w:p>
      <w:pPr>
        <w:ind w:right="60" w:firstLine="499"/>
        <w:spacing w:after="0" w:line="243" w:lineRule="auto"/>
        <w:rPr>
          <w:sz w:val="20"/>
          <w:szCs w:val="20"/>
          <w:color w:val="auto"/>
        </w:rPr>
      </w:pPr>
      <w:r>
        <w:rPr>
          <w:rFonts w:ascii="Times New Roman" w:cs="Times New Roman" w:eastAsia="Times New Roman" w:hAnsi="Times New Roman"/>
          <w:sz w:val="20"/>
          <w:szCs w:val="20"/>
          <w:color w:val="auto"/>
        </w:rPr>
        <w:t>The maximum tax rate applicable to “qualified dividend income” payable to U.S. stockholders that are taxed at individual rates may be lower than ordinary income tax rates. Dividends payable by REITs, however, are generally not eligible for the reduced rates on qualified dividend income. Rather, ordinary REIT dividends constitute “qualified business income” and thus a 20% deduction is available to individual taxpayers with respect to such dividends. To qualify for this deduction, the U.S. stockholder receiving such dividends must hold the dividend -paying REIT stock for at least 46 days (taking into account certain special holding periods) of the 91-day period beginning 45 days before the stock becomes ex-dividend and cannot be under an obligation to make related payments with respect to a position in substantially similar or related property. The 20% deduction results in a 29.6% maximum U.S. federal income tax rate (plus the 3.8% surtax on net investment income, if applicable) for individual U.S. stockholders. The more favorable rates applicable to regular corporate qualified dividends could cause investors who are taxed at individual rates to perceive investments in REITs to be relatively less attractive than investments in the stock of non-REIT corporations that pay dividends, which could adversely affect the value of the shares of REITs, including our common stock.</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Liquidation of our assets may jeopardize our REIT qualification.</w:t>
      </w:r>
    </w:p>
    <w:p>
      <w:pPr>
        <w:spacing w:after="0" w:line="229" w:lineRule="exact"/>
        <w:rPr>
          <w:sz w:val="20"/>
          <w:szCs w:val="20"/>
          <w:color w:val="auto"/>
        </w:rPr>
      </w:pPr>
    </w:p>
    <w:p>
      <w:pPr>
        <w:jc w:val="both"/>
        <w:ind w:right="180" w:firstLine="499"/>
        <w:spacing w:after="0" w:line="252" w:lineRule="auto"/>
        <w:rPr>
          <w:sz w:val="20"/>
          <w:szCs w:val="20"/>
          <w:color w:val="auto"/>
        </w:rPr>
      </w:pPr>
      <w:r>
        <w:rPr>
          <w:rFonts w:ascii="Times New Roman" w:cs="Times New Roman" w:eastAsia="Times New Roman" w:hAnsi="Times New Roman"/>
          <w:sz w:val="20"/>
          <w:szCs w:val="20"/>
          <w:color w:val="auto"/>
        </w:rPr>
        <w:t>To maintain our qualification as a REIT, we must comply with requirements regarding the composition of our assets and our sources of income. If we are compelled to liquidate our assets to repay obligations to our lenders, we may be unable to comply with these requirements, thereby jeopardizing our qualification as a REIT, or we may be subject to a 100% tax on any resultant gain if we sell assets that are treated as inventory or property held primarily for sale to customers in the ordinary course of business.</w:t>
      </w:r>
    </w:p>
    <w:p>
      <w:pPr>
        <w:spacing w:after="0" w:line="186" w:lineRule="exact"/>
        <w:rPr>
          <w:sz w:val="20"/>
          <w:szCs w:val="20"/>
          <w:color w:val="auto"/>
        </w:rPr>
      </w:pPr>
    </w:p>
    <w:p>
      <w:pPr>
        <w:ind w:left="500" w:right="60"/>
        <w:spacing w:after="0" w:line="251" w:lineRule="auto"/>
        <w:rPr>
          <w:sz w:val="20"/>
          <w:szCs w:val="20"/>
          <w:color w:val="auto"/>
        </w:rPr>
      </w:pPr>
      <w:r>
        <w:rPr>
          <w:rFonts w:ascii="Times New Roman" w:cs="Times New Roman" w:eastAsia="Times New Roman" w:hAnsi="Times New Roman"/>
          <w:sz w:val="20"/>
          <w:szCs w:val="20"/>
          <w:i w:val="1"/>
          <w:iCs w:val="1"/>
          <w:color w:val="auto"/>
        </w:rPr>
        <w:t>Our qualification as a REIT and exemption from U.S. federal income tax with respect to certain assets may be dependent on the accuracy of legal opinions or advice rendered or given or statements by the issuers of assets that we acquire, and the inaccuracy of any such opinions, advice or statements may adversely affect our REIT qualification and result in significant corporate-level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790" w:right="720" w:bottom="0" w:gutter="0" w:footer="0" w:header="0"/>
        </w:sectPr>
      </w:pPr>
    </w:p>
    <w:bookmarkStart w:id="38" w:name="page39"/>
    <w:bookmarkEnd w:id="38"/>
    <w:p>
      <w:pPr>
        <w:ind w:right="120" w:firstLine="540"/>
        <w:spacing w:after="0" w:line="249" w:lineRule="auto"/>
        <w:rPr>
          <w:sz w:val="20"/>
          <w:szCs w:val="20"/>
          <w:color w:val="auto"/>
        </w:rPr>
      </w:pPr>
      <w:r>
        <w:rPr>
          <w:rFonts w:ascii="Times New Roman" w:cs="Times New Roman" w:eastAsia="Times New Roman" w:hAnsi="Times New Roman"/>
          <w:sz w:val="20"/>
          <w:szCs w:val="20"/>
          <w:color w:val="auto"/>
        </w:rPr>
        <w:t>When purchasing securities, we may rely on opinions or advice of counsel for the issuer of such securities, or statements made in related offering documents, for purposes of determining whether such securities represent debt or equity securities for U.S. federal income tax purposes, the value of such securities, and the extent to which those securities constitute qualified real estate assets for purposes of the REIT asset tests and produce income that qualifies under the 75% gross income test. The inaccuracy of any such opinions, advice or statements may adversely affect our REIT qualification and result in significant corporate-level tax.</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Risk Factors</w:t>
      </w:r>
    </w:p>
    <w:p>
      <w:pPr>
        <w:spacing w:after="0" w:line="234" w:lineRule="exact"/>
        <w:rPr>
          <w:sz w:val="20"/>
          <w:szCs w:val="20"/>
          <w:color w:val="auto"/>
        </w:rPr>
      </w:pPr>
    </w:p>
    <w:p>
      <w:pPr>
        <w:ind w:left="500" w:right="60"/>
        <w:spacing w:after="0" w:line="252" w:lineRule="auto"/>
        <w:rPr>
          <w:sz w:val="20"/>
          <w:szCs w:val="20"/>
          <w:color w:val="auto"/>
        </w:rPr>
      </w:pPr>
      <w:r>
        <w:rPr>
          <w:rFonts w:ascii="Times New Roman" w:cs="Times New Roman" w:eastAsia="Times New Roman" w:hAnsi="Times New Roman"/>
          <w:sz w:val="20"/>
          <w:szCs w:val="20"/>
          <w:i w:val="1"/>
          <w:iCs w:val="1"/>
          <w:color w:val="auto"/>
        </w:rPr>
        <w:t>The occurrence of cyber-incidents, or a deficiency in our cybersecurity or in those of any of our third party service providers could negatively impact our business by causing a disruption to our operations, a compromise or corruption of our confidential information or damage to our business relationships or reputation, all of which could negatively impact our business and results of operations.</w:t>
      </w:r>
    </w:p>
    <w:p>
      <w:pPr>
        <w:spacing w:after="0" w:line="184" w:lineRule="exact"/>
        <w:rPr>
          <w:sz w:val="20"/>
          <w:szCs w:val="20"/>
          <w:color w:val="auto"/>
        </w:rPr>
      </w:pPr>
    </w:p>
    <w:p>
      <w:pPr>
        <w:ind w:right="20" w:firstLine="500"/>
        <w:spacing w:after="0" w:line="245" w:lineRule="auto"/>
        <w:rPr>
          <w:sz w:val="20"/>
          <w:szCs w:val="20"/>
          <w:color w:val="auto"/>
        </w:rPr>
      </w:pPr>
      <w:r>
        <w:rPr>
          <w:rFonts w:ascii="Times New Roman" w:cs="Times New Roman" w:eastAsia="Times New Roman" w:hAnsi="Times New Roman"/>
          <w:sz w:val="20"/>
          <w:szCs w:val="20"/>
          <w:color w:val="auto"/>
        </w:rPr>
        <w:t>A cyber-incident is considered to be any adverse event that threatens the confidentiality, integrity, or availability of our information resources or the information resources of our third party service providers. More specifically, a cyber-incident is an intentional attack or an unintentional event that can include gaining unauthorized access to systems to disrupt operations, corrupt data, or steal confidential information. As our reliance on technology has increased, so have the risks posed to our systems, both internal and those we have outsourced. The primary risks that could directly result from the occurrence of a cyber-incident include operational interruption and private data exposure. We have implemented processes, procedures and controls to help mitigate these risks, but these measures, as well as our focus on mitigating the risk of a cyber-incident, do not guarantee that our business and results of operations will not be negatively impacted by such an incident.</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We face possible risks associated with the effects of climate change and severe weather.</w:t>
      </w:r>
    </w:p>
    <w:p>
      <w:pPr>
        <w:spacing w:after="0" w:line="229" w:lineRule="exact"/>
        <w:rPr>
          <w:sz w:val="20"/>
          <w:szCs w:val="20"/>
          <w:color w:val="auto"/>
        </w:rPr>
      </w:pPr>
    </w:p>
    <w:p>
      <w:pPr>
        <w:ind w:right="40" w:firstLine="499"/>
        <w:spacing w:after="0" w:line="247" w:lineRule="auto"/>
        <w:rPr>
          <w:sz w:val="20"/>
          <w:szCs w:val="20"/>
          <w:color w:val="auto"/>
        </w:rPr>
      </w:pPr>
      <w:r>
        <w:rPr>
          <w:rFonts w:ascii="Times New Roman" w:cs="Times New Roman" w:eastAsia="Times New Roman" w:hAnsi="Times New Roman"/>
          <w:sz w:val="20"/>
          <w:szCs w:val="20"/>
          <w:color w:val="auto"/>
        </w:rPr>
        <w:t>We cannot predict the rate at which climate change will progress. However, the physical effects of climate change could have a material adverse effect on our operations and business. Our headquarters and our Manager are located very close to the Florida coastline. Our headquarters and our Manager have experienced and may in the future experience severe weather, including hurricanes and coastal flooding due to increases in storm intensity and rising sea levels. Such weather events could disrupt our operations or damage our headquarters. There can be no assurance that climate change and severe weather will not have a material adverse effect on our operations or business.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If we issue debt securities, our operations may be restricted and we will be exposed to additional risk.</w:t>
      </w:r>
    </w:p>
    <w:p>
      <w:pPr>
        <w:spacing w:after="0" w:line="229" w:lineRule="exact"/>
        <w:rPr>
          <w:sz w:val="20"/>
          <w:szCs w:val="20"/>
          <w:color w:val="auto"/>
        </w:rPr>
      </w:pPr>
    </w:p>
    <w:p>
      <w:pPr>
        <w:ind w:right="60" w:firstLine="499"/>
        <w:spacing w:after="0" w:line="245" w:lineRule="auto"/>
        <w:rPr>
          <w:sz w:val="20"/>
          <w:szCs w:val="20"/>
          <w:color w:val="auto"/>
        </w:rPr>
      </w:pPr>
      <w:r>
        <w:rPr>
          <w:rFonts w:ascii="Times New Roman" w:cs="Times New Roman" w:eastAsia="Times New Roman" w:hAnsi="Times New Roman"/>
          <w:sz w:val="20"/>
          <w:szCs w:val="20"/>
          <w:color w:val="auto"/>
        </w:rPr>
        <w:t>If we decide to issue debt securities in the future, it is likely that such securities will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We, and indirectly our stockholders, will bear the cost of issuing and servicing such securities. Holders of debt securities may be granted specific rights, including but not limited to, the right to hold a perfected security interest in certain of our assets, the right to accelerate payments due under the indenture, rights to restrict dividend payments, and rights to approve the sale of assets. Such additional restrictive covenants and operating restrictions could have a material adverse effect on our business, financial condition and results of operations and our ability to pay distributions to our stockholders.</w:t>
      </w:r>
    </w:p>
    <w:p>
      <w:pPr>
        <w:spacing w:after="0" w:line="193" w:lineRule="exact"/>
        <w:rPr>
          <w:sz w:val="20"/>
          <w:szCs w:val="20"/>
          <w:color w:val="auto"/>
        </w:rPr>
      </w:pPr>
    </w:p>
    <w:p>
      <w:pPr>
        <w:ind w:left="500" w:right="180"/>
        <w:spacing w:after="0" w:line="257" w:lineRule="auto"/>
        <w:rPr>
          <w:sz w:val="20"/>
          <w:szCs w:val="20"/>
          <w:color w:val="auto"/>
        </w:rPr>
      </w:pPr>
      <w:r>
        <w:rPr>
          <w:rFonts w:ascii="Times New Roman" w:cs="Times New Roman" w:eastAsia="Times New Roman" w:hAnsi="Times New Roman"/>
          <w:sz w:val="20"/>
          <w:szCs w:val="20"/>
          <w:i w:val="1"/>
          <w:iCs w:val="1"/>
          <w:color w:val="auto"/>
        </w:rPr>
        <w:t>Future offerings of debt securities, which would be senior to our common stock upon liquidation, or equity securities, which would dilute our existing stockholders and may be senior to our common stock for the purposes of distributions, may harm the value of our common stock.</w:t>
      </w:r>
    </w:p>
    <w:p>
      <w:pPr>
        <w:spacing w:after="0" w:line="181"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20"/>
          <w:szCs w:val="20"/>
          <w:color w:val="auto"/>
        </w:rPr>
        <w:t>In the future, we may attempt to increase our capital resources by making additional offerings of debt or equity securities, including commercial paper, medium-term notes, senior or subordinated notes and classes of preferred stock or common stock, as well as warrants to purchase shares of common stock or convertible preferred stock or units consisting of any combination of the foregoing securities. Upon the liquidation of the Company, holders of our debt securities and shares of preferred stock and lenders with respect to other borrowings will receive a distribution of our available assets prior to the holders of our common stock. Additional equity offerings by us may dilute the holdings of our existing stockholders or reduce the market value of our common stock, or both. Our preferred stock, if issued, would have a preference on distributions that could limit our ability to make distributions to the holders of our common stock. Furthermore, our Board of Directors may, without stockholder approval, amend our charter to increase the aggregate number of shares or the number of shares of any class or series that we have the authority to issue, and to classify or reclassify any unissued shares of common stock or preferred stock. Because our decision to issue securities in any future offering will depend on market conditions and other factors beyond our control, we cannot predict or estimate the amount, timing or nature of our future securities offerings. Our stockholders are therefore subject to the risk of our future securities offerings reducing the market price of our common stock and diluting their common stock.</w:t>
      </w:r>
    </w:p>
    <w:p>
      <w:pPr>
        <w:sectPr>
          <w:pgSz w:w="12240" w:h="15840" w:orient="portrait"/>
          <w:cols w:equalWidth="0" w:num="1">
            <w:col w:w="10800"/>
          </w:cols>
          <w:pgMar w:left="72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557" w:right="720" w:bottom="0" w:gutter="0" w:footer="0" w:header="0"/>
          <w:type w:val="continuous"/>
        </w:sectPr>
      </w:pPr>
    </w:p>
    <w:bookmarkStart w:id="39" w:name="page40"/>
    <w:bookmarkEnd w:id="39"/>
    <w:p>
      <w:pPr>
        <w:ind w:left="520" w:right="520"/>
        <w:spacing w:after="0" w:line="272" w:lineRule="auto"/>
        <w:rPr>
          <w:sz w:val="20"/>
          <w:szCs w:val="20"/>
          <w:color w:val="auto"/>
        </w:rPr>
      </w:pPr>
      <w:r>
        <w:rPr>
          <w:rFonts w:ascii="Times New Roman" w:cs="Times New Roman" w:eastAsia="Times New Roman" w:hAnsi="Times New Roman"/>
          <w:sz w:val="20"/>
          <w:szCs w:val="20"/>
          <w:i w:val="1"/>
          <w:iCs w:val="1"/>
          <w:color w:val="auto"/>
        </w:rPr>
        <w:t>We cannot predict the effect that government policies, laws and plans adopted in response to geopolitical events, a global pandemic, or the global recessionary economic conditions will have on us.</w:t>
      </w:r>
    </w:p>
    <w:p>
      <w:pPr>
        <w:spacing w:after="0" w:line="166" w:lineRule="exact"/>
        <w:rPr>
          <w:sz w:val="20"/>
          <w:szCs w:val="20"/>
          <w:color w:val="auto"/>
        </w:rPr>
      </w:pPr>
    </w:p>
    <w:p>
      <w:pPr>
        <w:ind w:left="20" w:firstLine="499"/>
        <w:spacing w:after="0" w:line="252" w:lineRule="auto"/>
        <w:rPr>
          <w:sz w:val="20"/>
          <w:szCs w:val="20"/>
          <w:color w:val="auto"/>
        </w:rPr>
      </w:pPr>
      <w:r>
        <w:rPr>
          <w:rFonts w:ascii="Times New Roman" w:cs="Times New Roman" w:eastAsia="Times New Roman" w:hAnsi="Times New Roman"/>
          <w:sz w:val="20"/>
          <w:szCs w:val="20"/>
          <w:color w:val="auto"/>
        </w:rPr>
        <w:t>Governments have adopted, and may continue to adopt, policies, laws and plans intended to address geopolitical events such as war, including the current conflicts in Ukraine and Israel, terrorism, civil unrest, political instability, environmental or climatic factors, natural disasters, pandemic or epidemic outbreaks, public health crises and general economic conditions. We cannot assure you that these programs will be effective, sufficient or will otherwise have a positive impact on our business.</w:t>
      </w:r>
    </w:p>
    <w:p>
      <w:pPr>
        <w:spacing w:after="0" w:line="184" w:lineRule="exact"/>
        <w:rPr>
          <w:sz w:val="20"/>
          <w:szCs w:val="20"/>
          <w:color w:val="auto"/>
        </w:rPr>
      </w:pPr>
    </w:p>
    <w:p>
      <w:pPr>
        <w:ind w:left="20" w:right="40" w:firstLine="499"/>
        <w:spacing w:after="0" w:line="270" w:lineRule="auto"/>
        <w:rPr>
          <w:sz w:val="20"/>
          <w:szCs w:val="20"/>
          <w:color w:val="auto"/>
        </w:rPr>
      </w:pPr>
      <w:r>
        <w:rPr>
          <w:rFonts w:ascii="Times New Roman" w:cs="Times New Roman" w:eastAsia="Times New Roman" w:hAnsi="Times New Roman"/>
          <w:sz w:val="19"/>
          <w:szCs w:val="19"/>
          <w:color w:val="auto"/>
        </w:rPr>
        <w:t>There can be no assurance as to how, in the long term, these and other actions by the U.S. government will affect the efficiency, liquidity and stability of the financial and mortgage markets or prepayments on Agency RMBS. To the extent the financial or mortgage markets do not respond favorably to any of these actions, such actions do not function as intended, or prepayments increase materially as a result of these actions, our business, results of operations and financial condition may be materially adversely affected.</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3" w:lineRule="exact"/>
        <w:rPr>
          <w:sz w:val="20"/>
          <w:szCs w:val="20"/>
          <w:color w:val="auto"/>
        </w:rPr>
      </w:pPr>
    </w:p>
    <w:p>
      <w:pPr>
        <w:ind w:left="20" w:right="160" w:firstLine="499"/>
        <w:spacing w:after="0" w:line="249" w:lineRule="auto"/>
        <w:rPr>
          <w:sz w:val="20"/>
          <w:szCs w:val="20"/>
          <w:color w:val="auto"/>
        </w:rPr>
      </w:pPr>
      <w:r>
        <w:rPr>
          <w:rFonts w:ascii="Times New Roman" w:cs="Times New Roman" w:eastAsia="Times New Roman" w:hAnsi="Times New Roman"/>
          <w:sz w:val="20"/>
          <w:szCs w:val="20"/>
          <w:color w:val="auto"/>
        </w:rPr>
        <w:t>The Company has no employees and is externally managed by our Manager, which is a wholly owned subsidiary of Bimini. Pursuant to the terms of the Management Agreement, our Manager manages, operates and administers our day-to-day operations, business and affairs, subject to the direction and supervision of the Board. The Board plays an active role in overseeing management of our risks, and cybersecurity represents an important component of the Company’s overall approach to risk management and oversight.</w:t>
      </w:r>
    </w:p>
    <w:p>
      <w:pPr>
        <w:spacing w:after="0" w:line="187" w:lineRule="exact"/>
        <w:rPr>
          <w:sz w:val="20"/>
          <w:szCs w:val="20"/>
          <w:color w:val="auto"/>
        </w:rPr>
      </w:pPr>
    </w:p>
    <w:p>
      <w:pPr>
        <w:ind w:left="20" w:right="20" w:firstLine="499"/>
        <w:spacing w:after="0" w:line="252" w:lineRule="auto"/>
        <w:rPr>
          <w:sz w:val="20"/>
          <w:szCs w:val="20"/>
          <w:color w:val="auto"/>
        </w:rPr>
      </w:pPr>
      <w:r>
        <w:rPr>
          <w:rFonts w:ascii="Times New Roman" w:cs="Times New Roman" w:eastAsia="Times New Roman" w:hAnsi="Times New Roman"/>
          <w:sz w:val="20"/>
          <w:szCs w:val="20"/>
          <w:color w:val="auto"/>
        </w:rPr>
        <w:t>As an externally managed company, the Company relies on our Manager’s information systems in connection with the Company’s day-to-day operations. Consequently, the Company also relies on our Manager’s processes for assessing, identifying, and managing material risks from cybersecurity threats undertaken by our Manager. All of the Company’s executive officers are executive officers, directors and employees of Bimini.</w:t>
      </w:r>
    </w:p>
    <w:p>
      <w:pPr>
        <w:spacing w:after="0" w:line="186" w:lineRule="exact"/>
        <w:rPr>
          <w:sz w:val="20"/>
          <w:szCs w:val="20"/>
          <w:color w:val="auto"/>
        </w:rPr>
      </w:pPr>
    </w:p>
    <w:p>
      <w:pPr>
        <w:ind w:left="20" w:right="160" w:firstLine="499"/>
        <w:spacing w:after="0" w:line="247" w:lineRule="auto"/>
        <w:rPr>
          <w:sz w:val="20"/>
          <w:szCs w:val="20"/>
          <w:color w:val="auto"/>
        </w:rPr>
      </w:pPr>
      <w:r>
        <w:rPr>
          <w:rFonts w:ascii="Times New Roman" w:cs="Times New Roman" w:eastAsia="Times New Roman" w:hAnsi="Times New Roman"/>
          <w:sz w:val="20"/>
          <w:szCs w:val="20"/>
          <w:color w:val="auto"/>
        </w:rPr>
        <w:t>Our Manager’s cybersecurity processes and practices are integrated into the Company’s risk management and oversight program. In general, the Company seeks to address cybersecurity risks through a comprehensive, cross-functional approach that is focused on preserving the confidentiality, security and availability of the information that the Company collects and stores by identifying, preventing and mitigating cybersecurity threats and effectively responding to cybersecurity incidents when they occur. The Company has adopted a cybersecurity incident response plan to enable rapid response, curtail further security breaches, mitigate and manage costs, and facilitate timely disclosure of material cyber incidents as required by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35" w:lineRule="exact"/>
        <w:rPr>
          <w:sz w:val="20"/>
          <w:szCs w:val="20"/>
          <w:color w:val="auto"/>
        </w:rPr>
      </w:pPr>
    </w:p>
    <w:p>
      <w:pPr>
        <w:ind w:left="20" w:firstLine="499"/>
        <w:spacing w:after="0" w:line="247" w:lineRule="auto"/>
        <w:rPr>
          <w:sz w:val="20"/>
          <w:szCs w:val="20"/>
          <w:color w:val="auto"/>
        </w:rPr>
      </w:pPr>
      <w:r>
        <w:rPr>
          <w:rFonts w:ascii="Times New Roman" w:cs="Times New Roman" w:eastAsia="Times New Roman" w:hAnsi="Times New Roman"/>
          <w:sz w:val="20"/>
          <w:szCs w:val="20"/>
          <w:color w:val="auto"/>
        </w:rPr>
        <w:t>The Company, our Manager and our Board place a high priority on maintaining security over our financial information that can be accessed via the Internet and mitigating information security risks. The Company engages a third-party security firm to provide threat detection and reports, conduct annual testing of our Manager’s systems, train the Manager’s employees and generally advise on cybersecurity processes. At least annually, our Manager has its information technology team and its third-party security firm make a formal presentation to our Audit Committee and the Board to keep them apprised of the level of cybersecurity that exists to protect our financial information, training of the Company’s officers and the Manager’s employees, and the latest threats that have emerged.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00" w:top="790" w:right="740" w:bottom="0" w:gutter="0" w:footer="0" w:header="0"/>
        </w:sectPr>
      </w:pPr>
    </w:p>
    <w:bookmarkStart w:id="40" w:name="page41"/>
    <w:bookmarkEnd w:id="40"/>
    <w:p>
      <w:pPr>
        <w:ind w:left="500"/>
        <w:spacing w:after="0"/>
        <w:rPr>
          <w:sz w:val="20"/>
          <w:szCs w:val="20"/>
          <w:color w:val="auto"/>
        </w:rPr>
      </w:pPr>
      <w:r>
        <w:rPr>
          <w:rFonts w:ascii="Times New Roman" w:cs="Times New Roman" w:eastAsia="Times New Roman" w:hAnsi="Times New Roman"/>
          <w:sz w:val="20"/>
          <w:szCs w:val="20"/>
          <w:color w:val="auto"/>
        </w:rPr>
        <w:t>The Company’s cybersecurity program is focused on the following key areas:</w:t>
      </w:r>
    </w:p>
    <w:p>
      <w:pPr>
        <w:spacing w:after="0" w:line="233" w:lineRule="exact"/>
        <w:rPr>
          <w:sz w:val="20"/>
          <w:szCs w:val="20"/>
          <w:color w:val="auto"/>
        </w:rPr>
      </w:pPr>
    </w:p>
    <w:p>
      <w:pPr>
        <w:ind w:left="1180" w:right="140" w:hanging="369"/>
        <w:spacing w:after="0" w:line="258" w:lineRule="auto"/>
        <w:tabs>
          <w:tab w:leader="none" w:pos="11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Governance</w:t>
      </w:r>
      <w:r>
        <w:rPr>
          <w:rFonts w:ascii="Times New Roman" w:cs="Times New Roman" w:eastAsia="Times New Roman" w:hAnsi="Times New Roman"/>
          <w:sz w:val="20"/>
          <w:szCs w:val="20"/>
          <w:color w:val="auto"/>
        </w:rPr>
        <w:t>: As discussed in more detail under “Item 1C. Cybersecurity—Governance,” the Audit Committee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Board oversee cybersecurity risk management by regularly interacting with the Company’s management team, our Manager’s information technology team and a third-party security firm.</w:t>
      </w:r>
    </w:p>
    <w:p>
      <w:pPr>
        <w:spacing w:after="0" w:line="189" w:lineRule="exact"/>
        <w:rPr>
          <w:rFonts w:ascii="Times New Roman" w:cs="Times New Roman" w:eastAsia="Times New Roman" w:hAnsi="Times New Roman"/>
          <w:sz w:val="20"/>
          <w:szCs w:val="20"/>
          <w:color w:val="auto"/>
        </w:rPr>
      </w:pPr>
    </w:p>
    <w:p>
      <w:pPr>
        <w:ind w:left="1180" w:right="20" w:hanging="369"/>
        <w:spacing w:after="0" w:line="251" w:lineRule="auto"/>
        <w:tabs>
          <w:tab w:leader="none" w:pos="11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Collaborative Approach</w:t>
      </w:r>
      <w:r>
        <w:rPr>
          <w:rFonts w:ascii="Times New Roman" w:cs="Times New Roman" w:eastAsia="Times New Roman" w:hAnsi="Times New Roman"/>
          <w:sz w:val="20"/>
          <w:szCs w:val="20"/>
          <w:color w:val="auto"/>
        </w:rPr>
        <w:t>: The Company has implemented a comprehensive, cross-functional approach to identifying,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97" w:lineRule="exact"/>
        <w:rPr>
          <w:rFonts w:ascii="Times New Roman" w:cs="Times New Roman" w:eastAsia="Times New Roman" w:hAnsi="Times New Roman"/>
          <w:sz w:val="20"/>
          <w:szCs w:val="20"/>
          <w:color w:val="auto"/>
        </w:rPr>
      </w:pPr>
    </w:p>
    <w:p>
      <w:pPr>
        <w:ind w:left="1180" w:right="160" w:hanging="369"/>
        <w:spacing w:after="0" w:line="249" w:lineRule="auto"/>
        <w:tabs>
          <w:tab w:leader="none" w:pos="11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Technical Safeguards</w:t>
      </w:r>
      <w:r>
        <w:rPr>
          <w:rFonts w:ascii="Times New Roman" w:cs="Times New Roman" w:eastAsia="Times New Roman" w:hAnsi="Times New Roman"/>
          <w:sz w:val="20"/>
          <w:szCs w:val="20"/>
          <w:color w:val="auto"/>
        </w:rPr>
        <w:t>: The Company deploys technical safeguards that are designed to protect information systems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cybersecurity threats, including firewalls, intrusion prevention and detection systems, redundant data storage and retention methods, anti-malware functionality and access controls, which are evaluated and improved through vulnerability and exposure assessments and cybersecurity threat intelligence. With the help of the third-party security firm, the Company has implemented several layers of physical security, digital security and data backup.</w:t>
      </w:r>
    </w:p>
    <w:p>
      <w:pPr>
        <w:spacing w:after="0" w:line="196" w:lineRule="exact"/>
        <w:rPr>
          <w:rFonts w:ascii="Times New Roman" w:cs="Times New Roman" w:eastAsia="Times New Roman" w:hAnsi="Times New Roman"/>
          <w:sz w:val="20"/>
          <w:szCs w:val="20"/>
          <w:color w:val="auto"/>
        </w:rPr>
      </w:pPr>
    </w:p>
    <w:p>
      <w:pPr>
        <w:ind w:left="1180" w:hanging="369"/>
        <w:spacing w:after="0" w:line="258" w:lineRule="auto"/>
        <w:tabs>
          <w:tab w:leader="none" w:pos="11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Incident Response and Recovery Planning</w:t>
      </w:r>
      <w:r>
        <w:rPr>
          <w:rFonts w:ascii="Times New Roman" w:cs="Times New Roman" w:eastAsia="Times New Roman" w:hAnsi="Times New Roman"/>
          <w:sz w:val="20"/>
          <w:szCs w:val="20"/>
          <w:color w:val="auto"/>
        </w:rPr>
        <w:t>: The Company has established a comprehensive incident response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recovery plan that addresses the response to a cybersecurity incident and plans to test and evaluate that plan on a regular basis.</w:t>
      </w:r>
    </w:p>
    <w:p>
      <w:pPr>
        <w:spacing w:after="0" w:line="189" w:lineRule="exact"/>
        <w:rPr>
          <w:rFonts w:ascii="Times New Roman" w:cs="Times New Roman" w:eastAsia="Times New Roman" w:hAnsi="Times New Roman"/>
          <w:sz w:val="20"/>
          <w:szCs w:val="20"/>
          <w:color w:val="auto"/>
        </w:rPr>
      </w:pPr>
    </w:p>
    <w:p>
      <w:pPr>
        <w:ind w:left="1180" w:right="240" w:hanging="369"/>
        <w:spacing w:after="0" w:line="251" w:lineRule="auto"/>
        <w:tabs>
          <w:tab w:leader="none" w:pos="11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Third-Party Risk Management: </w:t>
      </w:r>
      <w:r>
        <w:rPr>
          <w:rFonts w:ascii="Times New Roman" w:cs="Times New Roman" w:eastAsia="Times New Roman" w:hAnsi="Times New Roman"/>
          <w:sz w:val="20"/>
          <w:szCs w:val="20"/>
          <w:color w:val="auto"/>
        </w:rPr>
        <w:t>The Company maintains a comprehensive, risk-based approach to identifying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overseeing cybersecurity risks presented by third parties, including counterparties, service providers or other external users of our Manager’s systems, as well as the systems of third parties that could adversely impact the Company’s business in the event of a cybersecurity incident affecting those third-party systems.</w:t>
      </w:r>
    </w:p>
    <w:p>
      <w:pPr>
        <w:spacing w:after="0" w:line="197" w:lineRule="exact"/>
        <w:rPr>
          <w:rFonts w:ascii="Times New Roman" w:cs="Times New Roman" w:eastAsia="Times New Roman" w:hAnsi="Times New Roman"/>
          <w:sz w:val="20"/>
          <w:szCs w:val="20"/>
          <w:color w:val="auto"/>
        </w:rPr>
      </w:pPr>
    </w:p>
    <w:p>
      <w:pPr>
        <w:ind w:left="1180" w:right="240" w:hanging="369"/>
        <w:spacing w:after="0" w:line="246" w:lineRule="auto"/>
        <w:tabs>
          <w:tab w:leader="none" w:pos="11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Education and Awareness</w:t>
      </w:r>
      <w:r>
        <w:rPr>
          <w:rFonts w:ascii="Times New Roman" w:cs="Times New Roman" w:eastAsia="Times New Roman" w:hAnsi="Times New Roman"/>
          <w:sz w:val="20"/>
          <w:szCs w:val="20"/>
          <w:color w:val="auto"/>
        </w:rPr>
        <w:t>: A third-party security firm provides training to our Manager’s employees, helping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Manager’s information technology team to maintain a state-of-the-art cybersecurity system and stay up to date on the latest threats and counter measures available. The third-party security firm places a high priority on employee threat education through automated internal phishing tests. Our Manager’s information technology team attends continuing education seminars and receives timely alerts to any new viruses or cyber threats as they occur as a means to equip personnel with effective tools to address cybersecurity threats, and to communicate evolving information security policies, standards, processes and practices.</w:t>
      </w:r>
    </w:p>
    <w:p>
      <w:pPr>
        <w:spacing w:after="0" w:line="196" w:lineRule="exact"/>
        <w:rPr>
          <w:sz w:val="20"/>
          <w:szCs w:val="20"/>
          <w:color w:val="auto"/>
        </w:rPr>
      </w:pPr>
    </w:p>
    <w:p>
      <w:pPr>
        <w:ind w:firstLine="540"/>
        <w:spacing w:after="0" w:line="244" w:lineRule="auto"/>
        <w:rPr>
          <w:sz w:val="20"/>
          <w:szCs w:val="20"/>
          <w:color w:val="auto"/>
        </w:rPr>
      </w:pPr>
      <w:r>
        <w:rPr>
          <w:rFonts w:ascii="Times New Roman" w:cs="Times New Roman" w:eastAsia="Times New Roman" w:hAnsi="Times New Roman"/>
          <w:sz w:val="20"/>
          <w:szCs w:val="20"/>
          <w:color w:val="auto"/>
        </w:rPr>
        <w:t>Cybersecurity threats, including as a result of any previous cybersecurity incidents, have not materially affected and are not reasonably likely to affect the Company, including its business strategy, results of operations or financial condition. The Company is not aware of any material security breach to date. Accordingly, the Company has not incurred any expenses over the last three years on information security breaches. However, the Company faces certain ongoing risks from cybersecurity that, if realized, could materially affect the Company. See “Item 1A. Risk Factors - The occurrence of cyber-incidents, or a deficiency in our cybersecurity or in those of any of our third party service providers could negatively impact our business by causing a disruption to our operations, a compromise or corruption of our confidential information or damage to our business relationships or reputation, all of which could negatively impact our business and results of operations.” There can be no assurance that the Company's cybersecurity risk management program and processes, including its policies, controls or procedures, will be fully implemented, complied with or effective in protecting its systems and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33"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The Company believes oversight of cybersecurity risk is the responsibility of the Audit Committee and the full Board. Accordingly, the Audit Committee and the Board oversee the Company’s cybersecurity risk management process. The Board considers the Company’s cybersecurity posture and risk exposure with management taking into consideration the Company’s operations and the types of data retained on its systems as part of its and the Audit Committee’s periodic review of the Company’s risk management. The Company’s primary business involves investments in Agency RMBS, which are securities backed primarily by single-family residential mortgage loans. The Company does not receive personal information on individual mortgage borrowers. The Board reviews the Company’s cybersecurity program and risk exposure with management on at least an annual basis and receives reports from management, the Manager’s information technology team, and the Company’s third-party security firm on these matters from time to time. The Board may also conduct additional cybersecurity reviews or receive additional updates or reports as it deems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788" w:right="720" w:bottom="0" w:gutter="0" w:footer="0" w:header="0"/>
        </w:sectPr>
      </w:pPr>
    </w:p>
    <w:bookmarkStart w:id="41" w:name="page42"/>
    <w:bookmarkEnd w:id="41"/>
    <w:p>
      <w:pPr>
        <w:ind w:firstLine="499"/>
        <w:spacing w:after="0" w:line="246" w:lineRule="auto"/>
        <w:rPr>
          <w:sz w:val="20"/>
          <w:szCs w:val="20"/>
          <w:color w:val="auto"/>
        </w:rPr>
      </w:pPr>
      <w:r>
        <w:rPr>
          <w:rFonts w:ascii="Times New Roman" w:cs="Times New Roman" w:eastAsia="Times New Roman" w:hAnsi="Times New Roman"/>
          <w:sz w:val="20"/>
          <w:szCs w:val="20"/>
          <w:color w:val="auto"/>
        </w:rPr>
        <w:t>As noted above, the Company relies on its Manager’s information systems in connection with the Company’s day-to-day operations. Consequently, the Company also relies on the processes for assessing, identifying, and managing material risks from cybersecurity threats undertaken by its Manager. Messrs. Cauley and Haas work collaboratively to implement a program designed to protect our Manager’s information systems from cybersecurity threats and to promptly respond to any cybersecurity incidents in accordance with the Company’s incident response and recovery plan. These members of the Company’s management team monitor the prevention, detection, mitigation and remediation of cybersecurity threats and incidents and report such threats and incidents to the Board when appropriate.</w:t>
      </w:r>
    </w:p>
    <w:p>
      <w:pPr>
        <w:spacing w:after="0" w:line="189" w:lineRule="exact"/>
        <w:rPr>
          <w:sz w:val="20"/>
          <w:szCs w:val="20"/>
          <w:color w:val="auto"/>
        </w:rPr>
      </w:pPr>
    </w:p>
    <w:p>
      <w:pPr>
        <w:ind w:right="540" w:firstLine="499"/>
        <w:spacing w:after="0" w:line="259" w:lineRule="auto"/>
        <w:rPr>
          <w:sz w:val="20"/>
          <w:szCs w:val="20"/>
          <w:color w:val="auto"/>
        </w:rPr>
      </w:pPr>
      <w:r>
        <w:rPr>
          <w:rFonts w:ascii="Times New Roman" w:cs="Times New Roman" w:eastAsia="Times New Roman" w:hAnsi="Times New Roman"/>
          <w:sz w:val="20"/>
          <w:szCs w:val="20"/>
          <w:color w:val="auto"/>
        </w:rPr>
        <w:t>Messrs. Cauley and Haas each hold undergraduate and graduate degrees in their respective fields, and each have over twenty years of experience managing risks at the Company and at similar companies, including risks arising from cybersecurity threats.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3" w:lineRule="exact"/>
        <w:rPr>
          <w:sz w:val="20"/>
          <w:szCs w:val="20"/>
          <w:color w:val="auto"/>
        </w:rPr>
      </w:pPr>
    </w:p>
    <w:p>
      <w:pPr>
        <w:ind w:right="240" w:firstLine="499"/>
        <w:spacing w:after="0" w:line="259" w:lineRule="auto"/>
        <w:rPr>
          <w:sz w:val="20"/>
          <w:szCs w:val="20"/>
          <w:color w:val="auto"/>
        </w:rPr>
      </w:pPr>
      <w:r>
        <w:rPr>
          <w:rFonts w:ascii="Times New Roman" w:cs="Times New Roman" w:eastAsia="Times New Roman" w:hAnsi="Times New Roman"/>
          <w:sz w:val="20"/>
          <w:szCs w:val="20"/>
          <w:color w:val="auto"/>
        </w:rPr>
        <w:t>We do not own any real property. Our offices are owned by Bimini, the parent of our Manager, and are located at 3305 Flamingo Drive, Vero Beach, Florida 32963. We consider this property to be adequate for our business as currently conducted. Our telephone number is (772) 231-1400.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are not party to any material pending legal proceedings as described in Item 103 of Regulation 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760"/>
          </w:cols>
          <w:pgMar w:left="720" w:top="788" w:right="760" w:bottom="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ind w:left="900" w:right="260" w:hanging="899"/>
        <w:spacing w:after="0" w:line="28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and Holders</w:t>
      </w:r>
    </w:p>
    <w:p>
      <w:pPr>
        <w:spacing w:after="0" w:line="235" w:lineRule="exact"/>
        <w:rPr>
          <w:sz w:val="20"/>
          <w:szCs w:val="20"/>
          <w:color w:val="auto"/>
        </w:rPr>
      </w:pPr>
    </w:p>
    <w:p>
      <w:pPr>
        <w:jc w:val="both"/>
        <w:ind w:right="440" w:firstLine="499"/>
        <w:spacing w:after="0" w:line="257" w:lineRule="auto"/>
        <w:rPr>
          <w:sz w:val="20"/>
          <w:szCs w:val="20"/>
          <w:color w:val="auto"/>
        </w:rPr>
      </w:pPr>
      <w:r>
        <w:rPr>
          <w:rFonts w:ascii="Times New Roman" w:cs="Times New Roman" w:eastAsia="Times New Roman" w:hAnsi="Times New Roman"/>
          <w:sz w:val="20"/>
          <w:szCs w:val="20"/>
          <w:color w:val="auto"/>
        </w:rPr>
        <w:t>Our common stock trades on the NYSE under the symbol “ORC.” As of February 19, 2026, we had 190,693,392 shares of common stock issued and outstanding which were held by 12 stockholders of record and approximately 90,000 beneficial owners whose shares were held in “street name” by brokers and depository institutions.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Distribution Policy</w:t>
      </w:r>
    </w:p>
    <w:p>
      <w:pPr>
        <w:spacing w:after="0" w:line="235" w:lineRule="exact"/>
        <w:rPr>
          <w:sz w:val="20"/>
          <w:szCs w:val="20"/>
          <w:color w:val="auto"/>
        </w:rPr>
      </w:pPr>
    </w:p>
    <w:p>
      <w:pPr>
        <w:ind w:right="60" w:firstLine="499"/>
        <w:spacing w:after="0" w:line="247" w:lineRule="auto"/>
        <w:rPr>
          <w:sz w:val="20"/>
          <w:szCs w:val="20"/>
          <w:color w:val="auto"/>
        </w:rPr>
      </w:pPr>
      <w:r>
        <w:rPr>
          <w:rFonts w:ascii="Times New Roman" w:cs="Times New Roman" w:eastAsia="Times New Roman" w:hAnsi="Times New Roman"/>
          <w:sz w:val="20"/>
          <w:szCs w:val="20"/>
          <w:color w:val="auto"/>
        </w:rPr>
        <w:t>We intend to continue to make regular monthly cash distributions to our stockholders, as more fully described below. To maintain our qualification as a REIT, we must distribute annually to our stockholders an amount at least equal to 90% of our REIT taxable income, determined without regard to the deductions for dividends paid and excluding any net capital gain. We will be subject to income tax on our taxable income that is not distributed and to an excise tax to the extent that certain percentages of our taxable income are not distributed by specified dates. Income as computed for purposes of the foregoing tax rules will not necessarily correspond to our income as determined for financial reporting purposes pursuant to GAAP.</w:t>
      </w:r>
    </w:p>
    <w:p>
      <w:pPr>
        <w:spacing w:after="0" w:line="188" w:lineRule="exact"/>
        <w:rPr>
          <w:sz w:val="20"/>
          <w:szCs w:val="20"/>
          <w:color w:val="auto"/>
        </w:rPr>
      </w:pPr>
    </w:p>
    <w:p>
      <w:pPr>
        <w:ind w:right="100" w:firstLine="499"/>
        <w:spacing w:after="0" w:line="277" w:lineRule="auto"/>
        <w:rPr>
          <w:sz w:val="20"/>
          <w:szCs w:val="20"/>
          <w:color w:val="auto"/>
        </w:rPr>
      </w:pPr>
      <w:r>
        <w:rPr>
          <w:rFonts w:ascii="Times New Roman" w:cs="Times New Roman" w:eastAsia="Times New Roman" w:hAnsi="Times New Roman"/>
          <w:sz w:val="20"/>
          <w:szCs w:val="20"/>
          <w:color w:val="auto"/>
        </w:rPr>
        <w:t>Any additional distributions we make will be authorized by and at the discretion of our Board of Directors based upon a variety of factors deemed relevant by our directors, which may include:</w:t>
      </w:r>
    </w:p>
    <w:p>
      <w:pPr>
        <w:spacing w:after="0" w:line="164" w:lineRule="exact"/>
        <w:rPr>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results of operations;</w:t>
      </w:r>
    </w:p>
    <w:p>
      <w:pPr>
        <w:spacing w:after="0" w:line="35"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level of retained cash flows;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capital requirements;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debt service requirements;</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taxable income;</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distribution requirements under the REIT provisions of the Code;</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provisions of Maryland law; and</w:t>
      </w:r>
    </w:p>
    <w:p>
      <w:pPr>
        <w:spacing w:after="0" w:line="10" w:lineRule="exact"/>
        <w:rPr>
          <w:rFonts w:ascii="Times New Roman" w:cs="Times New Roman" w:eastAsia="Times New Roman" w:hAnsi="Times New Roman"/>
          <w:sz w:val="20"/>
          <w:szCs w:val="20"/>
          <w:color w:val="auto"/>
        </w:rPr>
      </w:pPr>
    </w:p>
    <w:p>
      <w:pPr>
        <w:ind w:left="720" w:hanging="35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that our Board of Directors may deem relevant.</w:t>
      </w:r>
    </w:p>
    <w:p>
      <w:pPr>
        <w:spacing w:after="0" w:line="210" w:lineRule="exact"/>
        <w:rPr>
          <w:sz w:val="20"/>
          <w:szCs w:val="20"/>
          <w:color w:val="auto"/>
        </w:rPr>
      </w:pPr>
    </w:p>
    <w:p>
      <w:pPr>
        <w:ind w:right="40" w:firstLine="499"/>
        <w:spacing w:after="0" w:line="275" w:lineRule="auto"/>
        <w:rPr>
          <w:sz w:val="20"/>
          <w:szCs w:val="20"/>
          <w:color w:val="auto"/>
        </w:rPr>
      </w:pPr>
      <w:r>
        <w:rPr>
          <w:rFonts w:ascii="Times New Roman" w:cs="Times New Roman" w:eastAsia="Times New Roman" w:hAnsi="Times New Roman"/>
          <w:sz w:val="20"/>
          <w:szCs w:val="20"/>
          <w:color w:val="auto"/>
        </w:rPr>
        <w:t>We have not established a minimum distribution payment level, and we cannot assure you of our ability to make distributions to our stockholders in the future.</w:t>
      </w:r>
    </w:p>
    <w:p>
      <w:pPr>
        <w:spacing w:after="0" w:line="162" w:lineRule="exact"/>
        <w:rPr>
          <w:sz w:val="20"/>
          <w:szCs w:val="20"/>
          <w:color w:val="auto"/>
        </w:rPr>
      </w:pPr>
    </w:p>
    <w:p>
      <w:pPr>
        <w:ind w:right="740" w:firstLine="499"/>
        <w:spacing w:after="0" w:line="259" w:lineRule="auto"/>
        <w:rPr>
          <w:sz w:val="20"/>
          <w:szCs w:val="20"/>
          <w:color w:val="auto"/>
        </w:rPr>
      </w:pPr>
      <w:r>
        <w:rPr>
          <w:rFonts w:ascii="Times New Roman" w:cs="Times New Roman" w:eastAsia="Times New Roman" w:hAnsi="Times New Roman"/>
          <w:sz w:val="20"/>
          <w:szCs w:val="20"/>
          <w:color w:val="auto"/>
        </w:rPr>
        <w:t>Our charter authorizes us to issue preferred stock that could have a preference over our common stock with respect to distributions. If we issue any preferred stock, the distribution preference on the preferred stock could limit our ability to make distributions to the holders of our common stock.</w:t>
      </w:r>
    </w:p>
    <w:p>
      <w:pPr>
        <w:spacing w:after="0" w:line="175" w:lineRule="exact"/>
        <w:rPr>
          <w:sz w:val="20"/>
          <w:szCs w:val="20"/>
          <w:color w:val="auto"/>
        </w:rPr>
      </w:pPr>
    </w:p>
    <w:p>
      <w:pPr>
        <w:ind w:firstLine="499"/>
        <w:spacing w:after="0" w:line="246" w:lineRule="auto"/>
        <w:rPr>
          <w:sz w:val="20"/>
          <w:szCs w:val="20"/>
          <w:color w:val="auto"/>
        </w:rPr>
      </w:pPr>
      <w:r>
        <w:rPr>
          <w:rFonts w:ascii="Times New Roman" w:cs="Times New Roman" w:eastAsia="Times New Roman" w:hAnsi="Times New Roman"/>
          <w:sz w:val="20"/>
          <w:szCs w:val="20"/>
          <w:color w:val="auto"/>
        </w:rPr>
        <w:t>Our ability to make distributions to our stockholders will depend upon the performance of our investment portfolio, and, in turn, upon our Manager’s management of our business. To the extent that our cash available for distribution is less than the amount required to be distributed under the REIT provisions of the Code, we may consider various funding sources to cover any shortfall, including selling certain of our assets, borrowing funds or using a portion of the net proceeds we receive in future securities offerings (and thus all or a portion of such distributions may constitute a return of capital for U.S. federal income tax purposes). We also may elect to pay all or a portion of any distribution in the form of a taxable distribution of our stock or debt securities. In addition, our Board of Directors may change our distribution policy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829" w:right="720"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33" w:lineRule="exact"/>
        <w:rPr>
          <w:sz w:val="20"/>
          <w:szCs w:val="20"/>
          <w:color w:val="auto"/>
        </w:rPr>
      </w:pPr>
    </w:p>
    <w:p>
      <w:pPr>
        <w:ind w:right="40" w:firstLine="499"/>
        <w:spacing w:after="0" w:line="246" w:lineRule="auto"/>
        <w:rPr>
          <w:sz w:val="20"/>
          <w:szCs w:val="20"/>
          <w:color w:val="auto"/>
        </w:rPr>
      </w:pPr>
      <w:r>
        <w:rPr>
          <w:rFonts w:ascii="Times New Roman" w:cs="Times New Roman" w:eastAsia="Times New Roman" w:hAnsi="Times New Roman"/>
          <w:sz w:val="20"/>
          <w:szCs w:val="20"/>
          <w:color w:val="auto"/>
        </w:rPr>
        <w:t>Set forth below is a graph comparing the yearly percentage change in the cumulative total return on our common stock, with the cumulative total return of the S&amp;P 500 Total Return Index and the FTSE NAREIT Mortgage REIT Index for the period beginning December 31, 2020, and ending December 31, 2025. The performance graph was prepared based on the following assumptions: (i) $100 was invested in the Company's common stock, the S&amp;P 500 Total Return Index and the FTSE NAREIT Mortgage REIT Index on December 31, 2020, and (ii) dividends were reinvested on the relevant payment dates. The information in the performance chart and the table below has been obtained from sources believed to be reliable, but its accuracy nor its completeness can be guaranteed. The historical information set forth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81850" cy="3571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extLst>
                    </a:blip>
                    <a:srcRect/>
                    <a:stretch>
                      <a:fillRect/>
                    </a:stretch>
                  </pic:blipFill>
                  <pic:spPr bwMode="auto">
                    <a:xfrm>
                      <a:off x="0" y="0"/>
                      <a:ext cx="7181850" cy="357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3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28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3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3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100" w:type="dxa"/>
            <w:vAlign w:val="bottom"/>
            <w:tcBorders>
              <w:top w:val="single" w:sz="8" w:color="auto"/>
              <w:bottom w:val="single" w:sz="8" w:color="auto"/>
            </w:tcBorders>
          </w:tcPr>
          <w:p>
            <w:pPr>
              <w:spacing w:after="0"/>
              <w:rPr>
                <w:sz w:val="20"/>
                <w:szCs w:val="20"/>
                <w:color w:val="auto"/>
              </w:rPr>
            </w:pPr>
          </w:p>
        </w:tc>
      </w:tr>
      <w:tr>
        <w:trPr>
          <w:trHeight w:val="203"/>
        </w:trPr>
        <w:tc>
          <w:tcPr>
            <w:tcW w:w="302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Orchid Island Capital, Inc.</w:t>
            </w:r>
          </w:p>
        </w:tc>
        <w:tc>
          <w:tcPr>
            <w:tcW w:w="22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ind w:left="480"/>
              <w:spacing w:after="0" w:line="203" w:lineRule="exact"/>
              <w:rPr>
                <w:sz w:val="20"/>
                <w:szCs w:val="20"/>
                <w:color w:val="auto"/>
              </w:rPr>
            </w:pPr>
            <w:r>
              <w:rPr>
                <w:rFonts w:ascii="Times New Roman" w:cs="Times New Roman" w:eastAsia="Times New Roman" w:hAnsi="Times New Roman"/>
                <w:sz w:val="18"/>
                <w:szCs w:val="18"/>
                <w:color w:val="auto"/>
                <w:w w:val="96"/>
              </w:rPr>
              <w:t>100.14</w:t>
            </w:r>
          </w:p>
        </w:tc>
        <w:tc>
          <w:tcPr>
            <w:tcW w:w="32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55.95</w:t>
            </w:r>
          </w:p>
        </w:tc>
        <w:tc>
          <w:tcPr>
            <w:tcW w:w="320" w:type="dxa"/>
            <w:vAlign w:val="bottom"/>
            <w:tcBorders>
              <w:bottom w:val="single" w:sz="8" w:color="DDDDDD"/>
            </w:tcBorders>
            <w:shd w:val="clear" w:color="auto" w:fill="DDDDDD"/>
          </w:tcPr>
          <w:p>
            <w:pPr>
              <w:spacing w:after="0"/>
              <w:rPr>
                <w:sz w:val="17"/>
                <w:szCs w:val="17"/>
                <w:color w:val="auto"/>
              </w:rPr>
            </w:pPr>
          </w:p>
        </w:tc>
        <w:tc>
          <w:tcPr>
            <w:tcW w:w="9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54.24</w:t>
            </w:r>
          </w:p>
        </w:tc>
        <w:tc>
          <w:tcPr>
            <w:tcW w:w="340" w:type="dxa"/>
            <w:vAlign w:val="bottom"/>
            <w:tcBorders>
              <w:bottom w:val="single" w:sz="8" w:color="DDDDDD"/>
            </w:tcBorders>
            <w:shd w:val="clear" w:color="auto" w:fill="DDDDDD"/>
          </w:tcPr>
          <w:p>
            <w:pPr>
              <w:spacing w:after="0"/>
              <w:rPr>
                <w:sz w:val="17"/>
                <w:szCs w:val="17"/>
                <w:color w:val="auto"/>
              </w:rPr>
            </w:pPr>
          </w:p>
        </w:tc>
        <w:tc>
          <w:tcPr>
            <w:tcW w:w="9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59.63</w:t>
            </w:r>
          </w:p>
        </w:tc>
        <w:tc>
          <w:tcPr>
            <w:tcW w:w="32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67.09</w:t>
            </w:r>
          </w:p>
        </w:tc>
        <w:tc>
          <w:tcPr>
            <w:tcW w:w="100" w:type="dxa"/>
            <w:vAlign w:val="bottom"/>
            <w:tcBorders>
              <w:bottom w:val="single" w:sz="8" w:color="DDDDDD"/>
            </w:tcBorders>
            <w:shd w:val="clear" w:color="auto" w:fill="DDDDDD"/>
          </w:tcPr>
          <w:p>
            <w:pPr>
              <w:spacing w:after="0"/>
              <w:rPr>
                <w:sz w:val="17"/>
                <w:szCs w:val="17"/>
                <w:color w:val="auto"/>
              </w:rPr>
            </w:pPr>
          </w:p>
        </w:tc>
      </w:tr>
      <w:tr>
        <w:trPr>
          <w:trHeight w:val="201"/>
        </w:trPr>
        <w:tc>
          <w:tcPr>
            <w:tcW w:w="30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NAREIT Mortgage REIT TRR Index</w:t>
            </w:r>
          </w:p>
        </w:tc>
        <w:tc>
          <w:tcPr>
            <w:tcW w:w="12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ind w:left="580"/>
              <w:spacing w:after="0" w:line="201" w:lineRule="exact"/>
              <w:rPr>
                <w:sz w:val="20"/>
                <w:szCs w:val="20"/>
                <w:color w:val="auto"/>
              </w:rPr>
            </w:pPr>
            <w:r>
              <w:rPr>
                <w:rFonts w:ascii="Times New Roman" w:cs="Times New Roman" w:eastAsia="Times New Roman" w:hAnsi="Times New Roman"/>
                <w:sz w:val="18"/>
                <w:szCs w:val="18"/>
                <w:color w:val="auto"/>
                <w:w w:val="96"/>
              </w:rPr>
              <w:t>115.64</w:t>
            </w:r>
          </w:p>
        </w:tc>
        <w:tc>
          <w:tcPr>
            <w:tcW w:w="13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84.86</w:t>
            </w:r>
          </w:p>
        </w:tc>
        <w:tc>
          <w:tcPr>
            <w:tcW w:w="12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97.89</w:t>
            </w:r>
          </w:p>
        </w:tc>
        <w:tc>
          <w:tcPr>
            <w:tcW w:w="13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98.24</w:t>
            </w:r>
          </w:p>
        </w:tc>
        <w:tc>
          <w:tcPr>
            <w:tcW w:w="13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113.98</w:t>
            </w:r>
          </w:p>
        </w:tc>
        <w:tc>
          <w:tcPr>
            <w:tcW w:w="100" w:type="dxa"/>
            <w:vAlign w:val="bottom"/>
            <w:tcBorders>
              <w:bottom w:val="single" w:sz="8" w:color="DDDDDD"/>
            </w:tcBorders>
          </w:tcPr>
          <w:p>
            <w:pPr>
              <w:spacing w:after="0"/>
              <w:rPr>
                <w:sz w:val="17"/>
                <w:szCs w:val="17"/>
                <w:color w:val="auto"/>
              </w:rPr>
            </w:pPr>
          </w:p>
        </w:tc>
      </w:tr>
      <w:tr>
        <w:trPr>
          <w:trHeight w:val="195"/>
        </w:trPr>
        <w:tc>
          <w:tcPr>
            <w:tcW w:w="302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S&amp;P 500 Total Return Index</w:t>
            </w:r>
          </w:p>
        </w:tc>
        <w:tc>
          <w:tcPr>
            <w:tcW w:w="2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ind w:left="480"/>
              <w:spacing w:after="0" w:line="191" w:lineRule="exact"/>
              <w:rPr>
                <w:sz w:val="20"/>
                <w:szCs w:val="20"/>
                <w:color w:val="auto"/>
              </w:rPr>
            </w:pPr>
            <w:r>
              <w:rPr>
                <w:rFonts w:ascii="Times New Roman" w:cs="Times New Roman" w:eastAsia="Times New Roman" w:hAnsi="Times New Roman"/>
                <w:sz w:val="18"/>
                <w:szCs w:val="18"/>
                <w:color w:val="auto"/>
                <w:w w:val="96"/>
              </w:rPr>
              <w:t>128.71</w:t>
            </w:r>
          </w:p>
        </w:tc>
        <w:tc>
          <w:tcPr>
            <w:tcW w:w="3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105.40</w:t>
            </w:r>
          </w:p>
        </w:tc>
        <w:tc>
          <w:tcPr>
            <w:tcW w:w="32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133.10</w:t>
            </w:r>
          </w:p>
        </w:tc>
        <w:tc>
          <w:tcPr>
            <w:tcW w:w="34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166.40</w:t>
            </w:r>
          </w:p>
        </w:tc>
        <w:tc>
          <w:tcPr>
            <w:tcW w:w="3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196.16</w:t>
            </w:r>
          </w:p>
        </w:tc>
        <w:tc>
          <w:tcPr>
            <w:tcW w:w="100" w:type="dxa"/>
            <w:vAlign w:val="bottom"/>
            <w:tcBorders>
              <w:bottom w:val="single" w:sz="8" w:color="auto"/>
            </w:tcBorders>
            <w:shd w:val="clear" w:color="auto" w:fill="DDDDDD"/>
          </w:tcPr>
          <w:p>
            <w:pPr>
              <w:spacing w:after="0"/>
              <w:rPr>
                <w:sz w:val="16"/>
                <w:szCs w:val="16"/>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3" w:lineRule="exact"/>
        <w:rPr>
          <w:sz w:val="20"/>
          <w:szCs w:val="20"/>
          <w:color w:val="auto"/>
        </w:rPr>
      </w:pPr>
    </w:p>
    <w:p>
      <w:pPr>
        <w:ind w:right="260" w:firstLine="499"/>
        <w:spacing w:after="0" w:line="304" w:lineRule="auto"/>
        <w:rPr>
          <w:sz w:val="20"/>
          <w:szCs w:val="20"/>
          <w:color w:val="auto"/>
        </w:rPr>
      </w:pPr>
      <w:r>
        <w:rPr>
          <w:rFonts w:ascii="Times New Roman" w:cs="Times New Roman" w:eastAsia="Times New Roman" w:hAnsi="Times New Roman"/>
          <w:sz w:val="19"/>
          <w:szCs w:val="19"/>
          <w:color w:val="auto"/>
        </w:rPr>
        <w:t>Information about securities authorized for issuance under our equity compensation plans required for this Item 5 is incorporated by reference to our definitive Proxy Statement to be filed in connection with our 2026 annual meeting of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235" w:lineRule="exact"/>
        <w:rPr>
          <w:sz w:val="20"/>
          <w:szCs w:val="20"/>
          <w:color w:val="auto"/>
        </w:rPr>
      </w:pPr>
    </w:p>
    <w:p>
      <w:pPr>
        <w:ind w:right="500" w:firstLine="499"/>
        <w:spacing w:after="0" w:line="275" w:lineRule="auto"/>
        <w:rPr>
          <w:sz w:val="20"/>
          <w:szCs w:val="20"/>
          <w:color w:val="auto"/>
        </w:rPr>
      </w:pPr>
      <w:r>
        <w:rPr>
          <w:rFonts w:ascii="Times New Roman" w:cs="Times New Roman" w:eastAsia="Times New Roman" w:hAnsi="Times New Roman"/>
          <w:sz w:val="20"/>
          <w:szCs w:val="20"/>
          <w:color w:val="auto"/>
        </w:rPr>
        <w:t>The Company did not issue or sell equity securities that were not registered under the Securities Act during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35" w:lineRule="exact"/>
        <w:rPr>
          <w:sz w:val="20"/>
          <w:szCs w:val="20"/>
          <w:color w:val="auto"/>
        </w:rPr>
      </w:pPr>
    </w:p>
    <w:p>
      <w:pPr>
        <w:ind w:right="60" w:firstLine="499"/>
        <w:spacing w:after="0" w:line="244" w:lineRule="auto"/>
        <w:rPr>
          <w:sz w:val="20"/>
          <w:szCs w:val="20"/>
          <w:color w:val="auto"/>
        </w:rPr>
      </w:pPr>
      <w:r>
        <w:rPr>
          <w:rFonts w:ascii="Times New Roman" w:cs="Times New Roman" w:eastAsia="Times New Roman" w:hAnsi="Times New Roman"/>
          <w:sz w:val="20"/>
          <w:szCs w:val="20"/>
          <w:color w:val="auto"/>
        </w:rPr>
        <w:t>On July 29, 2015, the Company's Board of Directors authorized the repurchase of up to 400,000 shares of the Company's common stock. On February 8, 2018, the Board of Directors approved an increase in the stock repurchase program for up to an additional 904,564 shares of the Company's common stock. On December 9, 2021, the Board of Directors approved an increase in the number of shares of the Company’s common stock available in the stock repurchase program for up to an additional 3,372,399 shares. On October 12, 2022, the Board of Directors approved an increase in the stock repurchase program for up to an additional 4,300,000 shares of the Company's common stock, bringing the remaining authorization under the stock repurchase program to up to</w:t>
      </w:r>
    </w:p>
    <w:p>
      <w:pPr>
        <w:spacing w:after="0" w:line="6"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0"/>
          <w:szCs w:val="20"/>
          <w:color w:val="auto"/>
        </w:rPr>
        <w:t>6,183,601 shares, representing approximately 18% of the Company’s then outstanding shares of common stock. Unless modified or revoked by the Board, the authorization does not expire.</w:t>
      </w:r>
    </w:p>
    <w:p>
      <w:pPr>
        <w:sectPr>
          <w:pgSz w:w="12240" w:h="15840" w:orient="portrait"/>
          <w:cols w:equalWidth="0" w:num="1">
            <w:col w:w="10800"/>
          </w:cols>
          <w:pgMar w:left="720" w:top="553" w:right="72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553" w:right="720" w:bottom="0" w:gutter="0" w:footer="0" w:header="0"/>
          <w:type w:val="continuous"/>
        </w:sectPr>
      </w:pPr>
    </w:p>
    <w:bookmarkStart w:id="44" w:name="page45"/>
    <w:bookmarkEnd w:id="44"/>
    <w:p>
      <w:pPr>
        <w:ind w:left="500"/>
        <w:spacing w:after="0"/>
        <w:rPr>
          <w:sz w:val="20"/>
          <w:szCs w:val="20"/>
          <w:color w:val="auto"/>
        </w:rPr>
      </w:pPr>
      <w:r>
        <w:rPr>
          <w:rFonts w:ascii="Times New Roman" w:cs="Times New Roman" w:eastAsia="Times New Roman" w:hAnsi="Times New Roman"/>
          <w:sz w:val="20"/>
          <w:szCs w:val="20"/>
          <w:color w:val="auto"/>
        </w:rPr>
        <w:t>The table below presents the Company's share repurchase activity for the three months ended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31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31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8"/>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149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1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18"/>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1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49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Announced</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36"/>
        </w:trPr>
        <w:tc>
          <w:tcPr>
            <w:tcW w:w="5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Repurchased</w:t>
            </w:r>
            <w:r>
              <w:rPr>
                <w:rFonts w:ascii="Times New Roman" w:cs="Times New Roman" w:eastAsia="Times New Roman" w:hAnsi="Times New Roman"/>
                <w:sz w:val="10"/>
                <w:szCs w:val="10"/>
                <w:b w:val="1"/>
                <w:bCs w:val="1"/>
                <w:color w:val="auto"/>
                <w:w w:val="99"/>
              </w:rPr>
              <w:t>(1)</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7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1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Authorization</w:t>
            </w:r>
          </w:p>
        </w:tc>
      </w:tr>
      <w:tr>
        <w:trPr>
          <w:trHeight w:val="201"/>
        </w:trPr>
        <w:tc>
          <w:tcPr>
            <w:tcW w:w="562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October 1, 2025 - October 31, 2025</w:t>
            </w:r>
          </w:p>
        </w:tc>
        <w:tc>
          <w:tcPr>
            <w:tcW w:w="220" w:type="dxa"/>
            <w:vAlign w:val="bottom"/>
            <w:tcBorders>
              <w:bottom w:val="single" w:sz="8" w:color="DDDDDD"/>
            </w:tcBorders>
            <w:shd w:val="clear" w:color="auto" w:fill="DDDDDD"/>
          </w:tcPr>
          <w:p>
            <w:pPr>
              <w:spacing w:after="0"/>
              <w:rPr>
                <w:sz w:val="17"/>
                <w:szCs w:val="17"/>
                <w:color w:val="auto"/>
              </w:rPr>
            </w:pPr>
          </w:p>
        </w:tc>
        <w:tc>
          <w:tcPr>
            <w:tcW w:w="102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310" w:type="dxa"/>
            <w:vAlign w:val="bottom"/>
            <w:tcBorders>
              <w:bottom w:val="single" w:sz="8" w:color="DDDDDD"/>
            </w:tcBorders>
            <w:shd w:val="clear" w:color="auto" w:fill="DDDDDD"/>
          </w:tcPr>
          <w:p>
            <w:pPr>
              <w:spacing w:after="0"/>
              <w:rPr>
                <w:sz w:val="17"/>
                <w:szCs w:val="17"/>
                <w:color w:val="auto"/>
              </w:rPr>
            </w:pPr>
          </w:p>
        </w:tc>
        <w:tc>
          <w:tcPr>
            <w:tcW w:w="9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1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2,719,137</w:t>
            </w:r>
          </w:p>
        </w:tc>
        <w:tc>
          <w:tcPr>
            <w:tcW w:w="100" w:type="dxa"/>
            <w:vAlign w:val="bottom"/>
            <w:tcBorders>
              <w:bottom w:val="single" w:sz="8" w:color="DDDDDD"/>
            </w:tcBorders>
            <w:shd w:val="clear" w:color="auto" w:fill="DDDDDD"/>
          </w:tcPr>
          <w:p>
            <w:pPr>
              <w:spacing w:after="0"/>
              <w:rPr>
                <w:sz w:val="17"/>
                <w:szCs w:val="17"/>
                <w:color w:val="auto"/>
              </w:rPr>
            </w:pPr>
          </w:p>
        </w:tc>
      </w:tr>
      <w:tr>
        <w:trPr>
          <w:trHeight w:val="203"/>
        </w:trPr>
        <w:tc>
          <w:tcPr>
            <w:tcW w:w="56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November 1, 2025 - November 30, 2025</w:t>
            </w:r>
          </w:p>
        </w:tc>
        <w:tc>
          <w:tcPr>
            <w:tcW w:w="124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7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1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2,719,137</w:t>
            </w:r>
          </w:p>
        </w:tc>
        <w:tc>
          <w:tcPr>
            <w:tcW w:w="100" w:type="dxa"/>
            <w:vAlign w:val="bottom"/>
            <w:tcBorders>
              <w:bottom w:val="single" w:sz="8" w:color="DDDDDD"/>
            </w:tcBorders>
          </w:tcPr>
          <w:p>
            <w:pPr>
              <w:spacing w:after="0"/>
              <w:rPr>
                <w:sz w:val="17"/>
                <w:szCs w:val="17"/>
                <w:color w:val="auto"/>
              </w:rPr>
            </w:pPr>
          </w:p>
        </w:tc>
      </w:tr>
      <w:tr>
        <w:trPr>
          <w:trHeight w:val="193"/>
        </w:trPr>
        <w:tc>
          <w:tcPr>
            <w:tcW w:w="5620" w:type="dxa"/>
            <w:vAlign w:val="bottom"/>
            <w:tcBorders>
              <w:bottom w:val="single" w:sz="8" w:color="auto"/>
            </w:tcBorders>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rPr>
              <w:t>December 1, 2025 - December 31, 2025</w:t>
            </w:r>
          </w:p>
        </w:tc>
        <w:tc>
          <w:tcPr>
            <w:tcW w:w="22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2,223</w:t>
            </w:r>
          </w:p>
        </w:tc>
        <w:tc>
          <w:tcPr>
            <w:tcW w:w="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7.28</w:t>
            </w:r>
          </w:p>
        </w:tc>
        <w:tc>
          <w:tcPr>
            <w:tcW w:w="310" w:type="dxa"/>
            <w:vAlign w:val="bottom"/>
            <w:tcBorders>
              <w:bottom w:val="single" w:sz="8" w:color="auto"/>
            </w:tcBorders>
            <w:shd w:val="clear" w:color="auto" w:fill="DDDDDD"/>
          </w:tcPr>
          <w:p>
            <w:pPr>
              <w:spacing w:after="0"/>
              <w:rPr>
                <w:sz w:val="16"/>
                <w:szCs w:val="16"/>
                <w:color w:val="auto"/>
              </w:rPr>
            </w:pPr>
          </w:p>
        </w:tc>
        <w:tc>
          <w:tcPr>
            <w:tcW w:w="97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1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2,719,137</w:t>
            </w:r>
          </w:p>
        </w:tc>
        <w:tc>
          <w:tcPr>
            <w:tcW w:w="100" w:type="dxa"/>
            <w:vAlign w:val="bottom"/>
            <w:tcBorders>
              <w:bottom w:val="single" w:sz="8" w:color="auto"/>
            </w:tcBorders>
            <w:shd w:val="clear" w:color="auto" w:fill="DDDDDD"/>
          </w:tcPr>
          <w:p>
            <w:pPr>
              <w:spacing w:after="0"/>
              <w:rPr>
                <w:sz w:val="16"/>
                <w:szCs w:val="16"/>
                <w:color w:val="auto"/>
              </w:rPr>
            </w:pPr>
          </w:p>
        </w:tc>
      </w:tr>
      <w:tr>
        <w:trPr>
          <w:trHeight w:val="23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Totals / Weighted Average</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2,719,137</w:t>
            </w:r>
          </w:p>
        </w:tc>
        <w:tc>
          <w:tcPr>
            <w:tcW w:w="100" w:type="dxa"/>
            <w:vAlign w:val="bottom"/>
            <w:tcBorders>
              <w:bottom w:val="single" w:sz="8" w:color="auto"/>
            </w:tcBorders>
          </w:tcPr>
          <w:p>
            <w:pPr>
              <w:spacing w:after="0"/>
              <w:rPr>
                <w:sz w:val="20"/>
                <w:szCs w:val="20"/>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31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440" w:right="20" w:hanging="277"/>
        <w:spacing w:after="0" w:line="258" w:lineRule="auto"/>
        <w:tabs>
          <w:tab w:leader="none" w:pos="4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2,223 shares of the Company’s common stock acquired by the Company in connection with the satisfaction of tax withholding obligations on vested employment related awards under equity incentive plans. These repurchases do not reduce the number of shares available under the stock repurchase program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788" w:right="720" w:bottom="0" w:gutter="0" w:footer="0" w:header="0"/>
        </w:sectPr>
      </w:pPr>
    </w:p>
    <w:bookmarkStart w:id="45" w:name="page46"/>
    <w:bookmarkEnd w:id="45"/>
    <w:p>
      <w:pPr>
        <w:ind w:left="40" w:right="980"/>
        <w:spacing w:after="0" w:line="283" w:lineRule="auto"/>
        <w:rPr>
          <w:sz w:val="20"/>
          <w:szCs w:val="20"/>
          <w:color w:val="auto"/>
        </w:rPr>
      </w:pPr>
      <w:r>
        <w:rPr>
          <w:rFonts w:ascii="Times New Roman" w:cs="Times New Roman" w:eastAsia="Times New Roman" w:hAnsi="Times New Roman"/>
          <w:sz w:val="20"/>
          <w:szCs w:val="20"/>
          <w:b w:val="1"/>
          <w:bCs w:val="1"/>
          <w:color w:val="auto"/>
        </w:rPr>
        <w:t>ITEM 7. 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 OF FINANCIAL CONDITION AND RESULTS OF OPERATIONS</w:t>
      </w:r>
    </w:p>
    <w:p>
      <w:pPr>
        <w:spacing w:after="0" w:line="151" w:lineRule="exact"/>
        <w:rPr>
          <w:sz w:val="20"/>
          <w:szCs w:val="20"/>
          <w:color w:val="auto"/>
        </w:rPr>
      </w:pPr>
    </w:p>
    <w:p>
      <w:pPr>
        <w:ind w:left="40" w:right="260" w:firstLine="499"/>
        <w:spacing w:after="0" w:line="249" w:lineRule="auto"/>
        <w:rPr>
          <w:sz w:val="20"/>
          <w:szCs w:val="20"/>
          <w:color w:val="auto"/>
        </w:rPr>
      </w:pPr>
      <w:r>
        <w:rPr>
          <w:rFonts w:ascii="Times New Roman" w:cs="Times New Roman" w:eastAsia="Times New Roman" w:hAnsi="Times New Roman"/>
          <w:sz w:val="20"/>
          <w:szCs w:val="20"/>
          <w:color w:val="auto"/>
        </w:rPr>
        <w:t>The following discussion of our financial condition and results of operations should be read in conjunction with the financial statements and notes to those statements included in Item 8 of this Form 10-K. The discussion may contain certain forward-looking statements that involve risks and uncertainties. Forward-looking statements are those that are not historical in nature. As a result of many factors, such as those set forth under “Risk Factors” in this Form 10-K, our actual results may differ materially from those anticipated in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5" w:lineRule="exact"/>
        <w:rPr>
          <w:sz w:val="20"/>
          <w:szCs w:val="20"/>
          <w:color w:val="auto"/>
        </w:rPr>
      </w:pPr>
    </w:p>
    <w:p>
      <w:pPr>
        <w:ind w:left="40" w:firstLine="500"/>
        <w:spacing w:after="0" w:line="243" w:lineRule="auto"/>
        <w:rPr>
          <w:sz w:val="20"/>
          <w:szCs w:val="20"/>
          <w:color w:val="auto"/>
        </w:rPr>
      </w:pPr>
      <w:r>
        <w:rPr>
          <w:rFonts w:ascii="Times New Roman" w:cs="Times New Roman" w:eastAsia="Times New Roman" w:hAnsi="Times New Roman"/>
          <w:sz w:val="20"/>
          <w:szCs w:val="20"/>
          <w:color w:val="auto"/>
        </w:rPr>
        <w:t>We are a specialty finance company that invests in residential mortgage- backed securities (“RMBS”) which are issued and guaranteed by a federally chartered corporation or agency (“Agency RMBS”). Our investment strategy focuses on, and our portfolio consists of, two categories of Agency RMBS: (i) traditional PT Agency RMBS, such as mortgage PT certificates issued by the Federal National Mortgage Association ("Fannie Mae"), the Federal Home Loan Mortgage Corporation ("Freddie Mac" and together with Fannie Mae, the "Enterprises") or the Government National Mortgage Association ("Ginnie Mae" and, together with the Enterprises the “GSEs”) and collateralized mortgage obligations (“CMOs”) issued by the GSEs (“PT RMBS”) and (ii) structured Agency RMBS, such as interest-only securities (“IOs”), inverse interest- only securities (“IIOs”) and principal only securities (“POs”), among other types of structured Agency RMBS. We were formed by Bimini Capital Management, Inc. ("Bimini") in August 2010, commenced operations on November 24, 2010 and completed our initial public offering (“IPO”) on February 20, 2013. We are externally managed by Bimini Advisors, LLC ("Bimini Advisors," or our "Manager"), an investment adviser registered with the Securities and Exchange Commission (the “SEC”).</w:t>
      </w:r>
    </w:p>
    <w:p>
      <w:pPr>
        <w:spacing w:after="0" w:line="199" w:lineRule="exact"/>
        <w:rPr>
          <w:sz w:val="20"/>
          <w:szCs w:val="20"/>
          <w:color w:val="auto"/>
        </w:rPr>
      </w:pPr>
    </w:p>
    <w:p>
      <w:pPr>
        <w:ind w:left="40" w:right="80" w:firstLine="499"/>
        <w:spacing w:after="0" w:line="247" w:lineRule="auto"/>
        <w:rPr>
          <w:sz w:val="20"/>
          <w:szCs w:val="20"/>
          <w:color w:val="auto"/>
        </w:rPr>
      </w:pPr>
      <w:r>
        <w:rPr>
          <w:rFonts w:ascii="Times New Roman" w:cs="Times New Roman" w:eastAsia="Times New Roman" w:hAnsi="Times New Roman"/>
          <w:sz w:val="20"/>
          <w:szCs w:val="20"/>
          <w:color w:val="auto"/>
        </w:rPr>
        <w:t>Our business objective is to provide attractive risk-adjusted total returns over the long term through a combination of capital appreciation and the payment of regular monthly distributions. We intend to achieve this objective by investing in the two categories of Agency RMBS described above. We seek to generate income from (i) the net interest margin on our leveraged PT RMBS portfolio and the leveraged portion of our structured Agency RMBS portfolio, and (ii) the interest income we generate from the unleveraged portion of our structured Agency RMBS portfolio. We intend to fund our PT RMBS and certain of our structured Agency RMBS through short-term borrowings structured as repurchase agreements.</w:t>
      </w:r>
    </w:p>
    <w:p>
      <w:pPr>
        <w:spacing w:after="0" w:line="188" w:lineRule="exact"/>
        <w:rPr>
          <w:sz w:val="20"/>
          <w:szCs w:val="20"/>
          <w:color w:val="auto"/>
        </w:rPr>
      </w:pPr>
    </w:p>
    <w:p>
      <w:pPr>
        <w:jc w:val="both"/>
        <w:ind w:left="40" w:right="120" w:firstLine="499"/>
        <w:spacing w:after="0" w:line="259" w:lineRule="auto"/>
        <w:rPr>
          <w:sz w:val="20"/>
          <w:szCs w:val="20"/>
          <w:color w:val="auto"/>
        </w:rPr>
      </w:pPr>
      <w:r>
        <w:rPr>
          <w:rFonts w:ascii="Times New Roman" w:cs="Times New Roman" w:eastAsia="Times New Roman" w:hAnsi="Times New Roman"/>
          <w:sz w:val="20"/>
          <w:szCs w:val="20"/>
          <w:color w:val="auto"/>
        </w:rPr>
        <w:t>We operate so as to qualify to be taxed as a real estate investment trust ("REIT") under the Internal Revenue Code of 1986, as amended (the "Code"). We generally will not be subject to U.S. federal income tax to the extent that we currently distribute all of our REIT taxable income (as defined in the Code) to our stockholders and maintain our REIT qualification.</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Company’s common stock trades on the New York Stock Exchange under the symbol “ORC”.</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Capital Raising Activities</w:t>
      </w:r>
    </w:p>
    <w:p>
      <w:pPr>
        <w:spacing w:after="0" w:line="235" w:lineRule="exact"/>
        <w:rPr>
          <w:sz w:val="20"/>
          <w:szCs w:val="20"/>
          <w:color w:val="auto"/>
        </w:rPr>
      </w:pPr>
    </w:p>
    <w:p>
      <w:pPr>
        <w:ind w:left="40" w:right="120" w:firstLine="499"/>
        <w:spacing w:after="0" w:line="247" w:lineRule="auto"/>
        <w:rPr>
          <w:sz w:val="20"/>
          <w:szCs w:val="20"/>
          <w:color w:val="auto"/>
        </w:rPr>
      </w:pPr>
      <w:r>
        <w:rPr>
          <w:rFonts w:ascii="Times New Roman" w:cs="Times New Roman" w:eastAsia="Times New Roman" w:hAnsi="Times New Roman"/>
          <w:sz w:val="20"/>
          <w:szCs w:val="20"/>
          <w:color w:val="auto"/>
        </w:rPr>
        <w:t>On October 29, 2021, we entered into an equity distribution agreement (the “October 2021 Equity Distribution Agreement”) with four sales agents pursuant to which we could offer and sell, from time to time, up to an aggregate amount of $250,000,000 of shares of our common stock in transactions that were deemed to be “at the market” offerings and privately negotiated transactions. We issued a total of 9,742,188 shares under the October 2021 Equity Distribution Agreement for aggregate gross proceeds of approximately $151.8 million, and net proceeds of approximately $149.3 million, after commissions and fees, prior to its termination in March 2023.</w:t>
      </w:r>
    </w:p>
    <w:p>
      <w:pPr>
        <w:spacing w:after="0" w:line="191" w:lineRule="exact"/>
        <w:rPr>
          <w:sz w:val="20"/>
          <w:szCs w:val="20"/>
          <w:color w:val="auto"/>
        </w:rPr>
      </w:pPr>
    </w:p>
    <w:p>
      <w:pPr>
        <w:ind w:left="40" w:firstLine="499"/>
        <w:spacing w:after="0" w:line="247" w:lineRule="auto"/>
        <w:rPr>
          <w:sz w:val="20"/>
          <w:szCs w:val="20"/>
          <w:color w:val="auto"/>
        </w:rPr>
      </w:pPr>
      <w:r>
        <w:rPr>
          <w:rFonts w:ascii="Times New Roman" w:cs="Times New Roman" w:eastAsia="Times New Roman" w:hAnsi="Times New Roman"/>
          <w:sz w:val="20"/>
          <w:szCs w:val="20"/>
          <w:color w:val="auto"/>
        </w:rPr>
        <w:t>On March 7, 2023, we entered into an equity distribution agreement (the “March 2023 Equity Distribution Agreement”) with three sales agents pursuant to which we could offer and sell, from time to time, up to an aggregate amount of $250,000,000 of shares of our common stock in transactions that were deemed to be “at the market” offerings and privately negotiated transactions. We issued a total of 24,675,497 shares under the March 2023 Equity Distribution Agreement for aggregate gross proceeds of approximately $228.8 million and net proceeds of approximately $225.0 million, after commissions and fees, prior to its termination in June 2024.</w:t>
      </w:r>
    </w:p>
    <w:p>
      <w:pPr>
        <w:spacing w:after="0" w:line="191" w:lineRule="exact"/>
        <w:rPr>
          <w:sz w:val="20"/>
          <w:szCs w:val="20"/>
          <w:color w:val="auto"/>
        </w:rPr>
      </w:pPr>
    </w:p>
    <w:p>
      <w:pPr>
        <w:ind w:left="40" w:right="20" w:firstLine="499"/>
        <w:spacing w:after="0" w:line="247" w:lineRule="auto"/>
        <w:rPr>
          <w:sz w:val="20"/>
          <w:szCs w:val="20"/>
          <w:color w:val="auto"/>
        </w:rPr>
      </w:pPr>
      <w:r>
        <w:rPr>
          <w:rFonts w:ascii="Times New Roman" w:cs="Times New Roman" w:eastAsia="Times New Roman" w:hAnsi="Times New Roman"/>
          <w:sz w:val="20"/>
          <w:szCs w:val="20"/>
          <w:color w:val="auto"/>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20"/>
          </w:cols>
          <w:pgMar w:left="680" w:top="1060" w:right="740" w:bottom="0" w:gutter="0" w:footer="0" w:header="0"/>
        </w:sectPr>
      </w:pPr>
    </w:p>
    <w:bookmarkStart w:id="46" w:name="page47"/>
    <w:bookmarkEnd w:id="46"/>
    <w:p>
      <w:pPr>
        <w:ind w:right="160" w:firstLine="499"/>
        <w:spacing w:after="0" w:line="245" w:lineRule="auto"/>
        <w:rPr>
          <w:sz w:val="20"/>
          <w:szCs w:val="20"/>
          <w:color w:val="auto"/>
        </w:rPr>
      </w:pPr>
      <w:r>
        <w:rPr>
          <w:rFonts w:ascii="Times New Roman" w:cs="Times New Roman" w:eastAsia="Times New Roman" w:hAnsi="Times New Roman"/>
          <w:sz w:val="20"/>
          <w:szCs w:val="20"/>
          <w:color w:val="auto"/>
        </w:rPr>
        <w:t>On February 24, 2025, we entered into an equity distribution agreement (the “February 2025 Equity Distribution Agreement”) with four sales agents pursuant to which we could offer and sell, from time to time, up to an aggregate amount of $350,000,000 of gross proceeds from the sales of shares of our common stock in transactions that are deemed to be “at the market” offerings and privately negotiated transactions. On July 28, 2025, the February 2025 Equity Distribution Agreement was amended to increase the aggregate amount of gross proceeds from the sales of shares that may be offered by $150,000,000 to a total of $ 500,000,000. We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spacing w:after="0" w:line="191" w:lineRule="exact"/>
        <w:rPr>
          <w:sz w:val="20"/>
          <w:szCs w:val="20"/>
          <w:color w:val="auto"/>
        </w:rPr>
      </w:pPr>
    </w:p>
    <w:p>
      <w:pPr>
        <w:ind w:right="40" w:firstLine="500"/>
        <w:spacing w:after="0" w:line="245" w:lineRule="auto"/>
        <w:rPr>
          <w:sz w:val="20"/>
          <w:szCs w:val="20"/>
          <w:color w:val="auto"/>
        </w:rPr>
      </w:pPr>
      <w:r>
        <w:rPr>
          <w:rFonts w:ascii="Times New Roman" w:cs="Times New Roman" w:eastAsia="Times New Roman" w:hAnsi="Times New Roman"/>
          <w:sz w:val="20"/>
          <w:szCs w:val="20"/>
          <w:color w:val="auto"/>
        </w:rPr>
        <w:t>On October 27, 2025, we entered into an equity distribution agreement (the “October 2025 Equity Distribution Agreement”) with four sales agents pursuant to which we may offer and sell, from time to time, up to an aggregate amount of $500,000,000 of shares of our common stock in transactions that are deemed to be “at the market” offerings and privately negotiated transactions. Through December 31, 2025, we issued a total of 30,265,963 shares under the October 2025 Equity Distribution Agreement for aggregate gross proceeds of approximately $223.1 million, and net proceeds of approximately $219.7 million, after commissions and fees. Subsequent to December 31, 2025, we issued a total of 8,707,492 shares under the October 2025 Equity Distribution Agreement for aggregate gross proceeds of approximately $66.2 million, and net proceeds of approximately $65.2 million, after commissions and fees.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Repurchase Program</w:t>
      </w:r>
    </w:p>
    <w:p>
      <w:pPr>
        <w:spacing w:after="0" w:line="235" w:lineRule="exact"/>
        <w:rPr>
          <w:sz w:val="20"/>
          <w:szCs w:val="20"/>
          <w:color w:val="auto"/>
        </w:rPr>
      </w:pPr>
    </w:p>
    <w:p>
      <w:pPr>
        <w:ind w:right="120" w:firstLine="499"/>
        <w:spacing w:after="0" w:line="245" w:lineRule="auto"/>
        <w:rPr>
          <w:sz w:val="20"/>
          <w:szCs w:val="20"/>
          <w:color w:val="auto"/>
        </w:rPr>
      </w:pPr>
      <w:r>
        <w:rPr>
          <w:rFonts w:ascii="Times New Roman" w:cs="Times New Roman" w:eastAsia="Times New Roman" w:hAnsi="Times New Roman"/>
          <w:sz w:val="20"/>
          <w:szCs w:val="20"/>
          <w:color w:val="auto"/>
        </w:rPr>
        <w:t>On July 29, 2015, the Company’s Board of Directors authorized the repurchase of up to 400,000 shares of our common stock. The timing, manner, price and amount of any repurchases is determined by the Company in its discretion and is subject to economic and market conditions, stock price, applicable legal requirements and other factors. The authorization does not obligate the Company to acquire any particular amount of common stock and the program may be suspended or discontinued at the Company’s discretion without prior notice.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1,061,315 shares, representing 10% of the then outstanding share count.</w:t>
      </w:r>
    </w:p>
    <w:p>
      <w:pPr>
        <w:spacing w:after="0" w:line="191" w:lineRule="exact"/>
        <w:rPr>
          <w:sz w:val="20"/>
          <w:szCs w:val="20"/>
          <w:color w:val="auto"/>
        </w:rPr>
      </w:pPr>
    </w:p>
    <w:p>
      <w:pPr>
        <w:ind w:right="20" w:firstLine="499"/>
        <w:spacing w:after="0" w:line="252" w:lineRule="auto"/>
        <w:rPr>
          <w:sz w:val="20"/>
          <w:szCs w:val="20"/>
          <w:color w:val="auto"/>
        </w:rPr>
      </w:pPr>
      <w:r>
        <w:rPr>
          <w:rFonts w:ascii="Times New Roman" w:cs="Times New Roman" w:eastAsia="Times New Roman" w:hAnsi="Times New Roman"/>
          <w:sz w:val="20"/>
          <w:szCs w:val="20"/>
          <w:color w:val="auto"/>
        </w:rPr>
        <w:t>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w:t>
      </w:r>
    </w:p>
    <w:p>
      <w:pPr>
        <w:spacing w:after="0" w:line="186" w:lineRule="exact"/>
        <w:rPr>
          <w:sz w:val="20"/>
          <w:szCs w:val="20"/>
          <w:color w:val="auto"/>
        </w:rPr>
      </w:pPr>
    </w:p>
    <w:p>
      <w:pPr>
        <w:ind w:right="20" w:firstLine="499"/>
        <w:spacing w:after="0" w:line="252" w:lineRule="auto"/>
        <w:rPr>
          <w:sz w:val="20"/>
          <w:szCs w:val="20"/>
          <w:color w:val="auto"/>
        </w:rPr>
      </w:pPr>
      <w:r>
        <w:rPr>
          <w:rFonts w:ascii="Times New Roman" w:cs="Times New Roman" w:eastAsia="Times New Roman" w:hAnsi="Times New Roman"/>
          <w:sz w:val="20"/>
          <w:szCs w:val="20"/>
          <w:color w:val="auto"/>
        </w:rPr>
        <w:t>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 This stock repurchase program has no termination date.</w:t>
      </w:r>
    </w:p>
    <w:p>
      <w:pPr>
        <w:spacing w:after="0" w:line="184"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From the inception of the stock repurchase program through December 31, 2025, the Company repurchased a total of 6,257,826 shares at an aggregate cost of approximately $84.8 million, including commissions and fees, for a weighted average price of $13.55 per share. During the year ended December 31, 2025, the Company repurchased a total of 1,113,224 shares of its common stock at an aggregate cost of approximately $7.3 million, including commissions and fees, for a weighted average price of $6.52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780"/>
          </w:cols>
          <w:pgMar w:left="720" w:top="788" w:right="740"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Factors that Affect our Results of Operations and Financial Condition</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variety of industry and economic factors may impact our results of operations and financial condition. These factors include:</w:t>
      </w:r>
    </w:p>
    <w:p>
      <w:pPr>
        <w:spacing w:after="0" w:line="235" w:lineRule="exact"/>
        <w:rPr>
          <w:sz w:val="20"/>
          <w:szCs w:val="20"/>
          <w:color w:val="auto"/>
        </w:rPr>
      </w:pPr>
    </w:p>
    <w:p>
      <w:pPr>
        <w:ind w:left="880" w:hanging="453"/>
        <w:spacing w:after="0"/>
        <w:tabs>
          <w:tab w:leader="none" w:pos="8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trends;</w:t>
      </w:r>
    </w:p>
    <w:p>
      <w:pPr>
        <w:spacing w:after="0" w:line="35" w:lineRule="exact"/>
        <w:rPr>
          <w:rFonts w:ascii="Times New Roman" w:cs="Times New Roman" w:eastAsia="Times New Roman" w:hAnsi="Times New Roman"/>
          <w:sz w:val="20"/>
          <w:szCs w:val="20"/>
          <w:color w:val="auto"/>
        </w:rPr>
      </w:pPr>
    </w:p>
    <w:p>
      <w:pPr>
        <w:ind w:left="880" w:right="500" w:hanging="417"/>
        <w:spacing w:after="0" w:line="245" w:lineRule="auto"/>
        <w:tabs>
          <w:tab w:leader="none" w:pos="8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cost of funds, including decreases in the Fed Funds rate that are controlled by the Federal Reserve (the "Fed") that occurred in 2024 and 2025, or potential additional changes in the Fed Funds rate:</w:t>
      </w:r>
    </w:p>
    <w:p>
      <w:pPr>
        <w:ind w:left="880" w:hanging="417"/>
        <w:spacing w:after="0"/>
        <w:tabs>
          <w:tab w:leader="none" w:pos="8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difference between Agency RMBS yields and our funding and hedging costs;</w:t>
      </w:r>
    </w:p>
    <w:p>
      <w:pPr>
        <w:spacing w:after="0" w:line="10" w:lineRule="exact"/>
        <w:rPr>
          <w:rFonts w:ascii="Times New Roman" w:cs="Times New Roman" w:eastAsia="Times New Roman" w:hAnsi="Times New Roman"/>
          <w:sz w:val="20"/>
          <w:szCs w:val="20"/>
          <w:color w:val="auto"/>
        </w:rPr>
      </w:pPr>
    </w:p>
    <w:p>
      <w:pPr>
        <w:ind w:left="880" w:hanging="422"/>
        <w:spacing w:after="0"/>
        <w:tabs>
          <w:tab w:leader="none" w:pos="8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for, and supply of, investments in Agency RMBS;</w:t>
      </w:r>
    </w:p>
    <w:p>
      <w:pPr>
        <w:spacing w:after="0" w:line="10" w:lineRule="exact"/>
        <w:rPr>
          <w:rFonts w:ascii="Times New Roman" w:cs="Times New Roman" w:eastAsia="Times New Roman" w:hAnsi="Times New Roman"/>
          <w:sz w:val="20"/>
          <w:szCs w:val="20"/>
          <w:color w:val="auto"/>
        </w:rPr>
      </w:pPr>
    </w:p>
    <w:p>
      <w:pPr>
        <w:ind w:left="880" w:right="180" w:hanging="424"/>
        <w:spacing w:after="0" w:line="242" w:lineRule="auto"/>
        <w:tabs>
          <w:tab w:leader="none" w:pos="8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taken by the U.S. government, including the presidential administration, the Fed, the Federal Housing Financing Agency (the “FHFA”), the Federal Deposit Insurance Corporation (the "FDIC"), the Federal Housing Administration (the “FHA”), the Federal Open Market Committee (the “FOMC”) and the U.S. Treasury;</w:t>
      </w:r>
    </w:p>
    <w:p>
      <w:pPr>
        <w:spacing w:after="0" w:line="2" w:lineRule="exact"/>
        <w:rPr>
          <w:rFonts w:ascii="Times New Roman" w:cs="Times New Roman" w:eastAsia="Times New Roman" w:hAnsi="Times New Roman"/>
          <w:sz w:val="20"/>
          <w:szCs w:val="20"/>
          <w:color w:val="auto"/>
        </w:rPr>
      </w:pPr>
    </w:p>
    <w:p>
      <w:pPr>
        <w:ind w:left="880" w:right="320" w:hanging="422"/>
        <w:spacing w:after="0" w:line="245" w:lineRule="auto"/>
        <w:tabs>
          <w:tab w:leader="none" w:pos="8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 rates on mortgages underlying our Agency RMBS and credit trends insofar as they affect prepayment rates; and</w:t>
      </w:r>
    </w:p>
    <w:p>
      <w:pPr>
        <w:ind w:left="880" w:hanging="422"/>
        <w:spacing w:after="0"/>
        <w:tabs>
          <w:tab w:leader="none" w:pos="8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market developments, including bank failures.</w:t>
      </w:r>
    </w:p>
    <w:p>
      <w:pPr>
        <w:spacing w:after="0" w:line="210" w:lineRule="exact"/>
        <w:rPr>
          <w:sz w:val="20"/>
          <w:szCs w:val="20"/>
          <w:color w:val="auto"/>
        </w:rPr>
      </w:pPr>
    </w:p>
    <w:p>
      <w:pPr>
        <w:ind w:right="100" w:firstLine="499"/>
        <w:spacing w:after="0" w:line="277" w:lineRule="auto"/>
        <w:rPr>
          <w:sz w:val="20"/>
          <w:szCs w:val="20"/>
          <w:color w:val="auto"/>
        </w:rPr>
      </w:pPr>
      <w:r>
        <w:rPr>
          <w:rFonts w:ascii="Times New Roman" w:cs="Times New Roman" w:eastAsia="Times New Roman" w:hAnsi="Times New Roman"/>
          <w:sz w:val="20"/>
          <w:szCs w:val="20"/>
          <w:color w:val="auto"/>
        </w:rPr>
        <w:t>In addition, a variety of factors relating to our business may also impact our results of operations and financial condition. These factors include:</w:t>
      </w:r>
    </w:p>
    <w:p>
      <w:pPr>
        <w:spacing w:after="0" w:line="165" w:lineRule="exact"/>
        <w:rPr>
          <w:sz w:val="20"/>
          <w:szCs w:val="20"/>
          <w:color w:val="auto"/>
        </w:rPr>
      </w:pPr>
    </w:p>
    <w:p>
      <w:pPr>
        <w:ind w:left="900" w:hanging="442"/>
        <w:spacing w:after="0"/>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degree of leverage;</w:t>
      </w:r>
    </w:p>
    <w:p>
      <w:pPr>
        <w:spacing w:after="0" w:line="35" w:lineRule="exact"/>
        <w:rPr>
          <w:rFonts w:ascii="Times New Roman" w:cs="Times New Roman" w:eastAsia="Times New Roman" w:hAnsi="Times New Roman"/>
          <w:sz w:val="20"/>
          <w:szCs w:val="20"/>
          <w:color w:val="auto"/>
        </w:rPr>
      </w:pPr>
    </w:p>
    <w:p>
      <w:pPr>
        <w:ind w:left="900" w:hanging="442"/>
        <w:spacing w:after="0"/>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access to funding and borrowing capacity;</w:t>
      </w:r>
    </w:p>
    <w:p>
      <w:pPr>
        <w:spacing w:after="0" w:line="10" w:lineRule="exact"/>
        <w:rPr>
          <w:rFonts w:ascii="Times New Roman" w:cs="Times New Roman" w:eastAsia="Times New Roman" w:hAnsi="Times New Roman"/>
          <w:sz w:val="20"/>
          <w:szCs w:val="20"/>
          <w:color w:val="auto"/>
        </w:rPr>
      </w:pPr>
    </w:p>
    <w:p>
      <w:pPr>
        <w:ind w:left="900" w:hanging="442"/>
        <w:spacing w:after="0"/>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borrowing costs;</w:t>
      </w:r>
    </w:p>
    <w:p>
      <w:pPr>
        <w:spacing w:after="0" w:line="10" w:lineRule="exact"/>
        <w:rPr>
          <w:rFonts w:ascii="Times New Roman" w:cs="Times New Roman" w:eastAsia="Times New Roman" w:hAnsi="Times New Roman"/>
          <w:sz w:val="20"/>
          <w:szCs w:val="20"/>
          <w:color w:val="auto"/>
        </w:rPr>
      </w:pPr>
    </w:p>
    <w:p>
      <w:pPr>
        <w:ind w:left="900" w:hanging="442"/>
        <w:spacing w:after="0"/>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hedging activities;</w:t>
      </w:r>
    </w:p>
    <w:p>
      <w:pPr>
        <w:spacing w:after="0" w:line="10" w:lineRule="exact"/>
        <w:rPr>
          <w:rFonts w:ascii="Times New Roman" w:cs="Times New Roman" w:eastAsia="Times New Roman" w:hAnsi="Times New Roman"/>
          <w:sz w:val="20"/>
          <w:szCs w:val="20"/>
          <w:color w:val="auto"/>
        </w:rPr>
      </w:pPr>
    </w:p>
    <w:p>
      <w:pPr>
        <w:ind w:left="900" w:hanging="442"/>
        <w:spacing w:after="0"/>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value of our investments; and</w:t>
      </w:r>
    </w:p>
    <w:p>
      <w:pPr>
        <w:spacing w:after="0" w:line="10" w:lineRule="exact"/>
        <w:rPr>
          <w:rFonts w:ascii="Times New Roman" w:cs="Times New Roman" w:eastAsia="Times New Roman" w:hAnsi="Times New Roman"/>
          <w:sz w:val="20"/>
          <w:szCs w:val="20"/>
          <w:color w:val="auto"/>
        </w:rPr>
      </w:pPr>
    </w:p>
    <w:p>
      <w:pPr>
        <w:ind w:left="900" w:right="60" w:hanging="444"/>
        <w:spacing w:after="0" w:line="248" w:lineRule="auto"/>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requirements to maintain our qualification as a REIT and the requirements to qualify for a registration exemption under the Investment Company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5" w:lineRule="exact"/>
        <w:rPr>
          <w:sz w:val="20"/>
          <w:szCs w:val="20"/>
          <w:color w:val="auto"/>
        </w:rPr>
      </w:pPr>
    </w:p>
    <w:p>
      <w:pPr>
        <w:ind w:right="20" w:firstLine="499"/>
        <w:spacing w:after="0" w:line="277" w:lineRule="auto"/>
        <w:rPr>
          <w:sz w:val="20"/>
          <w:szCs w:val="20"/>
          <w:color w:val="auto"/>
        </w:rPr>
      </w:pPr>
      <w:r>
        <w:rPr>
          <w:rFonts w:ascii="Times New Roman" w:cs="Times New Roman" w:eastAsia="Times New Roman" w:hAnsi="Times New Roman"/>
          <w:sz w:val="20"/>
          <w:szCs w:val="20"/>
          <w:color w:val="auto"/>
        </w:rPr>
        <w:t>Described below are the Company’s results of operations for the year ended December 31, 2025, as compared to the Company’s results of operations for the years ended December 31, 2024 and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(Loss) Summary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Net income for the year ended December 31, 2025 was $159.0 million, or $1.24 per share. Net income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was $37.7 million, or $0.57 per share. Net loss for the year ended December 31, 2023 was $39.2 million, or</w:t>
      </w:r>
    </w:p>
    <w:p>
      <w:pPr>
        <w:spacing w:after="0" w:line="238" w:lineRule="auto"/>
        <w:rPr>
          <w:sz w:val="20"/>
          <w:szCs w:val="20"/>
          <w:color w:val="auto"/>
        </w:rPr>
      </w:pPr>
      <w:r>
        <w:rPr>
          <w:rFonts w:ascii="Times New Roman" w:cs="Times New Roman" w:eastAsia="Times New Roman" w:hAnsi="Times New Roman"/>
          <w:sz w:val="20"/>
          <w:szCs w:val="20"/>
          <w:color w:val="auto"/>
        </w:rPr>
        <w:t>$0.89 per share. The components of net income (income (loss)) for the years ended December 31, 2025, 2024 and 2023 are presented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table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5" w:type="dxa"/>
            <w:vAlign w:val="bottom"/>
            <w:tcBorders>
              <w:top w:val="single" w:sz="8" w:color="auto"/>
              <w:bottom w:val="single" w:sz="8" w:color="auto"/>
            </w:tcBorders>
          </w:tcPr>
          <w:p>
            <w:pPr>
              <w:spacing w:after="0"/>
              <w:rPr>
                <w:sz w:val="18"/>
                <w:szCs w:val="18"/>
                <w:color w:val="auto"/>
              </w:rPr>
            </w:pPr>
          </w:p>
        </w:tc>
        <w:tc>
          <w:tcPr>
            <w:tcW w:w="135" w:type="dxa"/>
            <w:vAlign w:val="bottom"/>
            <w:tcBorders>
              <w:top w:val="single" w:sz="8" w:color="auto"/>
              <w:bottom w:val="single" w:sz="8" w:color="auto"/>
            </w:tcBorders>
          </w:tcPr>
          <w:p>
            <w:pPr>
              <w:spacing w:after="0"/>
              <w:rPr>
                <w:sz w:val="18"/>
                <w:szCs w:val="18"/>
                <w:color w:val="auto"/>
              </w:rPr>
            </w:pPr>
          </w:p>
        </w:tc>
        <w:tc>
          <w:tcPr>
            <w:tcW w:w="1485"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5" w:type="dxa"/>
            <w:vAlign w:val="bottom"/>
            <w:tcBorders>
              <w:top w:val="single" w:sz="8" w:color="auto"/>
              <w:bottom w:val="single" w:sz="8" w:color="auto"/>
            </w:tcBorders>
          </w:tcPr>
          <w:p>
            <w:pPr>
              <w:spacing w:after="0"/>
              <w:rPr>
                <w:sz w:val="18"/>
                <w:szCs w:val="18"/>
                <w:color w:val="auto"/>
              </w:rPr>
            </w:pPr>
          </w:p>
        </w:tc>
        <w:tc>
          <w:tcPr>
            <w:tcW w:w="1485"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5"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r>
      <w:tr>
        <w:trPr>
          <w:trHeight w:val="206"/>
        </w:trPr>
        <w:tc>
          <w:tcPr>
            <w:tcW w:w="6025"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Interest income</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shd w:val="clear" w:color="auto" w:fill="DDDDDD"/>
          </w:tcPr>
          <w:p>
            <w:pPr>
              <w:jc w:val="right"/>
              <w:ind w:right="95"/>
              <w:spacing w:after="0" w:line="206" w:lineRule="exact"/>
              <w:rPr>
                <w:sz w:val="20"/>
                <w:szCs w:val="20"/>
                <w:color w:val="auto"/>
              </w:rPr>
            </w:pPr>
            <w:r>
              <w:rPr>
                <w:rFonts w:ascii="Times New Roman" w:cs="Times New Roman" w:eastAsia="Times New Roman" w:hAnsi="Times New Roman"/>
                <w:sz w:val="18"/>
                <w:szCs w:val="18"/>
                <w:color w:val="auto"/>
              </w:rPr>
              <w:t>414,001</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shd w:val="clear" w:color="auto" w:fill="DDDDDD"/>
          </w:tcPr>
          <w:p>
            <w:pPr>
              <w:jc w:val="right"/>
              <w:ind w:right="95"/>
              <w:spacing w:after="0" w:line="206" w:lineRule="exact"/>
              <w:rPr>
                <w:sz w:val="20"/>
                <w:szCs w:val="20"/>
                <w:color w:val="auto"/>
              </w:rPr>
            </w:pPr>
            <w:r>
              <w:rPr>
                <w:rFonts w:ascii="Times New Roman" w:cs="Times New Roman" w:eastAsia="Times New Roman" w:hAnsi="Times New Roman"/>
                <w:sz w:val="18"/>
                <w:szCs w:val="18"/>
                <w:color w:val="auto"/>
              </w:rPr>
              <w:t>241,577</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177,569</w:t>
            </w:r>
          </w:p>
        </w:tc>
        <w:tc>
          <w:tcPr>
            <w:tcW w:w="100" w:type="dxa"/>
            <w:vAlign w:val="bottom"/>
            <w:shd w:val="clear" w:color="auto" w:fill="DDDDDD"/>
          </w:tcPr>
          <w:p>
            <w:pPr>
              <w:spacing w:after="0"/>
              <w:rPr>
                <w:sz w:val="17"/>
                <w:szCs w:val="17"/>
                <w:color w:val="auto"/>
              </w:rPr>
            </w:pPr>
          </w:p>
        </w:tc>
      </w:tr>
      <w:tr>
        <w:trPr>
          <w:trHeight w:val="221"/>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(305,732 )</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(236,281 )</w:t>
            </w:r>
          </w:p>
        </w:tc>
        <w:tc>
          <w:tcPr>
            <w:tcW w:w="135"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(201,918 )</w:t>
            </w:r>
          </w:p>
        </w:tc>
      </w:tr>
      <w:tr>
        <w:trPr>
          <w:trHeight w:val="206"/>
        </w:trPr>
        <w:tc>
          <w:tcPr>
            <w:tcW w:w="6025"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Net interest income</w:t>
            </w:r>
          </w:p>
        </w:tc>
        <w:tc>
          <w:tcPr>
            <w:tcW w:w="135" w:type="dxa"/>
            <w:vAlign w:val="bottom"/>
            <w:shd w:val="clear" w:color="auto" w:fill="DDDDDD"/>
          </w:tcPr>
          <w:p>
            <w:pPr>
              <w:spacing w:after="0"/>
              <w:rPr>
                <w:sz w:val="17"/>
                <w:szCs w:val="17"/>
                <w:color w:val="auto"/>
              </w:rPr>
            </w:pPr>
          </w:p>
        </w:tc>
        <w:tc>
          <w:tcPr>
            <w:tcW w:w="1485" w:type="dxa"/>
            <w:vAlign w:val="bottom"/>
            <w:shd w:val="clear" w:color="auto" w:fill="DDDDDD"/>
          </w:tcPr>
          <w:p>
            <w:pPr>
              <w:jc w:val="right"/>
              <w:ind w:right="95"/>
              <w:spacing w:after="0" w:line="206" w:lineRule="exact"/>
              <w:rPr>
                <w:sz w:val="20"/>
                <w:szCs w:val="20"/>
                <w:color w:val="auto"/>
              </w:rPr>
            </w:pPr>
            <w:r>
              <w:rPr>
                <w:rFonts w:ascii="Times New Roman" w:cs="Times New Roman" w:eastAsia="Times New Roman" w:hAnsi="Times New Roman"/>
                <w:sz w:val="18"/>
                <w:szCs w:val="18"/>
                <w:color w:val="auto"/>
              </w:rPr>
              <w:t>108,269</w:t>
            </w:r>
          </w:p>
        </w:tc>
        <w:tc>
          <w:tcPr>
            <w:tcW w:w="135" w:type="dxa"/>
            <w:vAlign w:val="bottom"/>
            <w:shd w:val="clear" w:color="auto" w:fill="DDDDDD"/>
          </w:tcPr>
          <w:p>
            <w:pPr>
              <w:spacing w:after="0"/>
              <w:rPr>
                <w:sz w:val="17"/>
                <w:szCs w:val="17"/>
                <w:color w:val="auto"/>
              </w:rPr>
            </w:pPr>
          </w:p>
        </w:tc>
        <w:tc>
          <w:tcPr>
            <w:tcW w:w="1485" w:type="dxa"/>
            <w:vAlign w:val="bottom"/>
            <w:shd w:val="clear" w:color="auto" w:fill="DDDDDD"/>
          </w:tcPr>
          <w:p>
            <w:pPr>
              <w:jc w:val="right"/>
              <w:ind w:right="95"/>
              <w:spacing w:after="0" w:line="206" w:lineRule="exact"/>
              <w:rPr>
                <w:sz w:val="20"/>
                <w:szCs w:val="20"/>
                <w:color w:val="auto"/>
              </w:rPr>
            </w:pPr>
            <w:r>
              <w:rPr>
                <w:rFonts w:ascii="Times New Roman" w:cs="Times New Roman" w:eastAsia="Times New Roman" w:hAnsi="Times New Roman"/>
                <w:sz w:val="18"/>
                <w:szCs w:val="18"/>
                <w:color w:val="auto"/>
              </w:rPr>
              <w:t>5,296</w:t>
            </w:r>
          </w:p>
        </w:tc>
        <w:tc>
          <w:tcPr>
            <w:tcW w:w="135" w:type="dxa"/>
            <w:vAlign w:val="bottom"/>
            <w:shd w:val="clear" w:color="auto" w:fill="DDDDDD"/>
          </w:tcPr>
          <w:p>
            <w:pPr>
              <w:spacing w:after="0"/>
              <w:rPr>
                <w:sz w:val="17"/>
                <w:szCs w:val="17"/>
                <w:color w:val="auto"/>
              </w:rPr>
            </w:pP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(24,349</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21"/>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Gains on RMBS and derivative contracts</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71,241</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49,110</w:t>
            </w:r>
          </w:p>
        </w:tc>
        <w:tc>
          <w:tcPr>
            <w:tcW w:w="135"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tcBorders>
              <w:bottom w:val="single" w:sz="8" w:color="auto"/>
            </w:tcBorders>
          </w:tcPr>
          <w:p>
            <w:pPr>
              <w:spacing w:after="0"/>
              <w:rPr>
                <w:sz w:val="19"/>
                <w:szCs w:val="19"/>
                <w:color w:val="auto"/>
              </w:rPr>
            </w:pPr>
          </w:p>
        </w:tc>
      </w:tr>
      <w:tr>
        <w:trPr>
          <w:trHeight w:val="20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portfolio income (loss)</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179,510</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54,406</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(20,695</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8"/>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Expenses</w:t>
            </w:r>
          </w:p>
        </w:tc>
        <w:tc>
          <w:tcPr>
            <w:tcW w:w="135" w:type="dxa"/>
            <w:vAlign w:val="bottom"/>
            <w:tcBorders>
              <w:bottom w:val="single" w:sz="8" w:color="auto"/>
            </w:tcBorders>
          </w:tcPr>
          <w:p>
            <w:pPr>
              <w:spacing w:after="0"/>
              <w:rPr>
                <w:sz w:val="18"/>
                <w:szCs w:val="18"/>
                <w:color w:val="auto"/>
              </w:rPr>
            </w:pPr>
          </w:p>
        </w:tc>
        <w:tc>
          <w:tcPr>
            <w:tcW w:w="1485"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(20,480 )</w:t>
            </w:r>
          </w:p>
        </w:tc>
        <w:tc>
          <w:tcPr>
            <w:tcW w:w="135" w:type="dxa"/>
            <w:vAlign w:val="bottom"/>
            <w:tcBorders>
              <w:bottom w:val="single" w:sz="8" w:color="auto"/>
            </w:tcBorders>
          </w:tcPr>
          <w:p>
            <w:pPr>
              <w:spacing w:after="0"/>
              <w:rPr>
                <w:sz w:val="18"/>
                <w:szCs w:val="18"/>
                <w:color w:val="auto"/>
              </w:rPr>
            </w:pPr>
          </w:p>
        </w:tc>
        <w:tc>
          <w:tcPr>
            <w:tcW w:w="1485"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(16,744 )</w:t>
            </w:r>
          </w:p>
        </w:tc>
        <w:tc>
          <w:tcPr>
            <w:tcW w:w="135"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(18,531 )</w:t>
            </w:r>
          </w:p>
        </w:tc>
      </w:tr>
      <w:tr>
        <w:trPr>
          <w:trHeight w:val="231"/>
        </w:trPr>
        <w:tc>
          <w:tcPr>
            <w:tcW w:w="6025"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35"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tcBorders>
              <w:bottom w:val="single" w:sz="8" w:color="DDDDDD"/>
            </w:tcBorders>
            <w:shd w:val="clear" w:color="auto" w:fill="DDDDDD"/>
          </w:tcPr>
          <w:p>
            <w:pPr>
              <w:jc w:val="right"/>
              <w:ind w:right="95"/>
              <w:spacing w:after="0" w:line="203" w:lineRule="exact"/>
              <w:rPr>
                <w:sz w:val="20"/>
                <w:szCs w:val="20"/>
                <w:color w:val="auto"/>
              </w:rPr>
            </w:pPr>
            <w:r>
              <w:rPr>
                <w:rFonts w:ascii="Times New Roman" w:cs="Times New Roman" w:eastAsia="Times New Roman" w:hAnsi="Times New Roman"/>
                <w:sz w:val="18"/>
                <w:szCs w:val="18"/>
                <w:color w:val="auto"/>
              </w:rPr>
              <w:t>159,030</w:t>
            </w:r>
          </w:p>
        </w:tc>
        <w:tc>
          <w:tcPr>
            <w:tcW w:w="135"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tcBorders>
              <w:bottom w:val="single" w:sz="8" w:color="DDDDDD"/>
            </w:tcBorders>
            <w:shd w:val="clear" w:color="auto" w:fill="DDDDDD"/>
          </w:tcPr>
          <w:p>
            <w:pPr>
              <w:jc w:val="right"/>
              <w:ind w:right="95"/>
              <w:spacing w:after="0" w:line="203" w:lineRule="exact"/>
              <w:rPr>
                <w:sz w:val="20"/>
                <w:szCs w:val="20"/>
                <w:color w:val="auto"/>
              </w:rPr>
            </w:pPr>
            <w:r>
              <w:rPr>
                <w:rFonts w:ascii="Times New Roman" w:cs="Times New Roman" w:eastAsia="Times New Roman" w:hAnsi="Times New Roman"/>
                <w:sz w:val="18"/>
                <w:szCs w:val="18"/>
                <w:color w:val="auto"/>
              </w:rPr>
              <w:t>37,662</w:t>
            </w:r>
          </w:p>
        </w:tc>
        <w:tc>
          <w:tcPr>
            <w:tcW w:w="135"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(39,226</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0"/>
        </w:trPr>
        <w:tc>
          <w:tcPr>
            <w:tcW w:w="602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GAAP and Non-GAAP Reconciliations</w:t>
      </w:r>
    </w:p>
    <w:p>
      <w:pPr>
        <w:spacing w:after="0" w:line="235" w:lineRule="exact"/>
        <w:rPr>
          <w:sz w:val="20"/>
          <w:szCs w:val="20"/>
          <w:color w:val="auto"/>
        </w:rPr>
      </w:pPr>
    </w:p>
    <w:p>
      <w:pPr>
        <w:ind w:right="200" w:firstLine="499"/>
        <w:spacing w:after="0" w:line="252" w:lineRule="auto"/>
        <w:rPr>
          <w:sz w:val="20"/>
          <w:szCs w:val="20"/>
          <w:color w:val="auto"/>
        </w:rPr>
      </w:pPr>
      <w:r>
        <w:rPr>
          <w:rFonts w:ascii="Times New Roman" w:cs="Times New Roman" w:eastAsia="Times New Roman" w:hAnsi="Times New Roman"/>
          <w:sz w:val="20"/>
          <w:szCs w:val="20"/>
          <w:color w:val="auto"/>
        </w:rPr>
        <w:t>In addition to the results presented in accordance with GAAP, our results of operations discussed below include certain non-GAAP financial information, including “Net Earnings Excluding Realized and Unrealized Gains and Losses”, “Economic Interest Expense”, “Economic Net Interest Income,” “Interest Income – Inclusive of Premium Amortization/Discount Accretion” and “Yield on Average RMBS – Inclusive of Premium Amortization/Discount Accretion.”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784" w:right="720" w:bottom="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i w:val="1"/>
          <w:iCs w:val="1"/>
          <w:color w:val="auto"/>
        </w:rPr>
        <w:t>Net Earnings Excluding Realized and Unrealized Gains and Losses</w:t>
      </w:r>
    </w:p>
    <w:p>
      <w:pPr>
        <w:spacing w:after="0" w:line="227" w:lineRule="exact"/>
        <w:rPr>
          <w:sz w:val="20"/>
          <w:szCs w:val="20"/>
          <w:color w:val="auto"/>
        </w:rPr>
      </w:pPr>
    </w:p>
    <w:p>
      <w:pPr>
        <w:ind w:right="300" w:firstLine="499"/>
        <w:spacing w:after="0" w:line="259" w:lineRule="auto"/>
        <w:rPr>
          <w:sz w:val="20"/>
          <w:szCs w:val="20"/>
          <w:color w:val="auto"/>
        </w:rPr>
      </w:pPr>
      <w:r>
        <w:rPr>
          <w:rFonts w:ascii="Times New Roman" w:cs="Times New Roman" w:eastAsia="Times New Roman" w:hAnsi="Times New Roman"/>
          <w:sz w:val="20"/>
          <w:szCs w:val="20"/>
          <w:color w:val="auto"/>
        </w:rPr>
        <w:t>We have elected to account for our Agency RMBS under the fair value option. Securities held under the fair value option are recorded at estimated fair value, with changes in the fair value recorded as unrealized gains or losses through the statements of comprehensive income (loss).</w:t>
      </w:r>
    </w:p>
    <w:p>
      <w:pPr>
        <w:spacing w:after="0" w:line="177" w:lineRule="exact"/>
        <w:rPr>
          <w:sz w:val="20"/>
          <w:szCs w:val="20"/>
          <w:color w:val="auto"/>
        </w:rPr>
      </w:pPr>
    </w:p>
    <w:p>
      <w:pPr>
        <w:ind w:right="80" w:firstLine="499"/>
        <w:spacing w:after="0" w:line="269" w:lineRule="auto"/>
        <w:rPr>
          <w:sz w:val="20"/>
          <w:szCs w:val="20"/>
          <w:color w:val="auto"/>
        </w:rPr>
      </w:pPr>
      <w:r>
        <w:rPr>
          <w:rFonts w:ascii="Times New Roman" w:cs="Times New Roman" w:eastAsia="Times New Roman" w:hAnsi="Times New Roman"/>
          <w:sz w:val="19"/>
          <w:szCs w:val="19"/>
          <w:color w:val="auto"/>
        </w:rPr>
        <w:t>In addition, we have not designated our derivative financial instruments used for hedging purposes as hedges for accounting purposes, but rather hold them for economic hedging purposes. Changes in fair value of these instruments are presented in a separate line item in the Company’s statements of comprehensive income (loss) and are not included in interest expense. As such, for financial reporting purposes, interest expense and cost of funds are not impacted by the fluctuation in value of the derivative instruments.</w:t>
      </w:r>
    </w:p>
    <w:p>
      <w:pPr>
        <w:spacing w:after="0" w:line="170" w:lineRule="exact"/>
        <w:rPr>
          <w:sz w:val="20"/>
          <w:szCs w:val="20"/>
          <w:color w:val="auto"/>
        </w:rPr>
      </w:pPr>
    </w:p>
    <w:p>
      <w:pPr>
        <w:ind w:right="40" w:firstLine="499"/>
        <w:spacing w:after="0" w:line="243" w:lineRule="auto"/>
        <w:rPr>
          <w:sz w:val="20"/>
          <w:szCs w:val="20"/>
          <w:color w:val="auto"/>
        </w:rPr>
      </w:pPr>
      <w:r>
        <w:rPr>
          <w:rFonts w:ascii="Times New Roman" w:cs="Times New Roman" w:eastAsia="Times New Roman" w:hAnsi="Times New Roman"/>
          <w:sz w:val="20"/>
          <w:szCs w:val="20"/>
          <w:color w:val="auto"/>
        </w:rPr>
        <w:t>Presenting net earnings excluding realized and unrealized gains and losses allows management to: (i) isolate the net interest income and other expenses of the Company over time, free of all fair value adjustments and (ii) assess the effectiveness of our funding and hedging strategies on our capital allocation decisions and our asset allocation performance. Our funding and hedging strategies, capital allocation and asset selection are integral to our risk management strategy, and therefore critical to the management of our portfolio. We believe that the presentation of our net earnings excluding realized and unrealized gains is useful to investors because it provides a means of comparing our results of operations to those of our peers who have not elected the same accounting treatment. Our presentation of net earnings excluding realized and unrealized gains and losses may not be comparable to similarly-titled measures of other companies, who may use different calculations. As a result, net earnings excluding realized and unrealized gains and losses should not be considered as a substitute for our GAAP net income (loss) as a measure of our financial performance or any measure of our liquidity under GAAP. The table below presents a reconciliation of our net income (loss) determined in accordance with GAAP and net earnings excluding realized and unrealized gains and losses. Described below are the Company's results of operations for the years ended December 31, 2025, 2024 and 2023, and for each quarter during 2025, 2024 and 2023.</w:t>
      </w:r>
    </w:p>
    <w:p>
      <w:pPr>
        <w:spacing w:after="0" w:line="198" w:lineRule="exact"/>
        <w:rPr>
          <w:sz w:val="20"/>
          <w:szCs w:val="20"/>
          <w:color w:val="auto"/>
        </w:rPr>
      </w:pPr>
    </w:p>
    <w:p>
      <w:pPr>
        <w:ind w:right="2620" w:firstLine="2513"/>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Net Earnings (Loss) Excluding Realized and Unrealized Gains and Losses </w:t>
      </w:r>
      <w:r>
        <w:rPr>
          <w:rFonts w:ascii="Times New Roman" w:cs="Times New Roman" w:eastAsia="Times New Roman" w:hAnsi="Times New Roman"/>
          <w:sz w:val="18"/>
          <w:szCs w:val="18"/>
          <w:i w:val="1"/>
          <w:iCs w:val="1"/>
          <w:color w:val="auto"/>
        </w:rPr>
        <w:t>(in thousands, except per share data)</w:t>
      </w:r>
    </w:p>
    <w:tbl>
      <w:tblPr>
        <w:tblLayout w:type="fixed"/>
        <w:tblInd w:w="0" w:type="dxa"/>
        <w:tblCellMar>
          <w:top w:w="0" w:type="dxa"/>
          <w:left w:w="0" w:type="dxa"/>
          <w:bottom w:w="0" w:type="dxa"/>
          <w:right w:w="0" w:type="dxa"/>
        </w:tblCellMar>
      </w:tblPr>
      <w:tr>
        <w:trPr>
          <w:trHeight w:val="192"/>
        </w:trPr>
        <w:tc>
          <w:tcPr>
            <w:tcW w:w="3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center"/>
              <w:ind w:right="120"/>
              <w:spacing w:after="0" w:line="192"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120"/>
              <w:spacing w:after="0" w:line="190"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Realized and</w:t>
            </w: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Realized and</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Realized and</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Realized and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Gains and</w:t>
            </w:r>
          </w:p>
        </w:tc>
        <w:tc>
          <w:tcPr>
            <w:tcW w:w="22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Gains and</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Gains and</w:t>
            </w:r>
          </w:p>
        </w:tc>
        <w:tc>
          <w:tcPr>
            <w:tcW w:w="2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Gains and</w:t>
            </w:r>
          </w:p>
        </w:tc>
        <w:tc>
          <w:tcPr>
            <w:tcW w:w="0" w:type="dxa"/>
            <w:vAlign w:val="bottom"/>
          </w:tcPr>
          <w:p>
            <w:pPr>
              <w:spacing w:after="0"/>
              <w:rPr>
                <w:sz w:val="1"/>
                <w:szCs w:val="1"/>
                <w:color w:val="auto"/>
              </w:rPr>
            </w:pPr>
          </w:p>
        </w:tc>
      </w:tr>
      <w:tr>
        <w:trPr>
          <w:trHeight w:val="234"/>
        </w:trPr>
        <w:tc>
          <w:tcPr>
            <w:tcW w:w="3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0"/>
                <w:szCs w:val="10"/>
                <w:b w:val="1"/>
                <w:bCs w:val="1"/>
                <w:color w:val="auto"/>
              </w:rPr>
              <w:t>(1)</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Losses</w:t>
            </w:r>
            <w:r>
              <w:rPr>
                <w:rFonts w:ascii="Times New Roman" w:cs="Times New Roman" w:eastAsia="Times New Roman" w:hAnsi="Times New Roman"/>
                <w:sz w:val="10"/>
                <w:szCs w:val="10"/>
                <w:b w:val="1"/>
                <w:bCs w:val="1"/>
                <w:color w:val="auto"/>
                <w:w w:val="97"/>
              </w:rPr>
              <w:t>(1)</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103,408</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bottom w:val="single" w:sz="8" w:color="DDDDDD"/>
            </w:tcBorders>
            <w:shd w:val="clear" w:color="auto" w:fill="DDDDDD"/>
          </w:tcPr>
          <w:p>
            <w:pPr>
              <w:ind w:left="480"/>
              <w:spacing w:after="0" w:line="203" w:lineRule="exact"/>
              <w:rPr>
                <w:sz w:val="20"/>
                <w:szCs w:val="20"/>
                <w:color w:val="auto"/>
              </w:rPr>
            </w:pPr>
            <w:r>
              <w:rPr>
                <w:rFonts w:ascii="Times New Roman" w:cs="Times New Roman" w:eastAsia="Times New Roman" w:hAnsi="Times New Roman"/>
                <w:sz w:val="18"/>
                <w:szCs w:val="18"/>
                <w:color w:val="auto"/>
                <w:w w:val="96"/>
              </w:rPr>
              <w:t>70,742</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32,666</w:t>
            </w: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2025</w:t>
            </w: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72,078</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480"/>
              <w:spacing w:after="0" w:line="201" w:lineRule="exact"/>
              <w:rPr>
                <w:sz w:val="20"/>
                <w:szCs w:val="20"/>
                <w:color w:val="auto"/>
              </w:rPr>
            </w:pPr>
            <w:r>
              <w:rPr>
                <w:rFonts w:ascii="Times New Roman" w:cs="Times New Roman" w:eastAsia="Times New Roman" w:hAnsi="Times New Roman"/>
                <w:sz w:val="18"/>
                <w:szCs w:val="18"/>
                <w:color w:val="auto"/>
                <w:w w:val="96"/>
              </w:rPr>
              <w:t>50,600</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21,478</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(33,578</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(51,736</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18,158</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2025</w:t>
            </w: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17,122</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15,487</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5,545</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3,786</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17,320</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6"/>
              </w:rPr>
              <w:t>21,249</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(3,929 )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191"/>
        </w:trPr>
        <w:tc>
          <w:tcPr>
            <w:tcW w:w="30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(4,979</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(5,077</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01"/>
        </w:trPr>
        <w:tc>
          <w:tcPr>
            <w:tcW w:w="30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2024</w:t>
            </w: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19,776</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ind w:left="480"/>
              <w:spacing w:after="0" w:line="201" w:lineRule="exact"/>
              <w:rPr>
                <w:sz w:val="20"/>
                <w:szCs w:val="20"/>
                <w:color w:val="auto"/>
              </w:rPr>
            </w:pPr>
            <w:r>
              <w:rPr>
                <w:rFonts w:ascii="Times New Roman" w:cs="Times New Roman" w:eastAsia="Times New Roman" w:hAnsi="Times New Roman"/>
                <w:sz w:val="18"/>
                <w:szCs w:val="18"/>
                <w:color w:val="auto"/>
                <w:w w:val="96"/>
              </w:rPr>
              <w:t>26,004</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(6,228 )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194"/>
        </w:trPr>
        <w:tc>
          <w:tcPr>
            <w:tcW w:w="302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27,127</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480"/>
              <w:spacing w:after="0" w:line="194" w:lineRule="exact"/>
              <w:rPr>
                <w:sz w:val="20"/>
                <w:szCs w:val="20"/>
                <w:color w:val="auto"/>
              </w:rPr>
            </w:pPr>
            <w:r>
              <w:rPr>
                <w:rFonts w:ascii="Times New Roman" w:cs="Times New Roman" w:eastAsia="Times New Roman" w:hAnsi="Times New Roman"/>
                <w:sz w:val="18"/>
                <w:szCs w:val="18"/>
                <w:color w:val="auto"/>
                <w:w w:val="96"/>
              </w:rPr>
              <w:t>33,977</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(6,850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01"/>
        </w:trPr>
        <w:tc>
          <w:tcPr>
            <w:tcW w:w="30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2023</w:t>
            </w: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(80,132 )</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(66,890</w:t>
            </w: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(13,242 )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(1.68 )</w:t>
            </w: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(1.40 )</w:t>
            </w: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(0.28 )</w:t>
            </w:r>
          </w:p>
        </w:tc>
        <w:tc>
          <w:tcPr>
            <w:tcW w:w="0" w:type="dxa"/>
            <w:vAlign w:val="bottom"/>
          </w:tcPr>
          <w:p>
            <w:pPr>
              <w:spacing w:after="0"/>
              <w:rPr>
                <w:sz w:val="1"/>
                <w:szCs w:val="1"/>
                <w:color w:val="auto"/>
              </w:rPr>
            </w:pPr>
          </w:p>
        </w:tc>
      </w:tr>
      <w:tr>
        <w:trPr>
          <w:trHeight w:val="194"/>
        </w:trPr>
        <w:tc>
          <w:tcPr>
            <w:tcW w:w="302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2023</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10,250</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480"/>
              <w:spacing w:after="0" w:line="194" w:lineRule="exact"/>
              <w:rPr>
                <w:sz w:val="20"/>
                <w:szCs w:val="20"/>
                <w:color w:val="auto"/>
              </w:rPr>
            </w:pPr>
            <w:r>
              <w:rPr>
                <w:rFonts w:ascii="Times New Roman" w:cs="Times New Roman" w:eastAsia="Times New Roman" w:hAnsi="Times New Roman"/>
                <w:sz w:val="18"/>
                <w:szCs w:val="18"/>
                <w:color w:val="auto"/>
                <w:w w:val="96"/>
              </w:rPr>
              <w:t>23,828</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(13,578</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2023</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6"/>
              </w:rPr>
              <w:t>12,739</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(9,209 )</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(0.24 )</w:t>
            </w:r>
          </w:p>
        </w:tc>
        <w:tc>
          <w:tcPr>
            <w:tcW w:w="0" w:type="dxa"/>
            <w:vAlign w:val="bottom"/>
          </w:tcPr>
          <w:p>
            <w:pPr>
              <w:spacing w:after="0"/>
              <w:rPr>
                <w:sz w:val="1"/>
                <w:szCs w:val="1"/>
                <w:color w:val="auto"/>
              </w:rPr>
            </w:pPr>
          </w:p>
        </w:tc>
      </w:tr>
      <w:tr>
        <w:trPr>
          <w:trHeight w:val="205"/>
        </w:trPr>
        <w:tc>
          <w:tcPr>
            <w:tcW w:w="3020" w:type="dxa"/>
            <w:vAlign w:val="bottom"/>
            <w:tcBorders>
              <w:bottom w:val="single" w:sz="8" w:color="auto"/>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159,030</w:t>
            </w:r>
          </w:p>
        </w:tc>
        <w:tc>
          <w:tcPr>
            <w:tcW w:w="10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DDDDDD"/>
            </w:tcBorders>
          </w:tcPr>
          <w:p>
            <w:pPr>
              <w:ind w:left="480"/>
              <w:spacing w:after="0"/>
              <w:rPr>
                <w:sz w:val="20"/>
                <w:szCs w:val="20"/>
                <w:color w:val="auto"/>
              </w:rPr>
            </w:pPr>
            <w:r>
              <w:rPr>
                <w:rFonts w:ascii="Times New Roman" w:cs="Times New Roman" w:eastAsia="Times New Roman" w:hAnsi="Times New Roman"/>
                <w:sz w:val="18"/>
                <w:szCs w:val="18"/>
                <w:color w:val="auto"/>
                <w:w w:val="96"/>
              </w:rPr>
              <w:t>71,241</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87,789</w:t>
            </w:r>
          </w:p>
        </w:tc>
        <w:tc>
          <w:tcPr>
            <w:tcW w:w="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37,662</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480"/>
              <w:spacing w:after="0" w:line="191" w:lineRule="exact"/>
              <w:rPr>
                <w:sz w:val="20"/>
                <w:szCs w:val="20"/>
                <w:color w:val="auto"/>
              </w:rPr>
            </w:pPr>
            <w:r>
              <w:rPr>
                <w:rFonts w:ascii="Times New Roman" w:cs="Times New Roman" w:eastAsia="Times New Roman" w:hAnsi="Times New Roman"/>
                <w:sz w:val="18"/>
                <w:szCs w:val="18"/>
                <w:color w:val="auto"/>
                <w:w w:val="96"/>
              </w:rPr>
              <w:t>49,110</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(11,448</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06"/>
        </w:trPr>
        <w:tc>
          <w:tcPr>
            <w:tcW w:w="302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(39,225 )</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3,654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(42,879 )</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(0.89 )</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(0.97 )</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60" w:right="460" w:hanging="350"/>
        <w:spacing w:after="0" w:line="278" w:lineRule="auto"/>
        <w:tabs>
          <w:tab w:leader="none" w:pos="3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realized and unrealized gains (losses) on RMBS and derivative financial instruments, including net interest income or expense on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790" w:right="720"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Economic Interest Expense and Economic Net Interest Income</w:t>
      </w:r>
    </w:p>
    <w:p>
      <w:pPr>
        <w:spacing w:after="0" w:line="235" w:lineRule="exact"/>
        <w:rPr>
          <w:sz w:val="20"/>
          <w:szCs w:val="20"/>
          <w:color w:val="auto"/>
        </w:rPr>
      </w:pPr>
    </w:p>
    <w:p>
      <w:pPr>
        <w:jc w:val="both"/>
        <w:ind w:right="660" w:firstLine="499"/>
        <w:spacing w:after="0" w:line="259" w:lineRule="auto"/>
        <w:rPr>
          <w:sz w:val="20"/>
          <w:szCs w:val="20"/>
          <w:color w:val="auto"/>
        </w:rPr>
      </w:pPr>
      <w:r>
        <w:rPr>
          <w:rFonts w:ascii="Times New Roman" w:cs="Times New Roman" w:eastAsia="Times New Roman" w:hAnsi="Times New Roman"/>
          <w:sz w:val="20"/>
          <w:szCs w:val="20"/>
          <w:color w:val="auto"/>
        </w:rPr>
        <w:t>We use derivative and other hedging instruments, specifically Fed Funds, SOFR, ERIS SOFR Swap, and T-Note futures contracts, short positions in U.S. Treasury securities, interest rate floors and caps, dual digital options, interest rate swaps and swaptions, to hedge a portion of the interest rate risk on repurchase agreements in a rising rate environment.</w:t>
      </w:r>
    </w:p>
    <w:p>
      <w:pPr>
        <w:spacing w:after="0" w:line="175" w:lineRule="exact"/>
        <w:rPr>
          <w:sz w:val="20"/>
          <w:szCs w:val="20"/>
          <w:color w:val="auto"/>
        </w:rPr>
      </w:pPr>
    </w:p>
    <w:p>
      <w:pPr>
        <w:ind w:right="240" w:firstLine="499"/>
        <w:spacing w:after="0" w:line="252" w:lineRule="auto"/>
        <w:rPr>
          <w:sz w:val="20"/>
          <w:szCs w:val="20"/>
          <w:color w:val="auto"/>
        </w:rPr>
      </w:pPr>
      <w:r>
        <w:rPr>
          <w:rFonts w:ascii="Times New Roman" w:cs="Times New Roman" w:eastAsia="Times New Roman" w:hAnsi="Times New Roman"/>
          <w:sz w:val="20"/>
          <w:szCs w:val="20"/>
          <w:color w:val="auto"/>
        </w:rPr>
        <w:t>We have not elected to designate our derivative holdings for hedge accounting treatment. Changes in fair value of these instruments are presented in a separate line item in our statements of comprehensive income (loss) and not included in interest expense. As such, for financial reporting purposes, interest expense and cost of funds are not impacted by the fluctuation in value of the derivative instruments.</w:t>
      </w:r>
    </w:p>
    <w:p>
      <w:pPr>
        <w:spacing w:after="0" w:line="186"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20"/>
          <w:szCs w:val="20"/>
          <w:color w:val="auto"/>
        </w:rPr>
        <w:t>For the purpose of computing economic net interest income and ratios relating to cost of funds measures, GAAP interest expense has been adjusted to reflect the realized and unrealized gains or losses on certain derivative instruments the Company uses, specifically Fed Funds, SOFR, ERIS SOFR Swap, and T-Note futures, dual digital options, interest rate floors and caps, and interest rate swaps and swaptions, that pertain to each period presented. We believe that adjusting our interest expense for the periods presented by the gains or losses on these derivative instruments would not accurately reflect our economic interest expense for these periods. The reason is that these derivative instruments may cover periods that extend into the future, not just the current period. Any realized or unrealized gains or losses on the instruments reflect the change in market value of the instrument caused by changes in underlying interest rates applicable to the term covered by the instrument, not just the current period. For each period presented, we have combined the effects of the derivative financial instruments in place for the respective period with the actual interest expense incurred on borrowings to reflect total economic interest expense for the applicable period. Interest expense, including the effect of derivative instruments for the period, is referred to as economic interest expense. Net interest income, when calculated to include the effect of derivative instruments for the period, is referred to as economic net interest income. This presentation includes gains or losses on all contracts in effect during the reporting period, covering the current period as well as periods in the future.</w:t>
      </w:r>
    </w:p>
    <w:p>
      <w:pPr>
        <w:spacing w:after="0" w:line="205"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From time to time, we invest in TBAs, which are forward contracts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 dollar roll transaction. The Agency RMBS purchased or sold for a forward settlement date are typically priced at a discount to equivalent securities settling in the current month. Consequently, forward purchases of Agency RMBS and dollar roll transactions represent a form of off- balance sheet financing. These TBAs are accounted for as derivatives and marked to market through the income statement. Gains or losses on TBAs are included with gains or losses on other derivative contracts and are not included in interest income for purposes of the discussions below.</w:t>
      </w:r>
    </w:p>
    <w:p>
      <w:pPr>
        <w:spacing w:after="0" w:line="194" w:lineRule="exact"/>
        <w:rPr>
          <w:sz w:val="20"/>
          <w:szCs w:val="20"/>
          <w:color w:val="auto"/>
        </w:rPr>
      </w:pPr>
    </w:p>
    <w:p>
      <w:pPr>
        <w:ind w:right="100" w:firstLine="499"/>
        <w:spacing w:after="0" w:line="260" w:lineRule="auto"/>
        <w:rPr>
          <w:sz w:val="20"/>
          <w:szCs w:val="20"/>
          <w:color w:val="auto"/>
        </w:rPr>
      </w:pPr>
      <w:r>
        <w:rPr>
          <w:rFonts w:ascii="Times New Roman" w:cs="Times New Roman" w:eastAsia="Times New Roman" w:hAnsi="Times New Roman"/>
          <w:sz w:val="19"/>
          <w:szCs w:val="19"/>
          <w:color w:val="auto"/>
        </w:rPr>
        <w:t>We believe that economic interest expense and economic net interest income provide meaningful information to consider, in addition to the respective amounts prepared in accordance with GAAP. The non-GAAP measures help management to evaluate its financial position and performance without the effects of certain transactions and GAAP adjustments that are not necessarily indicative of our current investment portfolio or operations. The unrealized gains or losses on derivative instruments presented in our statements of comprehensive income (loss) are not necessarily representative of the total interest rate expense that we will ultimately realize. This is because as interest rates move up or down in the future, the gains or losses we ultimately realize, and which will affect our total interest rate expense in future periods, may differ from the unrealized gains or losses recognized as of the reporting date.</w:t>
      </w:r>
    </w:p>
    <w:p>
      <w:pPr>
        <w:spacing w:after="0" w:line="182"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Our presentation of the economic value of our hedging strategy has important limitations. First, other market participants may calculate economic interest expense and economic net interest income differently than the way we calculate them. Second, while we believe that the calculation of the economic value of our hedging strategy described above helps to present our financial position and performance, it may be of limited usefulness as an analytical tool. Therefore, the economic value of our investment strategy should not be viewed in isolation and is not a substitute for interest expense and net interest income computed in accordance with GAAP.</w:t>
      </w:r>
    </w:p>
    <w:p>
      <w:pPr>
        <w:spacing w:after="0" w:line="187" w:lineRule="exact"/>
        <w:rPr>
          <w:sz w:val="20"/>
          <w:szCs w:val="20"/>
          <w:color w:val="auto"/>
        </w:rPr>
      </w:pPr>
    </w:p>
    <w:p>
      <w:pPr>
        <w:jc w:val="both"/>
        <w:ind w:right="60" w:firstLine="499"/>
        <w:spacing w:after="0" w:line="259" w:lineRule="auto"/>
        <w:rPr>
          <w:sz w:val="20"/>
          <w:szCs w:val="20"/>
          <w:color w:val="auto"/>
        </w:rPr>
      </w:pPr>
      <w:r>
        <w:rPr>
          <w:rFonts w:ascii="Times New Roman" w:cs="Times New Roman" w:eastAsia="Times New Roman" w:hAnsi="Times New Roman"/>
          <w:sz w:val="20"/>
          <w:szCs w:val="20"/>
          <w:color w:val="auto"/>
        </w:rPr>
        <w:t>The tables below present a reconciliation of the adjustments to interest expense shown for each period relative to our derivative instruments, and the income statement line item, gains (losses) on derivative instruments, calculated in accordance with GAAP for the years ended December 31, 2025, 2024 and 2023 and each quarter during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1012" w:right="720" w:bottom="0" w:gutter="0" w:footer="0" w:header="0"/>
        </w:sectPr>
      </w:pPr>
    </w:p>
    <w:bookmarkStart w:id="50" w:name="page51"/>
    <w:bookmarkEnd w:id="5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Gains (Losses) on Derivative Instruments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Economic Hedges</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Attributed to</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Attributed to</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TBA Securities Gain (Loss)</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Future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w:t>
            </w:r>
          </w:p>
        </w:tc>
        <w:tc>
          <w:tcPr>
            <w:tcW w:w="2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Short</w:t>
            </w:r>
          </w:p>
        </w:tc>
        <w:tc>
          <w:tcPr>
            <w:tcW w:w="20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Long</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Periods</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December 31, 2025</w:t>
            </w:r>
          </w:p>
        </w:tc>
        <w:tc>
          <w:tcPr>
            <w:tcW w:w="94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000" w:type="dxa"/>
            <w:vAlign w:val="bottom"/>
            <w:tcBorders>
              <w:bottom w:val="single" w:sz="8" w:color="DDDDDD"/>
            </w:tcBorders>
            <w:shd w:val="clear" w:color="auto" w:fill="DDDDDD"/>
          </w:tcPr>
          <w:p>
            <w:pPr>
              <w:ind w:left="500"/>
              <w:spacing w:after="0" w:line="201" w:lineRule="exact"/>
              <w:rPr>
                <w:sz w:val="20"/>
                <w:szCs w:val="20"/>
                <w:color w:val="auto"/>
              </w:rPr>
            </w:pPr>
            <w:r>
              <w:rPr>
                <w:rFonts w:ascii="Times New Roman" w:cs="Times New Roman" w:eastAsia="Times New Roman" w:hAnsi="Times New Roman"/>
                <w:sz w:val="18"/>
                <w:szCs w:val="18"/>
                <w:color w:val="auto"/>
                <w:w w:val="96"/>
              </w:rPr>
              <w:t>14,048</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(3,478</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19,578</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2025</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(8,772</w:t>
            </w: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(4,272 )</w:t>
            </w: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21,872</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(27,329 )</w:t>
            </w:r>
          </w:p>
        </w:tc>
        <w:tc>
          <w:tcPr>
            <w:tcW w:w="0" w:type="dxa"/>
            <w:vAlign w:val="bottom"/>
          </w:tcPr>
          <w:p>
            <w:pPr>
              <w:spacing w:after="0"/>
              <w:rPr>
                <w:sz w:val="1"/>
                <w:szCs w:val="1"/>
                <w:color w:val="auto"/>
              </w:rPr>
            </w:pPr>
          </w:p>
        </w:tc>
      </w:tr>
      <w:tr>
        <w:trPr>
          <w:trHeight w:val="191"/>
        </w:trPr>
        <w:tc>
          <w:tcPr>
            <w:tcW w:w="2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(53,286</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(7,662</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20,937</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(67,033</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2025</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(74,659</w:t>
            </w: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3,026</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20,912</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(98,697 )</w:t>
            </w:r>
          </w:p>
        </w:tc>
        <w:tc>
          <w:tcPr>
            <w:tcW w:w="0" w:type="dxa"/>
            <w:vAlign w:val="bottom"/>
          </w:tcPr>
          <w:p>
            <w:pPr>
              <w:spacing w:after="0"/>
              <w:rPr>
                <w:sz w:val="1"/>
                <w:szCs w:val="1"/>
                <w:color w:val="auto"/>
              </w:rPr>
            </w:pPr>
          </w:p>
        </w:tc>
      </w:tr>
      <w:tr>
        <w:trPr>
          <w:trHeight w:val="191"/>
        </w:trPr>
        <w:tc>
          <w:tcPr>
            <w:tcW w:w="2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160,412</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9,937</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27,782</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123,376</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2024</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(140,825</w:t>
            </w: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(16,315 )</w:t>
            </w: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31,924</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(156,782 )</w:t>
            </w:r>
          </w:p>
        </w:tc>
        <w:tc>
          <w:tcPr>
            <w:tcW w:w="0" w:type="dxa"/>
            <w:vAlign w:val="bottom"/>
          </w:tcPr>
          <w:p>
            <w:pPr>
              <w:spacing w:after="0"/>
              <w:rPr>
                <w:sz w:val="1"/>
                <w:szCs w:val="1"/>
                <w:color w:val="auto"/>
              </w:rPr>
            </w:pPr>
          </w:p>
        </w:tc>
      </w:tr>
      <w:tr>
        <w:trPr>
          <w:trHeight w:val="194"/>
        </w:trPr>
        <w:tc>
          <w:tcPr>
            <w:tcW w:w="230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2024</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ind w:left="500"/>
              <w:spacing w:after="0" w:line="194" w:lineRule="exact"/>
              <w:rPr>
                <w:sz w:val="20"/>
                <w:szCs w:val="20"/>
                <w:color w:val="auto"/>
              </w:rPr>
            </w:pPr>
            <w:r>
              <w:rPr>
                <w:rFonts w:ascii="Times New Roman" w:cs="Times New Roman" w:eastAsia="Times New Roman" w:hAnsi="Times New Roman"/>
                <w:sz w:val="18"/>
                <w:szCs w:val="18"/>
                <w:color w:val="auto"/>
                <w:w w:val="96"/>
              </w:rPr>
              <w:t>26,068</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3,042</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29,459</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(6,433</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01"/>
        </w:trPr>
        <w:tc>
          <w:tcPr>
            <w:tcW w:w="2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2024</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ind w:left="500"/>
              <w:spacing w:after="0" w:line="201" w:lineRule="exact"/>
              <w:rPr>
                <w:sz w:val="20"/>
                <w:szCs w:val="20"/>
                <w:color w:val="auto"/>
              </w:rPr>
            </w:pPr>
            <w:r>
              <w:rPr>
                <w:rFonts w:ascii="Times New Roman" w:cs="Times New Roman" w:eastAsia="Times New Roman" w:hAnsi="Times New Roman"/>
                <w:sz w:val="18"/>
                <w:szCs w:val="18"/>
                <w:color w:val="auto"/>
                <w:w w:val="96"/>
              </w:rPr>
              <w:t>87,899</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9,903</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27,587</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50,304</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30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(149,016</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(29,750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(2,262</w:t>
            </w:r>
          </w:p>
        </w:tc>
        <w:tc>
          <w:tcPr>
            <w:tcW w:w="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25,161</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(142,165</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01"/>
        </w:trPr>
        <w:tc>
          <w:tcPr>
            <w:tcW w:w="2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2023</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142,042</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21,511</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11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(2,024 )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24,440</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98,115</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2023</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ind w:left="500"/>
              <w:spacing w:after="0" w:line="191" w:lineRule="exact"/>
              <w:rPr>
                <w:sz w:val="20"/>
                <w:szCs w:val="20"/>
                <w:color w:val="auto"/>
              </w:rPr>
            </w:pPr>
            <w:r>
              <w:rPr>
                <w:rFonts w:ascii="Times New Roman" w:cs="Times New Roman" w:eastAsia="Times New Roman" w:hAnsi="Times New Roman"/>
                <w:sz w:val="18"/>
                <w:szCs w:val="18"/>
                <w:color w:val="auto"/>
                <w:w w:val="96"/>
              </w:rPr>
              <w:t>93,367</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15,599</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23,482</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54,860</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0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March 31, 2023</w:t>
            </w: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(41,156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(5,990 )</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19,211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(54,377 )</w:t>
            </w:r>
          </w:p>
        </w:tc>
        <w:tc>
          <w:tcPr>
            <w:tcW w:w="0" w:type="dxa"/>
            <w:vAlign w:val="bottom"/>
          </w:tcPr>
          <w:p>
            <w:pPr>
              <w:spacing w:after="0"/>
              <w:rPr>
                <w:sz w:val="1"/>
                <w:szCs w:val="1"/>
                <w:color w:val="auto"/>
              </w:rPr>
            </w:pPr>
          </w:p>
        </w:tc>
      </w:tr>
      <w:tr>
        <w:trPr>
          <w:trHeight w:val="205"/>
        </w:trPr>
        <w:tc>
          <w:tcPr>
            <w:tcW w:w="2300" w:type="dxa"/>
            <w:vAlign w:val="bottom"/>
            <w:tcBorders>
              <w:bottom w:val="single" w:sz="8" w:color="auto"/>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9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10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940" w:type="dxa"/>
            <w:vAlign w:val="bottom"/>
            <w:tcBorders>
              <w:bottom w:val="single" w:sz="8" w:color="DDDDDD"/>
            </w:tcBorders>
          </w:tcPr>
          <w:p>
            <w:pPr>
              <w:spacing w:after="0"/>
              <w:rPr>
                <w:sz w:val="18"/>
                <w:szCs w:val="18"/>
                <w:color w:val="auto"/>
              </w:rPr>
            </w:pPr>
          </w:p>
        </w:tc>
        <w:tc>
          <w:tcPr>
            <w:tcW w:w="98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spacing w:after="0"/>
              <w:rPr>
                <w:sz w:val="18"/>
                <w:szCs w:val="18"/>
                <w:color w:val="auto"/>
              </w:rPr>
            </w:pPr>
          </w:p>
        </w:tc>
        <w:tc>
          <w:tcPr>
            <w:tcW w:w="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(122,669</w:t>
            </w: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(12,386 )</w:t>
            </w: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83,299</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(195,269 )</w:t>
            </w:r>
          </w:p>
        </w:tc>
        <w:tc>
          <w:tcPr>
            <w:tcW w:w="0" w:type="dxa"/>
            <w:vAlign w:val="bottom"/>
          </w:tcPr>
          <w:p>
            <w:pPr>
              <w:spacing w:after="0"/>
              <w:rPr>
                <w:sz w:val="1"/>
                <w:szCs w:val="1"/>
                <w:color w:val="auto"/>
              </w:rPr>
            </w:pPr>
          </w:p>
        </w:tc>
      </w:tr>
      <w:tr>
        <w:trPr>
          <w:trHeight w:val="191"/>
        </w:trPr>
        <w:tc>
          <w:tcPr>
            <w:tcW w:w="2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133,554</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116,752</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10,465</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45,237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(43,567 )</w:t>
            </w:r>
          </w:p>
        </w:tc>
        <w:tc>
          <w:tcPr>
            <w:tcW w:w="0" w:type="dxa"/>
            <w:vAlign w:val="bottom"/>
          </w:tcPr>
          <w:p>
            <w:pPr>
              <w:spacing w:after="0"/>
              <w:rPr>
                <w:sz w:val="1"/>
                <w:szCs w:val="1"/>
                <w:color w:val="auto"/>
              </w:rPr>
            </w:pPr>
          </w:p>
        </w:tc>
      </w:tr>
      <w:tr>
        <w:trPr>
          <w:trHeight w:val="437"/>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20" w:type="dxa"/>
            <w:vAlign w:val="bottom"/>
            <w:gridSpan w:val="13"/>
          </w:tcPr>
          <w:p>
            <w:pPr>
              <w:ind w:left="640"/>
              <w:spacing w:after="0"/>
              <w:rPr>
                <w:sz w:val="20"/>
                <w:szCs w:val="20"/>
                <w:color w:val="auto"/>
              </w:rPr>
            </w:pPr>
            <w:r>
              <w:rPr>
                <w:rFonts w:ascii="Times New Roman" w:cs="Times New Roman" w:eastAsia="Times New Roman" w:hAnsi="Times New Roman"/>
                <w:sz w:val="18"/>
                <w:szCs w:val="18"/>
                <w:b w:val="1"/>
                <w:bCs w:val="1"/>
                <w:color w:val="auto"/>
              </w:rPr>
              <w:t>Economic Interest Expense and Economic Net Interest Income</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gridSpan w:val="9"/>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 Expense on Borrowings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40"/>
              <w:spacing w:after="0" w:line="193" w:lineRule="exact"/>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2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GAAP</w:t>
            </w:r>
          </w:p>
        </w:tc>
        <w:tc>
          <w:tcPr>
            <w:tcW w:w="220" w:type="dxa"/>
            <w:vAlign w:val="bottom"/>
          </w:tcPr>
          <w:p>
            <w:pPr>
              <w:spacing w:after="0"/>
              <w:rPr>
                <w:sz w:val="16"/>
                <w:szCs w:val="16"/>
                <w:color w:val="auto"/>
              </w:rPr>
            </w:pPr>
          </w:p>
        </w:tc>
        <w:tc>
          <w:tcPr>
            <w:tcW w:w="1080" w:type="dxa"/>
            <w:vAlign w:val="bottom"/>
            <w:gridSpan w:val="2"/>
          </w:tcPr>
          <w:p>
            <w:pPr>
              <w:jc w:val="center"/>
              <w:ind w:right="140"/>
              <w:spacing w:after="0" w:line="193" w:lineRule="exact"/>
              <w:rPr>
                <w:sz w:val="20"/>
                <w:szCs w:val="20"/>
                <w:color w:val="auto"/>
              </w:rPr>
            </w:pPr>
            <w:r>
              <w:rPr>
                <w:rFonts w:ascii="Times New Roman" w:cs="Times New Roman" w:eastAsia="Times New Roman" w:hAnsi="Times New Roman"/>
                <w:sz w:val="18"/>
                <w:szCs w:val="18"/>
                <w:b w:val="1"/>
                <w:bCs w:val="1"/>
                <w:color w:val="auto"/>
                <w:w w:val="99"/>
              </w:rPr>
              <w:t>Attributed</w:t>
            </w:r>
          </w:p>
        </w:tc>
        <w:tc>
          <w:tcPr>
            <w:tcW w:w="200" w:type="dxa"/>
            <w:vAlign w:val="bottom"/>
          </w:tcPr>
          <w:p>
            <w:pPr>
              <w:spacing w:after="0"/>
              <w:rPr>
                <w:sz w:val="16"/>
                <w:szCs w:val="16"/>
                <w:color w:val="auto"/>
              </w:rPr>
            </w:pPr>
          </w:p>
        </w:tc>
        <w:tc>
          <w:tcPr>
            <w:tcW w:w="1200" w:type="dxa"/>
            <w:vAlign w:val="bottom"/>
            <w:gridSpan w:val="3"/>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Economic</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line="193" w:lineRule="exact"/>
              <w:rPr>
                <w:sz w:val="20"/>
                <w:szCs w:val="20"/>
                <w:color w:val="auto"/>
              </w:rPr>
            </w:pPr>
            <w:r>
              <w:rPr>
                <w:rFonts w:ascii="Times New Roman" w:cs="Times New Roman" w:eastAsia="Times New Roman" w:hAnsi="Times New Roman"/>
                <w:sz w:val="18"/>
                <w:szCs w:val="18"/>
                <w:b w:val="1"/>
                <w:bCs w:val="1"/>
                <w:color w:val="auto"/>
              </w:rPr>
              <w:t>GAAP</w:t>
            </w:r>
          </w:p>
        </w:tc>
        <w:tc>
          <w:tcPr>
            <w:tcW w:w="220" w:type="dxa"/>
            <w:vAlign w:val="bottom"/>
          </w:tcPr>
          <w:p>
            <w:pPr>
              <w:spacing w:after="0"/>
              <w:rPr>
                <w:sz w:val="16"/>
                <w:szCs w:val="16"/>
                <w:color w:val="auto"/>
              </w:rPr>
            </w:pPr>
          </w:p>
        </w:tc>
        <w:tc>
          <w:tcPr>
            <w:tcW w:w="1080" w:type="dxa"/>
            <w:vAlign w:val="bottom"/>
            <w:gridSpan w:val="2"/>
          </w:tcPr>
          <w:p>
            <w:pPr>
              <w:jc w:val="center"/>
              <w:ind w:right="1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Economic</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 Current</w:t>
            </w:r>
          </w:p>
        </w:tc>
        <w:tc>
          <w:tcPr>
            <w:tcW w:w="20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Period</w:t>
            </w:r>
            <w:r>
              <w:rPr>
                <w:rFonts w:ascii="Times New Roman" w:cs="Times New Roman" w:eastAsia="Times New Roman" w:hAnsi="Times New Roman"/>
                <w:sz w:val="10"/>
                <w:szCs w:val="10"/>
                <w:b w:val="1"/>
                <w:bCs w:val="1"/>
                <w:color w:val="auto"/>
                <w:w w:val="98"/>
              </w:rPr>
              <w:t>(1)</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Expense</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w:t>
            </w:r>
            <w:r>
              <w:rPr>
                <w:rFonts w:ascii="Times New Roman" w:cs="Times New Roman" w:eastAsia="Times New Roman" w:hAnsi="Times New Roman"/>
                <w:sz w:val="10"/>
                <w:szCs w:val="10"/>
                <w:b w:val="1"/>
                <w:bCs w:val="1"/>
                <w:color w:val="auto"/>
                <w:w w:val="98"/>
              </w:rPr>
              <w:t>(3)</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December 31, 2025</w:t>
            </w:r>
          </w:p>
        </w:tc>
        <w:tc>
          <w:tcPr>
            <w:tcW w:w="94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132,188</w:t>
            </w:r>
          </w:p>
        </w:tc>
        <w:tc>
          <w:tcPr>
            <w:tcW w:w="22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000" w:type="dxa"/>
            <w:vAlign w:val="bottom"/>
            <w:tcBorders>
              <w:bottom w:val="single" w:sz="8" w:color="DDDDDD"/>
            </w:tcBorders>
            <w:shd w:val="clear" w:color="auto" w:fill="DDDDDD"/>
          </w:tcPr>
          <w:p>
            <w:pPr>
              <w:ind w:left="500"/>
              <w:spacing w:after="0" w:line="201" w:lineRule="exact"/>
              <w:rPr>
                <w:sz w:val="20"/>
                <w:szCs w:val="20"/>
                <w:color w:val="auto"/>
              </w:rPr>
            </w:pPr>
            <w:r>
              <w:rPr>
                <w:rFonts w:ascii="Times New Roman" w:cs="Times New Roman" w:eastAsia="Times New Roman" w:hAnsi="Times New Roman"/>
                <w:sz w:val="18"/>
                <w:szCs w:val="18"/>
                <w:color w:val="auto"/>
                <w:w w:val="96"/>
              </w:rPr>
              <w:t>93,705</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19,578</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74,127</w:t>
            </w:r>
          </w:p>
        </w:tc>
        <w:tc>
          <w:tcPr>
            <w:tcW w:w="1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38,483</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58,061</w:t>
            </w:r>
          </w:p>
        </w:tc>
        <w:tc>
          <w:tcPr>
            <w:tcW w:w="10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2025</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108,434</w:t>
            </w: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w w:val="96"/>
              </w:rPr>
              <w:t>81,515</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21,872</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59,643</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26,919</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48,791</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92,289</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ind w:left="500"/>
              <w:spacing w:after="0" w:line="191" w:lineRule="exact"/>
              <w:rPr>
                <w:sz w:val="20"/>
                <w:szCs w:val="20"/>
                <w:color w:val="auto"/>
              </w:rPr>
            </w:pPr>
            <w:r>
              <w:rPr>
                <w:rFonts w:ascii="Times New Roman" w:cs="Times New Roman" w:eastAsia="Times New Roman" w:hAnsi="Times New Roman"/>
                <w:sz w:val="18"/>
                <w:szCs w:val="18"/>
                <w:color w:val="auto"/>
                <w:w w:val="96"/>
              </w:rPr>
              <w:t>69,135</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20,937</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48,198</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23,154</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44,091</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2025</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81,090</w:t>
            </w: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ind w:left="500"/>
              <w:spacing w:after="0" w:line="201" w:lineRule="exact"/>
              <w:rPr>
                <w:sz w:val="20"/>
                <w:szCs w:val="20"/>
                <w:color w:val="auto"/>
              </w:rPr>
            </w:pPr>
            <w:r>
              <w:rPr>
                <w:rFonts w:ascii="Times New Roman" w:cs="Times New Roman" w:eastAsia="Times New Roman" w:hAnsi="Times New Roman"/>
                <w:sz w:val="18"/>
                <w:szCs w:val="18"/>
                <w:color w:val="auto"/>
                <w:w w:val="96"/>
              </w:rPr>
              <w:t>61,377</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20,912</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40,465</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19,713</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40,625</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30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71,996</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ind w:left="500"/>
              <w:spacing w:after="0" w:line="194" w:lineRule="exact"/>
              <w:rPr>
                <w:sz w:val="20"/>
                <w:szCs w:val="20"/>
                <w:color w:val="auto"/>
              </w:rPr>
            </w:pPr>
            <w:r>
              <w:rPr>
                <w:rFonts w:ascii="Times New Roman" w:cs="Times New Roman" w:eastAsia="Times New Roman" w:hAnsi="Times New Roman"/>
                <w:sz w:val="18"/>
                <w:szCs w:val="18"/>
                <w:color w:val="auto"/>
                <w:w w:val="96"/>
              </w:rPr>
              <w:t>63,853</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27,782</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36,071</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8,143</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35,925</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2024</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67,646</w:t>
            </w: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ind w:left="500"/>
              <w:spacing w:after="0" w:line="201" w:lineRule="exact"/>
              <w:rPr>
                <w:sz w:val="20"/>
                <w:szCs w:val="20"/>
                <w:color w:val="auto"/>
              </w:rPr>
            </w:pPr>
            <w:r>
              <w:rPr>
                <w:rFonts w:ascii="Times New Roman" w:cs="Times New Roman" w:eastAsia="Times New Roman" w:hAnsi="Times New Roman"/>
                <w:sz w:val="18"/>
                <w:szCs w:val="18"/>
                <w:color w:val="auto"/>
                <w:w w:val="96"/>
              </w:rPr>
              <w:t>67,306</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31,924</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35,382</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32,264</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30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2024</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53,064</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ind w:left="500"/>
              <w:spacing w:after="0" w:line="194" w:lineRule="exact"/>
              <w:rPr>
                <w:sz w:val="20"/>
                <w:szCs w:val="20"/>
                <w:color w:val="auto"/>
              </w:rPr>
            </w:pPr>
            <w:r>
              <w:rPr>
                <w:rFonts w:ascii="Times New Roman" w:cs="Times New Roman" w:eastAsia="Times New Roman" w:hAnsi="Times New Roman"/>
                <w:sz w:val="18"/>
                <w:szCs w:val="18"/>
                <w:color w:val="auto"/>
                <w:w w:val="96"/>
              </w:rPr>
              <w:t>53,761</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29,459</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24,302</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28,762</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2024</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48,871</w:t>
            </w: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ind w:left="500"/>
              <w:spacing w:after="0" w:line="201" w:lineRule="exact"/>
              <w:rPr>
                <w:sz w:val="20"/>
                <w:szCs w:val="20"/>
                <w:color w:val="auto"/>
              </w:rPr>
            </w:pPr>
            <w:r>
              <w:rPr>
                <w:rFonts w:ascii="Times New Roman" w:cs="Times New Roman" w:eastAsia="Times New Roman" w:hAnsi="Times New Roman"/>
                <w:sz w:val="18"/>
                <w:szCs w:val="18"/>
                <w:color w:val="auto"/>
                <w:w w:val="96"/>
              </w:rPr>
              <w:t>51,361</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27,587</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23,774</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(2,490 )</w:t>
            </w: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25,097</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49,539</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ind w:left="500"/>
              <w:spacing w:after="0" w:line="191" w:lineRule="exact"/>
              <w:rPr>
                <w:sz w:val="20"/>
                <w:szCs w:val="20"/>
                <w:color w:val="auto"/>
              </w:rPr>
            </w:pPr>
            <w:r>
              <w:rPr>
                <w:rFonts w:ascii="Times New Roman" w:cs="Times New Roman" w:eastAsia="Times New Roman" w:hAnsi="Times New Roman"/>
                <w:sz w:val="18"/>
                <w:szCs w:val="18"/>
                <w:color w:val="auto"/>
                <w:w w:val="96"/>
              </w:rPr>
              <w:t>52,325</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25,161</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27,164</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22,375</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2023</w:t>
            </w:r>
          </w:p>
        </w:tc>
        <w:tc>
          <w:tcPr>
            <w:tcW w:w="94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50,107</w:t>
            </w:r>
          </w:p>
        </w:tc>
        <w:tc>
          <w:tcPr>
            <w:tcW w:w="2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0" w:type="dxa"/>
            <w:vAlign w:val="bottom"/>
            <w:tcBorders>
              <w:bottom w:val="single" w:sz="8" w:color="DDDDDD"/>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w w:val="96"/>
              </w:rPr>
              <w:t>58,705</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24,440</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34,265</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(8,598 )</w:t>
            </w:r>
          </w:p>
        </w:tc>
        <w:tc>
          <w:tcPr>
            <w:tcW w:w="2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15,842</w:t>
            </w:r>
          </w:p>
        </w:tc>
        <w:tc>
          <w:tcPr>
            <w:tcW w:w="10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2023</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39,911</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ind w:left="500"/>
              <w:spacing w:after="0" w:line="191" w:lineRule="exact"/>
              <w:rPr>
                <w:sz w:val="20"/>
                <w:szCs w:val="20"/>
                <w:color w:val="auto"/>
              </w:rPr>
            </w:pPr>
            <w:r>
              <w:rPr>
                <w:rFonts w:ascii="Times New Roman" w:cs="Times New Roman" w:eastAsia="Times New Roman" w:hAnsi="Times New Roman"/>
                <w:sz w:val="18"/>
                <w:szCs w:val="18"/>
                <w:color w:val="auto"/>
                <w:w w:val="96"/>
              </w:rPr>
              <w:t>48,671</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23,482</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25,189</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(8,760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14,722</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0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March 31, 2023</w:t>
            </w: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38,012</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500"/>
              <w:spacing w:after="0" w:line="206" w:lineRule="exact"/>
              <w:rPr>
                <w:sz w:val="20"/>
                <w:szCs w:val="20"/>
                <w:color w:val="auto"/>
              </w:rPr>
            </w:pPr>
            <w:r>
              <w:rPr>
                <w:rFonts w:ascii="Times New Roman" w:cs="Times New Roman" w:eastAsia="Times New Roman" w:hAnsi="Times New Roman"/>
                <w:sz w:val="18"/>
                <w:szCs w:val="18"/>
                <w:color w:val="auto"/>
                <w:w w:val="96"/>
              </w:rPr>
              <w:t>42,217</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19,211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23,006</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(4,205 )</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15,006</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00" w:type="dxa"/>
            <w:vAlign w:val="bottom"/>
            <w:tcBorders>
              <w:bottom w:val="single" w:sz="8" w:color="auto"/>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9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10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3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9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414,001</w:t>
            </w:r>
          </w:p>
        </w:tc>
        <w:tc>
          <w:tcPr>
            <w:tcW w:w="220" w:type="dxa"/>
            <w:vAlign w:val="bottom"/>
            <w:tcBorders>
              <w:bottom w:val="single" w:sz="8" w:color="DDDDDD"/>
            </w:tcBorders>
          </w:tcPr>
          <w:p>
            <w:pPr>
              <w:spacing w:after="0"/>
              <w:rPr>
                <w:sz w:val="18"/>
                <w:szCs w:val="18"/>
                <w:color w:val="auto"/>
              </w:rPr>
            </w:pPr>
          </w:p>
        </w:tc>
        <w:tc>
          <w:tcPr>
            <w:tcW w:w="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305,732</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83,299</w:t>
            </w:r>
          </w:p>
        </w:tc>
        <w:tc>
          <w:tcPr>
            <w:tcW w:w="10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222,433</w:t>
            </w:r>
          </w:p>
        </w:tc>
        <w:tc>
          <w:tcPr>
            <w:tcW w:w="12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108,269</w:t>
            </w:r>
          </w:p>
        </w:tc>
        <w:tc>
          <w:tcPr>
            <w:tcW w:w="10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191,568</w:t>
            </w:r>
          </w:p>
        </w:tc>
        <w:tc>
          <w:tcPr>
            <w:tcW w:w="10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241,577</w:t>
            </w:r>
          </w:p>
        </w:tc>
        <w:tc>
          <w:tcPr>
            <w:tcW w:w="2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236,281</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116,752</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119,529</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5,296</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122,048</w:t>
            </w:r>
          </w:p>
        </w:tc>
        <w:tc>
          <w:tcPr>
            <w:tcW w:w="10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(24,349 )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-5193665</wp:posOffset>
                </wp:positionV>
                <wp:extent cx="6858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08.9499pt" to="540.2pt,-408.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-995045</wp:posOffset>
                </wp:positionV>
                <wp:extent cx="68580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78.3499pt" to="540.2pt,-78.3499pt" o:allowincell="f" strokecolor="#FFFFFF" strokeweight="0.24pt"/>
            </w:pict>
          </mc:Fallback>
        </mc:AlternateContent>
      </w:r>
    </w:p>
    <w:p>
      <w:pPr>
        <w:spacing w:after="0" w:line="172" w:lineRule="exact"/>
        <w:rPr>
          <w:sz w:val="20"/>
          <w:szCs w:val="20"/>
          <w:color w:val="auto"/>
        </w:rPr>
      </w:pPr>
    </w:p>
    <w:p>
      <w:pPr>
        <w:ind w:left="360" w:hanging="350"/>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derivative instrument hedges for only the period presented.</w:t>
      </w:r>
    </w:p>
    <w:p>
      <w:pPr>
        <w:spacing w:after="0" w:line="33"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adding the effect of derivative instrument hedges attributed to the period presented to GAAP interest expense.</w:t>
      </w:r>
    </w:p>
    <w:p>
      <w:pPr>
        <w:spacing w:after="0" w:line="9"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adding the effect of derivative instrument hedges attributed to the period presented to GAAP net interest income.</w:t>
      </w:r>
    </w:p>
    <w:p>
      <w:pPr>
        <w:sectPr>
          <w:pgSz w:w="12240" w:h="15840" w:orient="portrait"/>
          <w:cols w:equalWidth="0" w:num="1">
            <w:col w:w="10800"/>
          </w:cols>
          <w:pgMar w:left="720" w:top="79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790" w:right="72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Net Interest Income</w:t>
      </w:r>
    </w:p>
    <w:p>
      <w:pPr>
        <w:spacing w:after="0" w:line="229" w:lineRule="exact"/>
        <w:rPr>
          <w:sz w:val="20"/>
          <w:szCs w:val="20"/>
          <w:color w:val="auto"/>
        </w:rPr>
      </w:pPr>
    </w:p>
    <w:p>
      <w:pPr>
        <w:ind w:right="140" w:firstLine="499"/>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2025, we generated $108.3 million of net interest income, consisting of $414.0 million of interest income from RMBS assets offset by $305.7 million of interest expense on borrowings. For the comparable period ended December 31, 2024, we generated $5.3 million of net interest income, consisting of $241.6 million of interest income from RMBS assets offset by $236.3 million of interest expense on borrowings. The $172.4 million increase in interest income was driven by</w:t>
      </w:r>
    </w:p>
    <w:p>
      <w:pPr>
        <w:spacing w:after="0" w:line="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a 26 basis points ("bps") increase in yield on average RMBS, combined with a $2,901.3 million increase in average RMBS. The $69.5 million increase in interest expense for the year ended December 31, 2025 was driven by a $2,749.6 million increase in average borrowings, that was partially offset by 108 bps decrease in the average cost of funds.</w:t>
      </w:r>
    </w:p>
    <w:p>
      <w:pPr>
        <w:spacing w:after="0" w:line="193" w:lineRule="exact"/>
        <w:rPr>
          <w:sz w:val="20"/>
          <w:szCs w:val="20"/>
          <w:color w:val="auto"/>
        </w:rPr>
      </w:pPr>
    </w:p>
    <w:p>
      <w:pPr>
        <w:ind w:right="120" w:firstLine="540"/>
        <w:spacing w:after="0" w:line="247" w:lineRule="auto"/>
        <w:rPr>
          <w:sz w:val="20"/>
          <w:szCs w:val="20"/>
          <w:color w:val="auto"/>
        </w:rPr>
      </w:pPr>
      <w:r>
        <w:rPr>
          <w:rFonts w:ascii="Times New Roman" w:cs="Times New Roman" w:eastAsia="Times New Roman" w:hAnsi="Times New Roman"/>
          <w:sz w:val="20"/>
          <w:szCs w:val="20"/>
          <w:color w:val="auto"/>
        </w:rPr>
        <w:t>For the year ended December 31, 2023, we incurred $24.4 million of net interest expense, consisting of $177.6 million of interest income from RMBS assets offset by $201.9 million of interest expense on borrowings. The $64.0 million increase in interest income for the year ended December 31, 2024, compared to the year ended December 31, 2023, was due to a 97 bps increase in yield on average RMBS, combined with a $453.0 million increase in average RMBS. The $34.4 million increase in interest expense for the year ended December 31, 2024 was due to a 28 bps increase in the average cost of funds, combined with a $428.4 million increase in average borrowings.</w:t>
      </w:r>
    </w:p>
    <w:p>
      <w:pPr>
        <w:spacing w:after="0" w:line="191" w:lineRule="exact"/>
        <w:rPr>
          <w:sz w:val="20"/>
          <w:szCs w:val="20"/>
          <w:color w:val="auto"/>
        </w:rPr>
      </w:pPr>
    </w:p>
    <w:p>
      <w:pPr>
        <w:ind w:right="180" w:firstLine="499"/>
        <w:spacing w:after="0" w:line="257" w:lineRule="auto"/>
        <w:rPr>
          <w:sz w:val="20"/>
          <w:szCs w:val="20"/>
          <w:color w:val="auto"/>
        </w:rPr>
      </w:pPr>
      <w:r>
        <w:rPr>
          <w:rFonts w:ascii="Times New Roman" w:cs="Times New Roman" w:eastAsia="Times New Roman" w:hAnsi="Times New Roman"/>
          <w:sz w:val="20"/>
          <w:szCs w:val="20"/>
          <w:color w:val="auto"/>
        </w:rPr>
        <w:t>On an economic basis, our interest expense on borrowings for the years ended December 31, 2025, 2024 and 2023 was $222.4 million, $119.5 million and $109.6 million, respectively, resulting in $191.6 million, $122.1 million and $68.0 million of economic net interest income, respectively.</w:t>
      </w:r>
    </w:p>
    <w:p>
      <w:pPr>
        <w:spacing w:after="0" w:line="181" w:lineRule="exact"/>
        <w:rPr>
          <w:sz w:val="20"/>
          <w:szCs w:val="20"/>
          <w:color w:val="auto"/>
        </w:rPr>
      </w:pPr>
    </w:p>
    <w:p>
      <w:pPr>
        <w:jc w:val="both"/>
        <w:ind w:right="200" w:firstLine="499"/>
        <w:spacing w:after="0" w:line="259" w:lineRule="auto"/>
        <w:rPr>
          <w:sz w:val="20"/>
          <w:szCs w:val="20"/>
          <w:color w:val="auto"/>
        </w:rPr>
      </w:pPr>
      <w:r>
        <w:rPr>
          <w:rFonts w:ascii="Times New Roman" w:cs="Times New Roman" w:eastAsia="Times New Roman" w:hAnsi="Times New Roman"/>
          <w:sz w:val="20"/>
          <w:szCs w:val="20"/>
          <w:color w:val="auto"/>
        </w:rPr>
        <w:t>The tables below provide information on our portfolio average balances, interest income, yield on assets, average borrowings, interest expense, cost of funds, net interest income (expense) and net interest spread for each quarter in 2025, 2024 and 2023 and for the years ended December 31, 2025, 2024 and 2023 on both a GAAP and economic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Yield on</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tcBorders>
              <w:top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Cost of Funds</w:t>
            </w:r>
          </w:p>
        </w:tc>
      </w:tr>
      <w:tr>
        <w:trPr>
          <w:trHeight w:val="192"/>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RMBS</w:t>
            </w:r>
          </w:p>
        </w:tc>
        <w:tc>
          <w:tcPr>
            <w:tcW w:w="280" w:type="dxa"/>
            <w:vAlign w:val="bottom"/>
          </w:tcPr>
          <w:p>
            <w:pPr>
              <w:spacing w:after="0"/>
              <w:rPr>
                <w:sz w:val="16"/>
                <w:szCs w:val="16"/>
                <w:color w:val="auto"/>
              </w:rPr>
            </w:pPr>
          </w:p>
        </w:tc>
        <w:tc>
          <w:tcPr>
            <w:tcW w:w="740" w:type="dxa"/>
            <w:vAlign w:val="bottom"/>
          </w:tcPr>
          <w:p>
            <w:pPr>
              <w:jc w:val="right"/>
              <w:ind w:right="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0" w:type="dxa"/>
            <w:vAlign w:val="bottom"/>
            <w:gridSpan w:val="4"/>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6"/>
                <w:szCs w:val="16"/>
                <w:color w:val="auto"/>
              </w:rPr>
            </w:pPr>
          </w:p>
        </w:tc>
        <w:tc>
          <w:tcPr>
            <w:tcW w:w="1100" w:type="dxa"/>
            <w:vAlign w:val="bottom"/>
            <w:gridSpan w:val="3"/>
          </w:tcPr>
          <w:p>
            <w:pPr>
              <w:ind w:left="60"/>
              <w:spacing w:after="0" w:line="193" w:lineRule="exact"/>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6"/>
                <w:szCs w:val="16"/>
                <w:color w:val="auto"/>
              </w:rPr>
            </w:pPr>
          </w:p>
        </w:tc>
        <w:tc>
          <w:tcPr>
            <w:tcW w:w="760" w:type="dxa"/>
            <w:vAlign w:val="bottom"/>
          </w:tcPr>
          <w:p>
            <w:pPr>
              <w:ind w:left="80"/>
              <w:spacing w:after="0" w:line="193" w:lineRule="exact"/>
              <w:rPr>
                <w:sz w:val="20"/>
                <w:szCs w:val="20"/>
                <w:color w:val="auto"/>
              </w:rPr>
            </w:pPr>
            <w:r>
              <w:rPr>
                <w:rFonts w:ascii="Times New Roman" w:cs="Times New Roman" w:eastAsia="Times New Roman" w:hAnsi="Times New Roman"/>
                <w:sz w:val="18"/>
                <w:szCs w:val="18"/>
                <w:b w:val="1"/>
                <w:bCs w:val="1"/>
                <w:color w:val="auto"/>
              </w:rPr>
              <w:t>GAAP</w:t>
            </w:r>
          </w:p>
        </w:tc>
        <w:tc>
          <w:tcPr>
            <w:tcW w:w="1120" w:type="dxa"/>
            <w:vAlign w:val="bottom"/>
            <w:gridSpan w:val="3"/>
          </w:tcPr>
          <w:p>
            <w:pPr>
              <w:jc w:val="center"/>
              <w:ind w:left="10"/>
              <w:spacing w:after="0" w:line="193" w:lineRule="exact"/>
              <w:rPr>
                <w:sz w:val="20"/>
                <w:szCs w:val="20"/>
                <w:color w:val="auto"/>
              </w:rPr>
            </w:pPr>
            <w:r>
              <w:rPr>
                <w:rFonts w:ascii="Times New Roman" w:cs="Times New Roman" w:eastAsia="Times New Roman" w:hAnsi="Times New Roman"/>
                <w:sz w:val="18"/>
                <w:szCs w:val="18"/>
                <w:b w:val="1"/>
                <w:bCs w:val="1"/>
                <w:color w:val="auto"/>
              </w:rPr>
              <w:t>Economic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50"/>
              <w:spacing w:after="0" w:line="193" w:lineRule="exact"/>
              <w:rPr>
                <w:sz w:val="20"/>
                <w:szCs w:val="20"/>
                <w:color w:val="auto"/>
              </w:rPr>
            </w:pPr>
            <w:r>
              <w:rPr>
                <w:rFonts w:ascii="Times New Roman" w:cs="Times New Roman" w:eastAsia="Times New Roman" w:hAnsi="Times New Roman"/>
                <w:sz w:val="18"/>
                <w:szCs w:val="18"/>
                <w:b w:val="1"/>
                <w:bCs w:val="1"/>
                <w:color w:val="auto"/>
              </w:rPr>
              <w:t>GAAP</w:t>
            </w:r>
          </w:p>
        </w:tc>
        <w:tc>
          <w:tcPr>
            <w:tcW w:w="1080" w:type="dxa"/>
            <w:vAlign w:val="bottom"/>
            <w:gridSpan w:val="4"/>
          </w:tcPr>
          <w:p>
            <w:pPr>
              <w:jc w:val="right"/>
              <w:ind w:right="110"/>
              <w:spacing w:after="0" w:line="193" w:lineRule="exact"/>
              <w:rPr>
                <w:sz w:val="20"/>
                <w:szCs w:val="20"/>
                <w:color w:val="auto"/>
              </w:rPr>
            </w:pPr>
            <w:r>
              <w:rPr>
                <w:rFonts w:ascii="Times New Roman" w:cs="Times New Roman" w:eastAsia="Times New Roman" w:hAnsi="Times New Roman"/>
                <w:sz w:val="18"/>
                <w:szCs w:val="18"/>
                <w:b w:val="1"/>
                <w:bCs w:val="1"/>
                <w:color w:val="auto"/>
              </w:rPr>
              <w:t>Economic</w:t>
            </w:r>
          </w:p>
        </w:tc>
      </w:tr>
      <w:tr>
        <w:trPr>
          <w:trHeight w:val="234"/>
        </w:trPr>
        <w:tc>
          <w:tcPr>
            <w:tcW w:w="2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Held</w:t>
            </w:r>
            <w:r>
              <w:rPr>
                <w:rFonts w:ascii="Times New Roman" w:cs="Times New Roman" w:eastAsia="Times New Roman" w:hAnsi="Times New Roman"/>
                <w:sz w:val="10"/>
                <w:szCs w:val="10"/>
                <w:b w:val="1"/>
                <w:bCs w:val="1"/>
                <w:color w:val="auto"/>
              </w:rPr>
              <w:t>(1)</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RMBS</w:t>
            </w:r>
          </w:p>
        </w:tc>
        <w:tc>
          <w:tcPr>
            <w:tcW w:w="13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Borrowings</w:t>
            </w:r>
            <w:r>
              <w:rPr>
                <w:rFonts w:ascii="Times New Roman" w:cs="Times New Roman" w:eastAsia="Times New Roman" w:hAnsi="Times New Roman"/>
                <w:sz w:val="10"/>
                <w:szCs w:val="10"/>
                <w:b w:val="1"/>
                <w:bCs w:val="1"/>
                <w:color w:val="auto"/>
              </w:rPr>
              <w:t>(1)</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Basis</w:t>
            </w:r>
            <w:r>
              <w:rPr>
                <w:rFonts w:ascii="Times New Roman" w:cs="Times New Roman" w:eastAsia="Times New Roman" w:hAnsi="Times New Roman"/>
                <w:sz w:val="10"/>
                <w:szCs w:val="10"/>
                <w:b w:val="1"/>
                <w:bCs w:val="1"/>
                <w:color w:val="auto"/>
                <w:w w:val="96"/>
              </w:rPr>
              <w:t>(2)</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10"/>
                <w:szCs w:val="10"/>
                <w:b w:val="1"/>
                <w:bCs w:val="1"/>
                <w:color w:val="auto"/>
              </w:rPr>
              <w:t>(3)</w:t>
            </w:r>
          </w:p>
        </w:tc>
      </w:tr>
      <w:tr>
        <w:trPr>
          <w:trHeight w:val="21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22"/>
        </w:trPr>
        <w:tc>
          <w:tcPr>
            <w:tcW w:w="2140" w:type="dxa"/>
            <w:vAlign w:val="bottom"/>
            <w:tcBorders>
              <w:bottom w:val="single" w:sz="8" w:color="DDDDDD"/>
            </w:tcBorders>
            <w:shd w:val="clear" w:color="auto" w:fill="DDDDDD"/>
          </w:tcPr>
          <w:p>
            <w:pPr>
              <w:spacing w:after="0" w:line="202" w:lineRule="exact"/>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76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w w:val="99"/>
              </w:rPr>
              <w:t>9,492,369</w:t>
            </w:r>
          </w:p>
        </w:tc>
        <w:tc>
          <w:tcPr>
            <w:tcW w:w="28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74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132,188</w:t>
            </w:r>
          </w:p>
        </w:tc>
        <w:tc>
          <w:tcPr>
            <w:tcW w:w="300" w:type="dxa"/>
            <w:vAlign w:val="bottom"/>
            <w:tcBorders>
              <w:bottom w:val="single" w:sz="8" w:color="DDDDDD"/>
            </w:tcBorders>
            <w:shd w:val="clear" w:color="auto" w:fill="DDDDDD"/>
          </w:tcPr>
          <w:p>
            <w:pPr>
              <w:spacing w:after="0"/>
              <w:rPr>
                <w:sz w:val="19"/>
                <w:szCs w:val="19"/>
                <w:color w:val="auto"/>
              </w:rPr>
            </w:pPr>
          </w:p>
        </w:tc>
        <w:tc>
          <w:tcPr>
            <w:tcW w:w="740" w:type="dxa"/>
            <w:vAlign w:val="bottom"/>
            <w:tcBorders>
              <w:bottom w:val="single" w:sz="8" w:color="DDDDDD"/>
            </w:tcBorders>
            <w:shd w:val="clear" w:color="auto" w:fill="DDDDDD"/>
          </w:tcPr>
          <w:p>
            <w:pPr>
              <w:ind w:left="420"/>
              <w:spacing w:after="0" w:line="202" w:lineRule="exact"/>
              <w:rPr>
                <w:sz w:val="20"/>
                <w:szCs w:val="20"/>
                <w:color w:val="auto"/>
              </w:rPr>
            </w:pPr>
            <w:r>
              <w:rPr>
                <w:rFonts w:ascii="Times New Roman" w:cs="Times New Roman" w:eastAsia="Times New Roman" w:hAnsi="Times New Roman"/>
                <w:sz w:val="18"/>
                <w:szCs w:val="18"/>
                <w:color w:val="auto"/>
                <w:w w:val="95"/>
              </w:rPr>
              <w:t>5.57</w:t>
            </w:r>
          </w:p>
        </w:tc>
        <w:tc>
          <w:tcPr>
            <w:tcW w:w="20" w:type="dxa"/>
            <w:vAlign w:val="bottom"/>
            <w:tcBorders>
              <w:bottom w:val="single" w:sz="8" w:color="DDDDDD"/>
            </w:tcBorders>
            <w:shd w:val="clear" w:color="auto" w:fill="DDDDDD"/>
          </w:tcPr>
          <w:p>
            <w:pPr>
              <w:spacing w:after="0"/>
              <w:rPr>
                <w:sz w:val="19"/>
                <w:szCs w:val="19"/>
                <w:color w:val="auto"/>
              </w:rPr>
            </w:pPr>
          </w:p>
        </w:tc>
        <w:tc>
          <w:tcPr>
            <w:tcW w:w="140" w:type="dxa"/>
            <w:vAlign w:val="bottom"/>
            <w:tcBorders>
              <w:bottom w:val="single" w:sz="8" w:color="DDDDDD"/>
            </w:tcBorders>
            <w:shd w:val="clear" w:color="auto" w:fill="DDDDDD"/>
          </w:tcPr>
          <w:p>
            <w:pPr>
              <w:spacing w:after="0" w:line="202"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2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90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9,061,222</w:t>
            </w: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760" w:type="dxa"/>
            <w:vAlign w:val="bottom"/>
            <w:tcBorders>
              <w:bottom w:val="single" w:sz="8" w:color="DDDDDD"/>
            </w:tcBorders>
            <w:shd w:val="clear" w:color="auto" w:fill="DDDDDD"/>
          </w:tcPr>
          <w:p>
            <w:pPr>
              <w:ind w:left="260"/>
              <w:spacing w:after="0" w:line="202" w:lineRule="exact"/>
              <w:rPr>
                <w:sz w:val="20"/>
                <w:szCs w:val="20"/>
                <w:color w:val="auto"/>
              </w:rPr>
            </w:pPr>
            <w:r>
              <w:rPr>
                <w:rFonts w:ascii="Times New Roman" w:cs="Times New Roman" w:eastAsia="Times New Roman" w:hAnsi="Times New Roman"/>
                <w:sz w:val="18"/>
                <w:szCs w:val="18"/>
                <w:color w:val="auto"/>
                <w:w w:val="96"/>
              </w:rPr>
              <w:t>93,705</w:t>
            </w:r>
          </w:p>
        </w:tc>
        <w:tc>
          <w:tcPr>
            <w:tcW w:w="28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76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74,127</w:t>
            </w:r>
          </w:p>
        </w:tc>
        <w:tc>
          <w:tcPr>
            <w:tcW w:w="8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74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4.14</w:t>
            </w:r>
          </w:p>
        </w:tc>
        <w:tc>
          <w:tcPr>
            <w:tcW w:w="2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9"/>
                <w:szCs w:val="19"/>
                <w:color w:val="auto"/>
              </w:rPr>
            </w:pPr>
          </w:p>
        </w:tc>
        <w:tc>
          <w:tcPr>
            <w:tcW w:w="74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3.27</w:t>
            </w:r>
          </w:p>
        </w:tc>
        <w:tc>
          <w:tcPr>
            <w:tcW w:w="20" w:type="dxa"/>
            <w:vAlign w:val="bottom"/>
            <w:tcBorders>
              <w:bottom w:val="single" w:sz="8" w:color="DDDDDD"/>
            </w:tcBorders>
            <w:shd w:val="clear" w:color="auto" w:fill="DDDDDD"/>
          </w:tcPr>
          <w:p>
            <w:pPr>
              <w:spacing w:after="0"/>
              <w:rPr>
                <w:sz w:val="19"/>
                <w:szCs w:val="19"/>
                <w:color w:val="auto"/>
              </w:rPr>
            </w:pPr>
          </w:p>
        </w:tc>
        <w:tc>
          <w:tcPr>
            <w:tcW w:w="14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182"/>
        </w:trPr>
        <w:tc>
          <w:tcPr>
            <w:tcW w:w="2140" w:type="dxa"/>
            <w:vAlign w:val="bottom"/>
            <w:tcBorders>
              <w:bottom w:val="single" w:sz="8" w:color="DDDDDD"/>
            </w:tcBorders>
          </w:tcPr>
          <w:p>
            <w:pPr>
              <w:spacing w:after="0" w:line="182" w:lineRule="exact"/>
              <w:rPr>
                <w:sz w:val="20"/>
                <w:szCs w:val="20"/>
                <w:color w:val="auto"/>
              </w:rPr>
            </w:pPr>
            <w:r>
              <w:rPr>
                <w:rFonts w:ascii="Times New Roman" w:cs="Times New Roman" w:eastAsia="Times New Roman" w:hAnsi="Times New Roman"/>
                <w:sz w:val="18"/>
                <w:szCs w:val="18"/>
                <w:color w:val="auto"/>
              </w:rPr>
              <w:t>September 30, 2025</w:t>
            </w:r>
          </w:p>
        </w:tc>
        <w:tc>
          <w:tcPr>
            <w:tcW w:w="96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7,674,720</w:t>
            </w:r>
          </w:p>
        </w:tc>
        <w:tc>
          <w:tcPr>
            <w:tcW w:w="280" w:type="dxa"/>
            <w:vAlign w:val="bottom"/>
            <w:tcBorders>
              <w:bottom w:val="single" w:sz="8" w:color="DDDDDD"/>
            </w:tcBorders>
          </w:tcPr>
          <w:p>
            <w:pPr>
              <w:spacing w:after="0"/>
              <w:rPr>
                <w:sz w:val="15"/>
                <w:szCs w:val="15"/>
                <w:color w:val="auto"/>
              </w:rPr>
            </w:pPr>
          </w:p>
        </w:tc>
        <w:tc>
          <w:tcPr>
            <w:tcW w:w="74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108,434</w:t>
            </w:r>
          </w:p>
        </w:tc>
        <w:tc>
          <w:tcPr>
            <w:tcW w:w="1040" w:type="dxa"/>
            <w:vAlign w:val="bottom"/>
            <w:tcBorders>
              <w:bottom w:val="single" w:sz="8" w:color="DDDDDD"/>
            </w:tcBorders>
            <w:gridSpan w:val="2"/>
          </w:tcPr>
          <w:p>
            <w:pPr>
              <w:ind w:left="720"/>
              <w:spacing w:after="0" w:line="182" w:lineRule="exact"/>
              <w:rPr>
                <w:sz w:val="20"/>
                <w:szCs w:val="20"/>
                <w:color w:val="auto"/>
              </w:rPr>
            </w:pPr>
            <w:r>
              <w:rPr>
                <w:rFonts w:ascii="Times New Roman" w:cs="Times New Roman" w:eastAsia="Times New Roman" w:hAnsi="Times New Roman"/>
                <w:sz w:val="18"/>
                <w:szCs w:val="18"/>
                <w:color w:val="auto"/>
                <w:w w:val="95"/>
              </w:rPr>
              <w:t>5.65</w:t>
            </w:r>
          </w:p>
        </w:tc>
        <w:tc>
          <w:tcPr>
            <w:tcW w:w="20" w:type="dxa"/>
            <w:vAlign w:val="bottom"/>
            <w:tcBorders>
              <w:bottom w:val="single" w:sz="8" w:color="DDDDDD"/>
            </w:tcBorders>
          </w:tcPr>
          <w:p>
            <w:pPr>
              <w:spacing w:after="0"/>
              <w:rPr>
                <w:sz w:val="15"/>
                <w:szCs w:val="15"/>
                <w:color w:val="auto"/>
              </w:rPr>
            </w:pPr>
          </w:p>
        </w:tc>
        <w:tc>
          <w:tcPr>
            <w:tcW w:w="140" w:type="dxa"/>
            <w:vAlign w:val="bottom"/>
            <w:tcBorders>
              <w:bottom w:val="single" w:sz="8" w:color="DDDDDD"/>
            </w:tcBorders>
          </w:tcPr>
          <w:p>
            <w:pPr>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DDDDDD"/>
            </w:tcBorders>
          </w:tcPr>
          <w:p>
            <w:pPr>
              <w:spacing w:after="0"/>
              <w:rPr>
                <w:sz w:val="15"/>
                <w:szCs w:val="15"/>
                <w:color w:val="auto"/>
              </w:rPr>
            </w:pPr>
          </w:p>
        </w:tc>
        <w:tc>
          <w:tcPr>
            <w:tcW w:w="90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7,331,428</w:t>
            </w:r>
          </w:p>
        </w:tc>
        <w:tc>
          <w:tcPr>
            <w:tcW w:w="20" w:type="dxa"/>
            <w:vAlign w:val="bottom"/>
            <w:tcBorders>
              <w:bottom w:val="single" w:sz="8" w:color="DDDDDD"/>
            </w:tcBorders>
          </w:tcPr>
          <w:p>
            <w:pPr>
              <w:spacing w:after="0"/>
              <w:rPr>
                <w:sz w:val="15"/>
                <w:szCs w:val="15"/>
                <w:color w:val="auto"/>
              </w:rPr>
            </w:pPr>
          </w:p>
        </w:tc>
        <w:tc>
          <w:tcPr>
            <w:tcW w:w="18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760" w:type="dxa"/>
            <w:vAlign w:val="bottom"/>
            <w:tcBorders>
              <w:bottom w:val="single" w:sz="8" w:color="DDDDDD"/>
            </w:tcBorders>
          </w:tcPr>
          <w:p>
            <w:pPr>
              <w:ind w:left="260"/>
              <w:spacing w:after="0" w:line="182" w:lineRule="exact"/>
              <w:rPr>
                <w:sz w:val="20"/>
                <w:szCs w:val="20"/>
                <w:color w:val="auto"/>
              </w:rPr>
            </w:pPr>
            <w:r>
              <w:rPr>
                <w:rFonts w:ascii="Times New Roman" w:cs="Times New Roman" w:eastAsia="Times New Roman" w:hAnsi="Times New Roman"/>
                <w:sz w:val="18"/>
                <w:szCs w:val="18"/>
                <w:color w:val="auto"/>
                <w:w w:val="96"/>
              </w:rPr>
              <w:t>81,515</w:t>
            </w:r>
          </w:p>
        </w:tc>
        <w:tc>
          <w:tcPr>
            <w:tcW w:w="280" w:type="dxa"/>
            <w:vAlign w:val="bottom"/>
            <w:tcBorders>
              <w:bottom w:val="single" w:sz="8" w:color="DDDDDD"/>
            </w:tcBorders>
          </w:tcPr>
          <w:p>
            <w:pPr>
              <w:spacing w:after="0"/>
              <w:rPr>
                <w:sz w:val="15"/>
                <w:szCs w:val="15"/>
                <w:color w:val="auto"/>
              </w:rPr>
            </w:pPr>
          </w:p>
        </w:tc>
        <w:tc>
          <w:tcPr>
            <w:tcW w:w="7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59,643</w:t>
            </w:r>
          </w:p>
        </w:tc>
        <w:tc>
          <w:tcPr>
            <w:tcW w:w="80" w:type="dxa"/>
            <w:vAlign w:val="bottom"/>
            <w:tcBorders>
              <w:bottom w:val="single" w:sz="8" w:color="DDDDDD"/>
            </w:tcBorders>
          </w:tcPr>
          <w:p>
            <w:pPr>
              <w:spacing w:after="0"/>
              <w:rPr>
                <w:sz w:val="15"/>
                <w:szCs w:val="15"/>
                <w:color w:val="auto"/>
              </w:rPr>
            </w:pPr>
          </w:p>
        </w:tc>
        <w:tc>
          <w:tcPr>
            <w:tcW w:w="940" w:type="dxa"/>
            <w:vAlign w:val="bottom"/>
            <w:tcBorders>
              <w:bottom w:val="single" w:sz="8" w:color="DDDDDD"/>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4.45</w:t>
            </w:r>
          </w:p>
        </w:tc>
        <w:tc>
          <w:tcPr>
            <w:tcW w:w="20" w:type="dxa"/>
            <w:vAlign w:val="bottom"/>
            <w:tcBorders>
              <w:bottom w:val="single" w:sz="8" w:color="DDDDDD"/>
            </w:tcBorders>
          </w:tcPr>
          <w:p>
            <w:pPr>
              <w:spacing w:after="0"/>
              <w:rPr>
                <w:sz w:val="15"/>
                <w:szCs w:val="15"/>
                <w:color w:val="auto"/>
              </w:rPr>
            </w:pPr>
          </w:p>
        </w:tc>
        <w:tc>
          <w:tcPr>
            <w:tcW w:w="1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3.25</w:t>
            </w:r>
          </w:p>
        </w:tc>
        <w:tc>
          <w:tcPr>
            <w:tcW w:w="20" w:type="dxa"/>
            <w:vAlign w:val="bottom"/>
            <w:tcBorders>
              <w:bottom w:val="single" w:sz="8" w:color="DDDDDD"/>
            </w:tcBorders>
          </w:tcPr>
          <w:p>
            <w:pPr>
              <w:spacing w:after="0"/>
              <w:rPr>
                <w:sz w:val="15"/>
                <w:szCs w:val="15"/>
                <w:color w:val="auto"/>
              </w:rPr>
            </w:pPr>
          </w:p>
        </w:tc>
        <w:tc>
          <w:tcPr>
            <w:tcW w:w="14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6,865,727</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92,289</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1" w:lineRule="exact"/>
              <w:rPr>
                <w:sz w:val="20"/>
                <w:szCs w:val="20"/>
                <w:color w:val="auto"/>
              </w:rPr>
            </w:pPr>
            <w:r>
              <w:rPr>
                <w:rFonts w:ascii="Times New Roman" w:cs="Times New Roman" w:eastAsia="Times New Roman" w:hAnsi="Times New Roman"/>
                <w:sz w:val="18"/>
                <w:szCs w:val="18"/>
                <w:color w:val="auto"/>
                <w:w w:val="95"/>
              </w:rPr>
              <w:t>5.38</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6,537,260</w:t>
            </w:r>
          </w:p>
        </w:tc>
        <w:tc>
          <w:tcPr>
            <w:tcW w:w="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ind w:left="260"/>
              <w:spacing w:after="0" w:line="191" w:lineRule="exact"/>
              <w:rPr>
                <w:sz w:val="20"/>
                <w:szCs w:val="20"/>
                <w:color w:val="auto"/>
              </w:rPr>
            </w:pPr>
            <w:r>
              <w:rPr>
                <w:rFonts w:ascii="Times New Roman" w:cs="Times New Roman" w:eastAsia="Times New Roman" w:hAnsi="Times New Roman"/>
                <w:sz w:val="18"/>
                <w:szCs w:val="18"/>
                <w:color w:val="auto"/>
                <w:w w:val="96"/>
              </w:rPr>
              <w:t>69,135</w:t>
            </w:r>
          </w:p>
        </w:tc>
        <w:tc>
          <w:tcPr>
            <w:tcW w:w="2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48,198</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4.23</w:t>
            </w:r>
          </w:p>
        </w:tc>
        <w:tc>
          <w:tcPr>
            <w:tcW w:w="2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2.95</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3"/>
        </w:trPr>
        <w:tc>
          <w:tcPr>
            <w:tcW w:w="214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2025</w:t>
            </w:r>
          </w:p>
        </w:tc>
        <w:tc>
          <w:tcPr>
            <w:tcW w:w="96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5,995,702</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81,090</w:t>
            </w:r>
          </w:p>
        </w:tc>
        <w:tc>
          <w:tcPr>
            <w:tcW w:w="1040" w:type="dxa"/>
            <w:vAlign w:val="bottom"/>
            <w:tcBorders>
              <w:bottom w:val="single" w:sz="8" w:color="DDDDDD"/>
            </w:tcBorders>
            <w:gridSpan w:val="2"/>
          </w:tcPr>
          <w:p>
            <w:pPr>
              <w:ind w:left="720"/>
              <w:spacing w:after="0" w:line="203" w:lineRule="exact"/>
              <w:rPr>
                <w:sz w:val="20"/>
                <w:szCs w:val="20"/>
                <w:color w:val="auto"/>
              </w:rPr>
            </w:pPr>
            <w:r>
              <w:rPr>
                <w:rFonts w:ascii="Times New Roman" w:cs="Times New Roman" w:eastAsia="Times New Roman" w:hAnsi="Times New Roman"/>
                <w:sz w:val="18"/>
                <w:szCs w:val="18"/>
                <w:color w:val="auto"/>
                <w:w w:val="95"/>
              </w:rPr>
              <w:t>5.41</w:t>
            </w:r>
          </w:p>
        </w:tc>
        <w:tc>
          <w:tcPr>
            <w:tcW w:w="160" w:type="dxa"/>
            <w:vAlign w:val="bottom"/>
            <w:tcBorders>
              <w:bottom w:val="single" w:sz="8" w:color="DDDDDD"/>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5,722,092</w:t>
            </w: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ind w:left="260"/>
              <w:spacing w:after="0" w:line="203" w:lineRule="exact"/>
              <w:rPr>
                <w:sz w:val="20"/>
                <w:szCs w:val="20"/>
                <w:color w:val="auto"/>
              </w:rPr>
            </w:pPr>
            <w:r>
              <w:rPr>
                <w:rFonts w:ascii="Times New Roman" w:cs="Times New Roman" w:eastAsia="Times New Roman" w:hAnsi="Times New Roman"/>
                <w:sz w:val="18"/>
                <w:szCs w:val="18"/>
                <w:color w:val="auto"/>
                <w:w w:val="96"/>
              </w:rPr>
              <w:t>61,377</w:t>
            </w:r>
          </w:p>
        </w:tc>
        <w:tc>
          <w:tcPr>
            <w:tcW w:w="28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40,465</w:t>
            </w:r>
          </w:p>
        </w:tc>
        <w:tc>
          <w:tcPr>
            <w:tcW w:w="80" w:type="dxa"/>
            <w:vAlign w:val="bottom"/>
            <w:tcBorders>
              <w:bottom w:val="single" w:sz="8" w:color="DDDDDD"/>
            </w:tcBorders>
          </w:tcPr>
          <w:p>
            <w:pPr>
              <w:spacing w:after="0"/>
              <w:rPr>
                <w:sz w:val="17"/>
                <w:szCs w:val="17"/>
                <w:color w:val="auto"/>
              </w:rPr>
            </w:pPr>
          </w:p>
        </w:tc>
        <w:tc>
          <w:tcPr>
            <w:tcW w:w="1120" w:type="dxa"/>
            <w:vAlign w:val="bottom"/>
            <w:tcBorders>
              <w:bottom w:val="single" w:sz="8" w:color="DDDDDD"/>
            </w:tcBorders>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auto"/>
              </w:rPr>
              <w:t>4.29 %</w:t>
            </w:r>
          </w:p>
        </w:tc>
        <w:tc>
          <w:tcPr>
            <w:tcW w:w="1080" w:type="dxa"/>
            <w:vAlign w:val="bottom"/>
            <w:tcBorders>
              <w:bottom w:val="single" w:sz="8" w:color="DDDDDD"/>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2.83 %</w:t>
            </w: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5,348,057</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71,996</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1" w:lineRule="exact"/>
              <w:rPr>
                <w:sz w:val="20"/>
                <w:szCs w:val="20"/>
                <w:color w:val="auto"/>
              </w:rPr>
            </w:pPr>
            <w:r>
              <w:rPr>
                <w:rFonts w:ascii="Times New Roman" w:cs="Times New Roman" w:eastAsia="Times New Roman" w:hAnsi="Times New Roman"/>
                <w:sz w:val="18"/>
                <w:szCs w:val="18"/>
                <w:color w:val="auto"/>
                <w:w w:val="95"/>
              </w:rPr>
              <w:t>5.38</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5,128,207</w:t>
            </w:r>
          </w:p>
        </w:tc>
        <w:tc>
          <w:tcPr>
            <w:tcW w:w="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ind w:left="260"/>
              <w:spacing w:after="0" w:line="191" w:lineRule="exact"/>
              <w:rPr>
                <w:sz w:val="20"/>
                <w:szCs w:val="20"/>
                <w:color w:val="auto"/>
              </w:rPr>
            </w:pPr>
            <w:r>
              <w:rPr>
                <w:rFonts w:ascii="Times New Roman" w:cs="Times New Roman" w:eastAsia="Times New Roman" w:hAnsi="Times New Roman"/>
                <w:sz w:val="18"/>
                <w:szCs w:val="18"/>
                <w:color w:val="auto"/>
                <w:w w:val="96"/>
              </w:rPr>
              <w:t>63,853</w:t>
            </w:r>
          </w:p>
        </w:tc>
        <w:tc>
          <w:tcPr>
            <w:tcW w:w="2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36,071</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4.98</w:t>
            </w:r>
          </w:p>
        </w:tc>
        <w:tc>
          <w:tcPr>
            <w:tcW w:w="2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2.81</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3"/>
        </w:trPr>
        <w:tc>
          <w:tcPr>
            <w:tcW w:w="214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2024</w:t>
            </w:r>
          </w:p>
        </w:tc>
        <w:tc>
          <w:tcPr>
            <w:tcW w:w="96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4,984,279</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67,646</w:t>
            </w:r>
          </w:p>
        </w:tc>
        <w:tc>
          <w:tcPr>
            <w:tcW w:w="1040" w:type="dxa"/>
            <w:vAlign w:val="bottom"/>
            <w:tcBorders>
              <w:bottom w:val="single" w:sz="8" w:color="DDDDDD"/>
            </w:tcBorders>
            <w:gridSpan w:val="2"/>
          </w:tcPr>
          <w:p>
            <w:pPr>
              <w:ind w:left="720"/>
              <w:spacing w:after="0" w:line="203" w:lineRule="exact"/>
              <w:rPr>
                <w:sz w:val="20"/>
                <w:szCs w:val="20"/>
                <w:color w:val="auto"/>
              </w:rPr>
            </w:pPr>
            <w:r>
              <w:rPr>
                <w:rFonts w:ascii="Times New Roman" w:cs="Times New Roman" w:eastAsia="Times New Roman" w:hAnsi="Times New Roman"/>
                <w:sz w:val="18"/>
                <w:szCs w:val="18"/>
                <w:color w:val="auto"/>
                <w:w w:val="95"/>
              </w:rPr>
              <w:t>5.43</w:t>
            </w:r>
          </w:p>
        </w:tc>
        <w:tc>
          <w:tcPr>
            <w:tcW w:w="160" w:type="dxa"/>
            <w:vAlign w:val="bottom"/>
            <w:tcBorders>
              <w:bottom w:val="single" w:sz="8" w:color="DDDDDD"/>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4,788,287</w:t>
            </w: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ind w:left="260"/>
              <w:spacing w:after="0" w:line="203" w:lineRule="exact"/>
              <w:rPr>
                <w:sz w:val="20"/>
                <w:szCs w:val="20"/>
                <w:color w:val="auto"/>
              </w:rPr>
            </w:pPr>
            <w:r>
              <w:rPr>
                <w:rFonts w:ascii="Times New Roman" w:cs="Times New Roman" w:eastAsia="Times New Roman" w:hAnsi="Times New Roman"/>
                <w:sz w:val="18"/>
                <w:szCs w:val="18"/>
                <w:color w:val="auto"/>
                <w:w w:val="96"/>
              </w:rPr>
              <w:t>67,306</w:t>
            </w:r>
          </w:p>
        </w:tc>
        <w:tc>
          <w:tcPr>
            <w:tcW w:w="28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35,382</w:t>
            </w:r>
          </w:p>
        </w:tc>
        <w:tc>
          <w:tcPr>
            <w:tcW w:w="80" w:type="dxa"/>
            <w:vAlign w:val="bottom"/>
            <w:tcBorders>
              <w:bottom w:val="single" w:sz="8" w:color="DDDDDD"/>
            </w:tcBorders>
          </w:tcPr>
          <w:p>
            <w:pPr>
              <w:spacing w:after="0"/>
              <w:rPr>
                <w:sz w:val="17"/>
                <w:szCs w:val="17"/>
                <w:color w:val="auto"/>
              </w:rPr>
            </w:pPr>
          </w:p>
        </w:tc>
        <w:tc>
          <w:tcPr>
            <w:tcW w:w="1120" w:type="dxa"/>
            <w:vAlign w:val="bottom"/>
            <w:tcBorders>
              <w:bottom w:val="single" w:sz="8" w:color="DDDDDD"/>
            </w:tcBorders>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auto"/>
              </w:rPr>
              <w:t>5.62 %</w:t>
            </w:r>
          </w:p>
        </w:tc>
        <w:tc>
          <w:tcPr>
            <w:tcW w:w="1080" w:type="dxa"/>
            <w:vAlign w:val="bottom"/>
            <w:tcBorders>
              <w:bottom w:val="single" w:sz="8" w:color="DDDDDD"/>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2.96 %</w:t>
            </w: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4,203,416</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53,064</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1" w:lineRule="exact"/>
              <w:rPr>
                <w:sz w:val="20"/>
                <w:szCs w:val="20"/>
                <w:color w:val="auto"/>
              </w:rPr>
            </w:pPr>
            <w:r>
              <w:rPr>
                <w:rFonts w:ascii="Times New Roman" w:cs="Times New Roman" w:eastAsia="Times New Roman" w:hAnsi="Times New Roman"/>
                <w:sz w:val="18"/>
                <w:szCs w:val="18"/>
                <w:color w:val="auto"/>
                <w:w w:val="95"/>
              </w:rPr>
              <w:t>5.05</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4,028,601</w:t>
            </w:r>
          </w:p>
        </w:tc>
        <w:tc>
          <w:tcPr>
            <w:tcW w:w="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ind w:left="260"/>
              <w:spacing w:after="0" w:line="191" w:lineRule="exact"/>
              <w:rPr>
                <w:sz w:val="20"/>
                <w:szCs w:val="20"/>
                <w:color w:val="auto"/>
              </w:rPr>
            </w:pPr>
            <w:r>
              <w:rPr>
                <w:rFonts w:ascii="Times New Roman" w:cs="Times New Roman" w:eastAsia="Times New Roman" w:hAnsi="Times New Roman"/>
                <w:sz w:val="18"/>
                <w:szCs w:val="18"/>
                <w:color w:val="auto"/>
                <w:w w:val="96"/>
              </w:rPr>
              <w:t>53,761</w:t>
            </w:r>
          </w:p>
        </w:tc>
        <w:tc>
          <w:tcPr>
            <w:tcW w:w="2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24,302</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5.34</w:t>
            </w:r>
          </w:p>
        </w:tc>
        <w:tc>
          <w:tcPr>
            <w:tcW w:w="2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1"/>
        </w:trPr>
        <w:tc>
          <w:tcPr>
            <w:tcW w:w="21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2024</w:t>
            </w:r>
          </w:p>
        </w:tc>
        <w:tc>
          <w:tcPr>
            <w:tcW w:w="96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3,887,545</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48,871</w:t>
            </w:r>
          </w:p>
        </w:tc>
        <w:tc>
          <w:tcPr>
            <w:tcW w:w="1040" w:type="dxa"/>
            <w:vAlign w:val="bottom"/>
            <w:tcBorders>
              <w:bottom w:val="single" w:sz="8" w:color="DDDDDD"/>
            </w:tcBorders>
            <w:gridSpan w:val="2"/>
          </w:tcPr>
          <w:p>
            <w:pPr>
              <w:ind w:left="720"/>
              <w:spacing w:after="0" w:line="201" w:lineRule="exact"/>
              <w:rPr>
                <w:sz w:val="20"/>
                <w:szCs w:val="20"/>
                <w:color w:val="auto"/>
              </w:rPr>
            </w:pPr>
            <w:r>
              <w:rPr>
                <w:rFonts w:ascii="Times New Roman" w:cs="Times New Roman" w:eastAsia="Times New Roman" w:hAnsi="Times New Roman"/>
                <w:sz w:val="18"/>
                <w:szCs w:val="18"/>
                <w:color w:val="auto"/>
                <w:w w:val="95"/>
              </w:rPr>
              <w:t>5.03</w:t>
            </w:r>
          </w:p>
        </w:tc>
        <w:tc>
          <w:tcPr>
            <w:tcW w:w="160" w:type="dxa"/>
            <w:vAlign w:val="bottom"/>
            <w:tcBorders>
              <w:bottom w:val="single" w:sz="8" w:color="DDDDDD"/>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3,708,573</w:t>
            </w: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ind w:left="260"/>
              <w:spacing w:after="0" w:line="201" w:lineRule="exact"/>
              <w:rPr>
                <w:sz w:val="20"/>
                <w:szCs w:val="20"/>
                <w:color w:val="auto"/>
              </w:rPr>
            </w:pPr>
            <w:r>
              <w:rPr>
                <w:rFonts w:ascii="Times New Roman" w:cs="Times New Roman" w:eastAsia="Times New Roman" w:hAnsi="Times New Roman"/>
                <w:sz w:val="18"/>
                <w:szCs w:val="18"/>
                <w:color w:val="auto"/>
                <w:w w:val="96"/>
              </w:rPr>
              <w:t>51,361</w:t>
            </w:r>
          </w:p>
        </w:tc>
        <w:tc>
          <w:tcPr>
            <w:tcW w:w="28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23,774</w:t>
            </w:r>
          </w:p>
        </w:tc>
        <w:tc>
          <w:tcPr>
            <w:tcW w:w="80" w:type="dxa"/>
            <w:vAlign w:val="bottom"/>
            <w:tcBorders>
              <w:bottom w:val="single" w:sz="8" w:color="DDDDDD"/>
            </w:tcBorders>
          </w:tcPr>
          <w:p>
            <w:pPr>
              <w:spacing w:after="0"/>
              <w:rPr>
                <w:sz w:val="17"/>
                <w:szCs w:val="17"/>
                <w:color w:val="auto"/>
              </w:rPr>
            </w:pPr>
          </w:p>
        </w:tc>
        <w:tc>
          <w:tcPr>
            <w:tcW w:w="1120" w:type="dxa"/>
            <w:vAlign w:val="bottom"/>
            <w:tcBorders>
              <w:bottom w:val="single" w:sz="8" w:color="DDDDDD"/>
            </w:tcBorders>
            <w:gridSpan w:val="5"/>
          </w:tcPr>
          <w:p>
            <w:pPr>
              <w:jc w:val="right"/>
              <w:spacing w:after="0" w:line="201" w:lineRule="exact"/>
              <w:rPr>
                <w:sz w:val="20"/>
                <w:szCs w:val="20"/>
                <w:color w:val="auto"/>
              </w:rPr>
            </w:pPr>
            <w:r>
              <w:rPr>
                <w:rFonts w:ascii="Times New Roman" w:cs="Times New Roman" w:eastAsia="Times New Roman" w:hAnsi="Times New Roman"/>
                <w:sz w:val="18"/>
                <w:szCs w:val="18"/>
                <w:color w:val="auto"/>
              </w:rPr>
              <w:t>5.54 %</w:t>
            </w:r>
          </w:p>
        </w:tc>
        <w:tc>
          <w:tcPr>
            <w:tcW w:w="1080" w:type="dxa"/>
            <w:vAlign w:val="bottom"/>
            <w:tcBorders>
              <w:bottom w:val="single" w:sz="8" w:color="DDDDDD"/>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2.56 %</w:t>
            </w:r>
          </w:p>
        </w:tc>
      </w:tr>
      <w:tr>
        <w:trPr>
          <w:trHeight w:val="194"/>
        </w:trPr>
        <w:tc>
          <w:tcPr>
            <w:tcW w:w="214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9"/>
              </w:rPr>
              <w:t>4,207,118</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49,539</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4" w:lineRule="exact"/>
              <w:rPr>
                <w:sz w:val="20"/>
                <w:szCs w:val="20"/>
                <w:color w:val="auto"/>
              </w:rPr>
            </w:pPr>
            <w:r>
              <w:rPr>
                <w:rFonts w:ascii="Times New Roman" w:cs="Times New Roman" w:eastAsia="Times New Roman" w:hAnsi="Times New Roman"/>
                <w:sz w:val="18"/>
                <w:szCs w:val="18"/>
                <w:color w:val="auto"/>
                <w:w w:val="95"/>
              </w:rPr>
              <w:t>4.71</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4,066,298</w:t>
            </w:r>
          </w:p>
        </w:tc>
        <w:tc>
          <w:tcPr>
            <w:tcW w:w="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ind w:left="260"/>
              <w:spacing w:after="0" w:line="194" w:lineRule="exact"/>
              <w:rPr>
                <w:sz w:val="20"/>
                <w:szCs w:val="20"/>
                <w:color w:val="auto"/>
              </w:rPr>
            </w:pPr>
            <w:r>
              <w:rPr>
                <w:rFonts w:ascii="Times New Roman" w:cs="Times New Roman" w:eastAsia="Times New Roman" w:hAnsi="Times New Roman"/>
                <w:sz w:val="18"/>
                <w:szCs w:val="18"/>
                <w:color w:val="auto"/>
                <w:w w:val="96"/>
              </w:rPr>
              <w:t>52,325</w:t>
            </w:r>
          </w:p>
        </w:tc>
        <w:tc>
          <w:tcPr>
            <w:tcW w:w="2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27,164</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5.15</w:t>
            </w:r>
          </w:p>
        </w:tc>
        <w:tc>
          <w:tcPr>
            <w:tcW w:w="2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2.67</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1"/>
        </w:trPr>
        <w:tc>
          <w:tcPr>
            <w:tcW w:w="21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2023</w:t>
            </w:r>
          </w:p>
        </w:tc>
        <w:tc>
          <w:tcPr>
            <w:tcW w:w="96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4,447,098</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50,107</w:t>
            </w:r>
          </w:p>
        </w:tc>
        <w:tc>
          <w:tcPr>
            <w:tcW w:w="1040" w:type="dxa"/>
            <w:vAlign w:val="bottom"/>
            <w:tcBorders>
              <w:bottom w:val="single" w:sz="8" w:color="DDDDDD"/>
            </w:tcBorders>
            <w:gridSpan w:val="2"/>
          </w:tcPr>
          <w:p>
            <w:pPr>
              <w:ind w:left="720"/>
              <w:spacing w:after="0" w:line="201" w:lineRule="exact"/>
              <w:rPr>
                <w:sz w:val="20"/>
                <w:szCs w:val="20"/>
                <w:color w:val="auto"/>
              </w:rPr>
            </w:pPr>
            <w:r>
              <w:rPr>
                <w:rFonts w:ascii="Times New Roman" w:cs="Times New Roman" w:eastAsia="Times New Roman" w:hAnsi="Times New Roman"/>
                <w:sz w:val="18"/>
                <w:szCs w:val="18"/>
                <w:color w:val="auto"/>
                <w:w w:val="95"/>
              </w:rPr>
              <w:t>4.51</w:t>
            </w:r>
          </w:p>
        </w:tc>
        <w:tc>
          <w:tcPr>
            <w:tcW w:w="160" w:type="dxa"/>
            <w:vAlign w:val="bottom"/>
            <w:tcBorders>
              <w:bottom w:val="single" w:sz="8" w:color="DDDDDD"/>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4,314,332</w:t>
            </w:r>
          </w:p>
        </w:tc>
        <w:tc>
          <w:tcPr>
            <w:tcW w:w="20" w:type="dxa"/>
            <w:vAlign w:val="bottom"/>
            <w:tcBorders>
              <w:bottom w:val="single" w:sz="8" w:color="DDDDDD"/>
            </w:tcBorders>
          </w:tcPr>
          <w:p>
            <w:pPr>
              <w:spacing w:after="0"/>
              <w:rPr>
                <w:sz w:val="17"/>
                <w:szCs w:val="17"/>
                <w:color w:val="auto"/>
              </w:rPr>
            </w:pPr>
          </w:p>
        </w:tc>
        <w:tc>
          <w:tcPr>
            <w:tcW w:w="18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ind w:left="260"/>
              <w:spacing w:after="0" w:line="201" w:lineRule="exact"/>
              <w:rPr>
                <w:sz w:val="20"/>
                <w:szCs w:val="20"/>
                <w:color w:val="auto"/>
              </w:rPr>
            </w:pPr>
            <w:r>
              <w:rPr>
                <w:rFonts w:ascii="Times New Roman" w:cs="Times New Roman" w:eastAsia="Times New Roman" w:hAnsi="Times New Roman"/>
                <w:sz w:val="18"/>
                <w:szCs w:val="18"/>
                <w:color w:val="auto"/>
                <w:w w:val="96"/>
              </w:rPr>
              <w:t>58,705</w:t>
            </w:r>
          </w:p>
        </w:tc>
        <w:tc>
          <w:tcPr>
            <w:tcW w:w="28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34,265</w:t>
            </w:r>
          </w:p>
        </w:tc>
        <w:tc>
          <w:tcPr>
            <w:tcW w:w="80" w:type="dxa"/>
            <w:vAlign w:val="bottom"/>
            <w:tcBorders>
              <w:bottom w:val="single" w:sz="8" w:color="DDDDDD"/>
            </w:tcBorders>
          </w:tcPr>
          <w:p>
            <w:pPr>
              <w:spacing w:after="0"/>
              <w:rPr>
                <w:sz w:val="17"/>
                <w:szCs w:val="17"/>
                <w:color w:val="auto"/>
              </w:rPr>
            </w:pPr>
          </w:p>
        </w:tc>
        <w:tc>
          <w:tcPr>
            <w:tcW w:w="1120" w:type="dxa"/>
            <w:vAlign w:val="bottom"/>
            <w:tcBorders>
              <w:bottom w:val="single" w:sz="8" w:color="DDDDDD"/>
            </w:tcBorders>
            <w:gridSpan w:val="5"/>
          </w:tcPr>
          <w:p>
            <w:pPr>
              <w:jc w:val="right"/>
              <w:spacing w:after="0" w:line="201" w:lineRule="exact"/>
              <w:rPr>
                <w:sz w:val="20"/>
                <w:szCs w:val="20"/>
                <w:color w:val="auto"/>
              </w:rPr>
            </w:pPr>
            <w:r>
              <w:rPr>
                <w:rFonts w:ascii="Times New Roman" w:cs="Times New Roman" w:eastAsia="Times New Roman" w:hAnsi="Times New Roman"/>
                <w:sz w:val="18"/>
                <w:szCs w:val="18"/>
                <w:color w:val="auto"/>
              </w:rPr>
              <w:t>5.44 %</w:t>
            </w:r>
          </w:p>
        </w:tc>
        <w:tc>
          <w:tcPr>
            <w:tcW w:w="1080" w:type="dxa"/>
            <w:vAlign w:val="bottom"/>
            <w:tcBorders>
              <w:bottom w:val="single" w:sz="8" w:color="DDDDDD"/>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3.18 %</w:t>
            </w:r>
          </w:p>
        </w:tc>
      </w:tr>
      <w:tr>
        <w:trPr>
          <w:trHeight w:val="194"/>
        </w:trPr>
        <w:tc>
          <w:tcPr>
            <w:tcW w:w="214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2023</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9"/>
              </w:rPr>
              <w:t>4,186,939</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39,911</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4" w:lineRule="exact"/>
              <w:rPr>
                <w:sz w:val="20"/>
                <w:szCs w:val="20"/>
                <w:color w:val="auto"/>
              </w:rPr>
            </w:pPr>
            <w:r>
              <w:rPr>
                <w:rFonts w:ascii="Times New Roman" w:cs="Times New Roman" w:eastAsia="Times New Roman" w:hAnsi="Times New Roman"/>
                <w:sz w:val="18"/>
                <w:szCs w:val="18"/>
                <w:color w:val="auto"/>
                <w:w w:val="95"/>
              </w:rPr>
              <w:t>3.81</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3,985,577</w:t>
            </w:r>
          </w:p>
        </w:tc>
        <w:tc>
          <w:tcPr>
            <w:tcW w:w="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ind w:left="260"/>
              <w:spacing w:after="0" w:line="194" w:lineRule="exact"/>
              <w:rPr>
                <w:sz w:val="20"/>
                <w:szCs w:val="20"/>
                <w:color w:val="auto"/>
              </w:rPr>
            </w:pPr>
            <w:r>
              <w:rPr>
                <w:rFonts w:ascii="Times New Roman" w:cs="Times New Roman" w:eastAsia="Times New Roman" w:hAnsi="Times New Roman"/>
                <w:sz w:val="18"/>
                <w:szCs w:val="18"/>
                <w:color w:val="auto"/>
                <w:w w:val="96"/>
              </w:rPr>
              <w:t>48,671</w:t>
            </w:r>
          </w:p>
        </w:tc>
        <w:tc>
          <w:tcPr>
            <w:tcW w:w="2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25,189</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4.88</w:t>
            </w:r>
          </w:p>
        </w:tc>
        <w:tc>
          <w:tcPr>
            <w:tcW w:w="2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2.53</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3"/>
        </w:trPr>
        <w:tc>
          <w:tcPr>
            <w:tcW w:w="2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2023</w:t>
            </w:r>
          </w:p>
        </w:tc>
        <w:tc>
          <w:tcPr>
            <w:tcW w:w="96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3,769,954</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38,012</w:t>
            </w:r>
          </w:p>
        </w:tc>
        <w:tc>
          <w:tcPr>
            <w:tcW w:w="1040" w:type="dxa"/>
            <w:vAlign w:val="bottom"/>
            <w:tcBorders>
              <w:bottom w:val="single" w:sz="8" w:color="auto"/>
            </w:tcBorders>
            <w:gridSpan w:val="2"/>
          </w:tcPr>
          <w:p>
            <w:pPr>
              <w:ind w:left="720"/>
              <w:spacing w:after="0" w:line="203" w:lineRule="exact"/>
              <w:rPr>
                <w:sz w:val="20"/>
                <w:szCs w:val="20"/>
                <w:color w:val="auto"/>
              </w:rPr>
            </w:pPr>
            <w:r>
              <w:rPr>
                <w:rFonts w:ascii="Times New Roman" w:cs="Times New Roman" w:eastAsia="Times New Roman" w:hAnsi="Times New Roman"/>
                <w:sz w:val="18"/>
                <w:szCs w:val="18"/>
                <w:color w:val="auto"/>
                <w:w w:val="95"/>
              </w:rPr>
              <w:t>4.03</w:t>
            </w:r>
          </w:p>
        </w:tc>
        <w:tc>
          <w:tcPr>
            <w:tcW w:w="160" w:type="dxa"/>
            <w:vAlign w:val="bottom"/>
            <w:tcBorders>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3,573,941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60"/>
              <w:spacing w:after="0" w:line="203" w:lineRule="exact"/>
              <w:rPr>
                <w:sz w:val="20"/>
                <w:szCs w:val="20"/>
                <w:color w:val="auto"/>
              </w:rPr>
            </w:pPr>
            <w:r>
              <w:rPr>
                <w:rFonts w:ascii="Times New Roman" w:cs="Times New Roman" w:eastAsia="Times New Roman" w:hAnsi="Times New Roman"/>
                <w:sz w:val="18"/>
                <w:szCs w:val="18"/>
                <w:color w:val="auto"/>
                <w:w w:val="96"/>
              </w:rPr>
              <w:t>42,217</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23,006</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5"/>
          </w:tcPr>
          <w:p>
            <w:pPr>
              <w:jc w:val="right"/>
              <w:spacing w:after="0" w:line="203" w:lineRule="exact"/>
              <w:rPr>
                <w:sz w:val="20"/>
                <w:szCs w:val="20"/>
                <w:color w:val="auto"/>
              </w:rPr>
            </w:pPr>
            <w:r>
              <w:rPr>
                <w:rFonts w:ascii="Times New Roman" w:cs="Times New Roman" w:eastAsia="Times New Roman" w:hAnsi="Times New Roman"/>
                <w:sz w:val="18"/>
                <w:szCs w:val="18"/>
                <w:color w:val="auto"/>
              </w:rPr>
              <w:t>4.72 %</w:t>
            </w:r>
          </w:p>
        </w:tc>
        <w:tc>
          <w:tcPr>
            <w:tcW w:w="1080" w:type="dxa"/>
            <w:vAlign w:val="bottom"/>
            <w:tcBorders>
              <w:bottom w:val="single" w:sz="8" w:color="auto"/>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r>
      <w:tr>
        <w:trPr>
          <w:trHeight w:val="205"/>
        </w:trPr>
        <w:tc>
          <w:tcPr>
            <w:tcW w:w="2140" w:type="dxa"/>
            <w:vAlign w:val="bottom"/>
            <w:tcBorders>
              <w:bottom w:val="single" w:sz="8" w:color="auto"/>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200" w:type="dxa"/>
            <w:vAlign w:val="bottom"/>
            <w:tcBorders>
              <w:bottom w:val="single" w:sz="8" w:color="auto"/>
            </w:tcBorders>
            <w:shd w:val="clear" w:color="auto" w:fill="DDDDDD"/>
          </w:tcPr>
          <w:p>
            <w:pPr>
              <w:spacing w:after="0"/>
              <w:rPr>
                <w:sz w:val="17"/>
                <w:szCs w:val="17"/>
                <w:color w:val="auto"/>
              </w:rPr>
            </w:pPr>
          </w:p>
        </w:tc>
        <w:tc>
          <w:tcPr>
            <w:tcW w:w="760" w:type="dxa"/>
            <w:vAlign w:val="bottom"/>
            <w:tcBorders>
              <w:bottom w:val="single" w:sz="8" w:color="auto"/>
            </w:tcBorders>
            <w:shd w:val="clear" w:color="auto" w:fill="DDDDDD"/>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760" w:type="dxa"/>
            <w:vAlign w:val="bottom"/>
            <w:tcBorders>
              <w:bottom w:val="single" w:sz="8" w:color="auto"/>
            </w:tcBorders>
            <w:shd w:val="clear" w:color="auto" w:fill="DDDDDD"/>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76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r>
      <w:tr>
        <w:trPr>
          <w:trHeight w:val="214"/>
        </w:trPr>
        <w:tc>
          <w:tcPr>
            <w:tcW w:w="21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96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$ 7,507,130</w:t>
            </w:r>
          </w:p>
        </w:tc>
        <w:tc>
          <w:tcPr>
            <w:tcW w:w="2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414,001</w:t>
            </w:r>
          </w:p>
        </w:tc>
        <w:tc>
          <w:tcPr>
            <w:tcW w:w="1040" w:type="dxa"/>
            <w:vAlign w:val="bottom"/>
            <w:tcBorders>
              <w:bottom w:val="single" w:sz="8" w:color="DDDDDD"/>
            </w:tcBorders>
            <w:gridSpan w:val="2"/>
          </w:tcPr>
          <w:p>
            <w:pPr>
              <w:ind w:left="720"/>
              <w:spacing w:after="0"/>
              <w:rPr>
                <w:sz w:val="20"/>
                <w:szCs w:val="20"/>
                <w:color w:val="auto"/>
              </w:rPr>
            </w:pPr>
            <w:r>
              <w:rPr>
                <w:rFonts w:ascii="Times New Roman" w:cs="Times New Roman" w:eastAsia="Times New Roman" w:hAnsi="Times New Roman"/>
                <w:sz w:val="18"/>
                <w:szCs w:val="18"/>
                <w:color w:val="auto"/>
                <w:w w:val="95"/>
              </w:rPr>
              <w:t>5.51</w:t>
            </w:r>
          </w:p>
        </w:tc>
        <w:tc>
          <w:tcPr>
            <w:tcW w:w="16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7,163,001</w:t>
            </w:r>
          </w:p>
        </w:tc>
        <w:tc>
          <w:tcPr>
            <w:tcW w:w="20" w:type="dxa"/>
            <w:vAlign w:val="bottom"/>
            <w:tcBorders>
              <w:bottom w:val="single" w:sz="8" w:color="DDDDDD"/>
            </w:tcBorders>
          </w:tcPr>
          <w:p>
            <w:pPr>
              <w:spacing w:after="0"/>
              <w:rPr>
                <w:sz w:val="18"/>
                <w:szCs w:val="18"/>
                <w:color w:val="auto"/>
              </w:rPr>
            </w:pPr>
          </w:p>
        </w:tc>
        <w:tc>
          <w:tcPr>
            <w:tcW w:w="180" w:type="dxa"/>
            <w:vAlign w:val="bottom"/>
            <w:tcBorders>
              <w:bottom w:val="single" w:sz="8" w:color="DDDDDD"/>
            </w:tcBorders>
          </w:tcPr>
          <w:p>
            <w:pPr>
              <w:spacing w:after="0"/>
              <w:rPr>
                <w:sz w:val="18"/>
                <w:szCs w:val="18"/>
                <w:color w:val="auto"/>
              </w:rPr>
            </w:pPr>
          </w:p>
        </w:tc>
        <w:tc>
          <w:tcPr>
            <w:tcW w:w="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8"/>
                <w:szCs w:val="18"/>
                <w:color w:val="auto"/>
                <w:w w:val="99"/>
              </w:rPr>
              <w:t>305,732</w:t>
            </w:r>
          </w:p>
        </w:tc>
        <w:tc>
          <w:tcPr>
            <w:tcW w:w="2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222,433</w:t>
            </w:r>
          </w:p>
        </w:tc>
        <w:tc>
          <w:tcPr>
            <w:tcW w:w="80" w:type="dxa"/>
            <w:vAlign w:val="bottom"/>
            <w:tcBorders>
              <w:bottom w:val="single" w:sz="8" w:color="DDDDDD"/>
            </w:tcBorders>
          </w:tcPr>
          <w:p>
            <w:pPr>
              <w:spacing w:after="0"/>
              <w:rPr>
                <w:sz w:val="18"/>
                <w:szCs w:val="18"/>
                <w:color w:val="auto"/>
              </w:rPr>
            </w:pPr>
          </w:p>
        </w:tc>
        <w:tc>
          <w:tcPr>
            <w:tcW w:w="1120" w:type="dxa"/>
            <w:vAlign w:val="bottom"/>
            <w:tcBorders>
              <w:bottom w:val="single" w:sz="8" w:color="DDDDDD"/>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8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4,605,824</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241,577</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1" w:lineRule="exact"/>
              <w:rPr>
                <w:sz w:val="20"/>
                <w:szCs w:val="20"/>
                <w:color w:val="auto"/>
              </w:rPr>
            </w:pPr>
            <w:r>
              <w:rPr>
                <w:rFonts w:ascii="Times New Roman" w:cs="Times New Roman" w:eastAsia="Times New Roman" w:hAnsi="Times New Roman"/>
                <w:sz w:val="18"/>
                <w:szCs w:val="18"/>
                <w:color w:val="auto"/>
                <w:w w:val="95"/>
              </w:rPr>
              <w:t>5.25</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4,413,417</w:t>
            </w:r>
          </w:p>
        </w:tc>
        <w:tc>
          <w:tcPr>
            <w:tcW w:w="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ind w:left="160"/>
              <w:spacing w:after="0" w:line="191" w:lineRule="exact"/>
              <w:rPr>
                <w:sz w:val="20"/>
                <w:szCs w:val="20"/>
                <w:color w:val="auto"/>
              </w:rPr>
            </w:pPr>
            <w:r>
              <w:rPr>
                <w:rFonts w:ascii="Times New Roman" w:cs="Times New Roman" w:eastAsia="Times New Roman" w:hAnsi="Times New Roman"/>
                <w:sz w:val="18"/>
                <w:szCs w:val="18"/>
                <w:color w:val="auto"/>
                <w:w w:val="99"/>
              </w:rPr>
              <w:t>236,281</w:t>
            </w:r>
          </w:p>
        </w:tc>
        <w:tc>
          <w:tcPr>
            <w:tcW w:w="28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119,529</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2.71</w:t>
            </w:r>
          </w:p>
        </w:tc>
        <w:tc>
          <w:tcPr>
            <w:tcW w:w="2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25"/>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4,152,777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177,569</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5"/>
              </w:rPr>
              <w:t>4.28</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3,985,037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201,918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109,624</w:t>
            </w:r>
          </w:p>
        </w:tc>
        <w:tc>
          <w:tcPr>
            <w:tcW w:w="8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788" w:right="720" w:bottom="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00" w:type="dxa"/>
            <w:vAlign w:val="bottom"/>
            <w:tcBorders>
              <w:top w:val="single" w:sz="8" w:color="auto"/>
            </w:tcBorders>
          </w:tcPr>
          <w:p>
            <w:pPr>
              <w:spacing w:after="0"/>
              <w:rPr>
                <w:sz w:val="18"/>
                <w:szCs w:val="18"/>
                <w:color w:val="auto"/>
              </w:rPr>
            </w:pPr>
          </w:p>
        </w:tc>
        <w:tc>
          <w:tcPr>
            <w:tcW w:w="90" w:type="dxa"/>
            <w:vAlign w:val="bottom"/>
            <w:tcBorders>
              <w:top w:val="single" w:sz="8" w:color="auto"/>
              <w:bottom w:val="single" w:sz="8" w:color="auto"/>
            </w:tcBorders>
          </w:tcPr>
          <w:p>
            <w:pPr>
              <w:spacing w:after="0"/>
              <w:rPr>
                <w:sz w:val="18"/>
                <w:szCs w:val="18"/>
                <w:color w:val="auto"/>
              </w:rPr>
            </w:pPr>
          </w:p>
        </w:tc>
        <w:tc>
          <w:tcPr>
            <w:tcW w:w="2490" w:type="dxa"/>
            <w:vAlign w:val="bottom"/>
            <w:tcBorders>
              <w:top w:val="single" w:sz="8" w:color="auto"/>
              <w:bottom w:val="single" w:sz="8" w:color="auto"/>
            </w:tcBorders>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Net Interest Spread</w:t>
            </w:r>
          </w:p>
        </w:tc>
      </w:tr>
      <w:tr>
        <w:trPr>
          <w:trHeight w:val="192"/>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00"/>
              <w:spacing w:after="0" w:line="193" w:lineRule="exact"/>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6"/>
                <w:szCs w:val="16"/>
                <w:color w:val="auto"/>
              </w:rPr>
            </w:pPr>
          </w:p>
        </w:tc>
        <w:tc>
          <w:tcPr>
            <w:tcW w:w="1060" w:type="dxa"/>
            <w:vAlign w:val="bottom"/>
            <w:gridSpan w:val="2"/>
          </w:tcPr>
          <w:p>
            <w:pPr>
              <w:jc w:val="center"/>
              <w:ind w:right="200"/>
              <w:spacing w:after="0" w:line="193" w:lineRule="exact"/>
              <w:rPr>
                <w:sz w:val="20"/>
                <w:szCs w:val="20"/>
                <w:color w:val="auto"/>
              </w:rPr>
            </w:pPr>
            <w:r>
              <w:rPr>
                <w:rFonts w:ascii="Times New Roman" w:cs="Times New Roman" w:eastAsia="Times New Roman" w:hAnsi="Times New Roman"/>
                <w:sz w:val="18"/>
                <w:szCs w:val="18"/>
                <w:b w:val="1"/>
                <w:bCs w:val="1"/>
                <w:color w:val="auto"/>
              </w:rPr>
              <w:t>Economic</w:t>
            </w:r>
          </w:p>
        </w:tc>
        <w:tc>
          <w:tcPr>
            <w:tcW w:w="10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170" w:type="dxa"/>
            <w:vAlign w:val="bottom"/>
            <w:gridSpan w:val="2"/>
          </w:tcPr>
          <w:p>
            <w:pPr>
              <w:jc w:val="right"/>
              <w:ind w:right="390"/>
              <w:spacing w:after="0" w:line="193" w:lineRule="exact"/>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6"/>
                <w:szCs w:val="16"/>
                <w:color w:val="auto"/>
              </w:rPr>
            </w:pPr>
          </w:p>
        </w:tc>
        <w:tc>
          <w:tcPr>
            <w:tcW w:w="1120" w:type="dxa"/>
            <w:vAlign w:val="bottom"/>
            <w:gridSpan w:val="3"/>
          </w:tcPr>
          <w:p>
            <w:pPr>
              <w:jc w:val="right"/>
              <w:ind w:right="210"/>
              <w:spacing w:after="0" w:line="193" w:lineRule="exact"/>
              <w:rPr>
                <w:sz w:val="20"/>
                <w:szCs w:val="20"/>
                <w:color w:val="auto"/>
              </w:rPr>
            </w:pPr>
            <w:r>
              <w:rPr>
                <w:rFonts w:ascii="Times New Roman" w:cs="Times New Roman" w:eastAsia="Times New Roman" w:hAnsi="Times New Roman"/>
                <w:sz w:val="18"/>
                <w:szCs w:val="18"/>
                <w:b w:val="1"/>
                <w:bCs w:val="1"/>
                <w:color w:val="auto"/>
              </w:rPr>
              <w:t>Economic</w:t>
            </w:r>
          </w:p>
        </w:tc>
      </w:tr>
      <w:tr>
        <w:trPr>
          <w:trHeight w:val="236"/>
        </w:trPr>
        <w:tc>
          <w:tcPr>
            <w:tcW w:w="5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Basis</w:t>
            </w:r>
            <w:r>
              <w:rPr>
                <w:rFonts w:ascii="Times New Roman" w:cs="Times New Roman" w:eastAsia="Times New Roman" w:hAnsi="Times New Roman"/>
                <w:sz w:val="10"/>
                <w:szCs w:val="10"/>
                <w:b w:val="1"/>
                <w:bCs w:val="1"/>
                <w:color w:val="auto"/>
                <w:w w:val="96"/>
              </w:rPr>
              <w:t>(2)</w:t>
            </w:r>
          </w:p>
        </w:tc>
        <w:tc>
          <w:tcPr>
            <w:tcW w:w="100" w:type="dxa"/>
            <w:vAlign w:val="bottom"/>
            <w:tcBorders>
              <w:bottom w:val="single" w:sz="8" w:color="auto"/>
            </w:tcBorders>
          </w:tcPr>
          <w:p>
            <w:pPr>
              <w:spacing w:after="0"/>
              <w:rPr>
                <w:sz w:val="20"/>
                <w:szCs w:val="20"/>
                <w:color w:val="auto"/>
              </w:rPr>
            </w:pPr>
          </w:p>
        </w:tc>
        <w:tc>
          <w:tcPr>
            <w:tcW w:w="90" w:type="dxa"/>
            <w:vAlign w:val="bottom"/>
            <w:tcBorders>
              <w:bottom w:val="single" w:sz="8" w:color="auto"/>
            </w:tcBorders>
          </w:tcPr>
          <w:p>
            <w:pPr>
              <w:spacing w:after="0"/>
              <w:rPr>
                <w:sz w:val="20"/>
                <w:szCs w:val="20"/>
                <w:color w:val="auto"/>
              </w:rPr>
            </w:pPr>
          </w:p>
        </w:tc>
        <w:tc>
          <w:tcPr>
            <w:tcW w:w="117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10"/>
                <w:szCs w:val="10"/>
                <w:b w:val="1"/>
                <w:bCs w:val="1"/>
                <w:color w:val="auto"/>
              </w:rPr>
              <w:t>(4)</w:t>
            </w:r>
          </w:p>
        </w:tc>
      </w:tr>
      <w:tr>
        <w:trPr>
          <w:trHeight w:val="208"/>
        </w:trPr>
        <w:tc>
          <w:tcPr>
            <w:tcW w:w="5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1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08"/>
        </w:trPr>
        <w:tc>
          <w:tcPr>
            <w:tcW w:w="56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38,483</w:t>
            </w:r>
          </w:p>
        </w:tc>
        <w:tc>
          <w:tcPr>
            <w:tcW w:w="80" w:type="dxa"/>
            <w:vAlign w:val="bottom"/>
            <w:shd w:val="clear" w:color="auto" w:fill="DDDDDD"/>
          </w:tcPr>
          <w:p>
            <w:pPr>
              <w:spacing w:after="0"/>
              <w:rPr>
                <w:sz w:val="18"/>
                <w:szCs w:val="18"/>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58,061</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9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10" w:type="dxa"/>
            <w:vAlign w:val="bottom"/>
            <w:shd w:val="clear" w:color="auto" w:fill="DDDDDD"/>
          </w:tcPr>
          <w:p>
            <w:pPr>
              <w:ind w:left="10"/>
              <w:spacing w:after="0"/>
              <w:rPr>
                <w:sz w:val="20"/>
                <w:szCs w:val="20"/>
                <w:color w:val="auto"/>
              </w:rPr>
            </w:pPr>
            <w:r>
              <w:rPr>
                <w:rFonts w:ascii="Times New Roman" w:cs="Times New Roman" w:eastAsia="Times New Roman" w:hAnsi="Times New Roman"/>
                <w:sz w:val="18"/>
                <w:szCs w:val="18"/>
                <w:color w:val="auto"/>
                <w:highlight w:val="lightGray"/>
              </w:rPr>
              <w:t>%</w:t>
            </w:r>
          </w:p>
        </w:tc>
        <w:tc>
          <w:tcPr>
            <w:tcW w:w="20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DDDDDD"/>
          </w:tcPr>
          <w:p>
            <w:pPr>
              <w:spacing w:after="0"/>
              <w:rPr>
                <w:sz w:val="18"/>
                <w:szCs w:val="18"/>
                <w:color w:val="auto"/>
              </w:rPr>
            </w:pP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16"/>
        </w:trPr>
        <w:tc>
          <w:tcPr>
            <w:tcW w:w="5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Borders>
              <w:bottom w:val="single" w:sz="8" w:color="DDDDDD"/>
            </w:tcBorders>
          </w:tcPr>
          <w:p>
            <w:pPr>
              <w:spacing w:after="0"/>
              <w:rPr>
                <w:sz w:val="18"/>
                <w:szCs w:val="18"/>
                <w:color w:val="auto"/>
              </w:rPr>
            </w:pP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8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tcPr>
          <w:p>
            <w:pPr>
              <w:spacing w:after="0"/>
              <w:rPr>
                <w:sz w:val="18"/>
                <w:szCs w:val="18"/>
                <w:color w:val="auto"/>
              </w:rPr>
            </w:pP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48,791</w:t>
            </w:r>
          </w:p>
        </w:tc>
        <w:tc>
          <w:tcPr>
            <w:tcW w:w="100" w:type="dxa"/>
            <w:vAlign w:val="bottom"/>
            <w:tcBorders>
              <w:bottom w:val="single" w:sz="8" w:color="DDDDDD"/>
            </w:tcBorders>
          </w:tcPr>
          <w:p>
            <w:pPr>
              <w:spacing w:after="0"/>
              <w:rPr>
                <w:sz w:val="18"/>
                <w:szCs w:val="18"/>
                <w:color w:val="auto"/>
              </w:rPr>
            </w:pPr>
          </w:p>
        </w:tc>
        <w:tc>
          <w:tcPr>
            <w:tcW w:w="136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32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198"/>
        </w:trPr>
        <w:tc>
          <w:tcPr>
            <w:tcW w:w="5600" w:type="dxa"/>
            <w:vAlign w:val="bottom"/>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2025</w:t>
            </w: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23,154</w:t>
            </w:r>
          </w:p>
        </w:tc>
        <w:tc>
          <w:tcPr>
            <w:tcW w:w="8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44,091</w:t>
            </w: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1.15</w:t>
            </w:r>
          </w:p>
        </w:tc>
        <w:tc>
          <w:tcPr>
            <w:tcW w:w="210" w:type="dxa"/>
            <w:vAlign w:val="bottom"/>
            <w:shd w:val="clear" w:color="auto" w:fill="DDDDDD"/>
          </w:tcPr>
          <w:p>
            <w:pPr>
              <w:ind w:left="10"/>
              <w:spacing w:after="0" w:line="194" w:lineRule="exact"/>
              <w:rPr>
                <w:sz w:val="20"/>
                <w:szCs w:val="20"/>
                <w:color w:val="auto"/>
              </w:rPr>
            </w:pPr>
            <w:r>
              <w:rPr>
                <w:rFonts w:ascii="Times New Roman" w:cs="Times New Roman" w:eastAsia="Times New Roman" w:hAnsi="Times New Roman"/>
                <w:sz w:val="18"/>
                <w:szCs w:val="18"/>
                <w:color w:val="auto"/>
                <w:highlight w:val="lightGray"/>
              </w:rPr>
              <w:t>%</w:t>
            </w: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16"/>
        </w:trPr>
        <w:tc>
          <w:tcPr>
            <w:tcW w:w="5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DDDDDD"/>
            </w:tcBorders>
          </w:tcPr>
          <w:p>
            <w:pPr>
              <w:spacing w:after="0"/>
              <w:rPr>
                <w:sz w:val="18"/>
                <w:szCs w:val="18"/>
                <w:color w:val="auto"/>
              </w:rPr>
            </w:pP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19,713</w:t>
            </w:r>
          </w:p>
        </w:tc>
        <w:tc>
          <w:tcPr>
            <w:tcW w:w="8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tcPr>
          <w:p>
            <w:pPr>
              <w:spacing w:after="0"/>
              <w:rPr>
                <w:sz w:val="18"/>
                <w:szCs w:val="18"/>
                <w:color w:val="auto"/>
              </w:rPr>
            </w:pP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40,625</w:t>
            </w:r>
          </w:p>
        </w:tc>
        <w:tc>
          <w:tcPr>
            <w:tcW w:w="100" w:type="dxa"/>
            <w:vAlign w:val="bottom"/>
            <w:tcBorders>
              <w:bottom w:val="single" w:sz="8" w:color="DDDDDD"/>
            </w:tcBorders>
          </w:tcPr>
          <w:p>
            <w:pPr>
              <w:spacing w:after="0"/>
              <w:rPr>
                <w:sz w:val="18"/>
                <w:szCs w:val="18"/>
                <w:color w:val="auto"/>
              </w:rPr>
            </w:pPr>
          </w:p>
        </w:tc>
        <w:tc>
          <w:tcPr>
            <w:tcW w:w="136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32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196"/>
        </w:trPr>
        <w:tc>
          <w:tcPr>
            <w:tcW w:w="56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8,143</w:t>
            </w:r>
          </w:p>
        </w:tc>
        <w:tc>
          <w:tcPr>
            <w:tcW w:w="8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35,925</w:t>
            </w: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0" w:type="dxa"/>
            <w:vAlign w:val="bottom"/>
            <w:tcBorders>
              <w:bottom w:val="single" w:sz="8" w:color="DDDDDD"/>
            </w:tcBorders>
            <w:shd w:val="clear" w:color="auto" w:fill="DDDDDD"/>
          </w:tcPr>
          <w:p>
            <w:pPr>
              <w:spacing w:after="0"/>
              <w:rPr>
                <w:sz w:val="17"/>
                <w:szCs w:val="17"/>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0.40</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200" w:type="dxa"/>
            <w:vAlign w:val="bottom"/>
            <w:tcBorders>
              <w:bottom w:val="single" w:sz="8" w:color="DDDDDD"/>
            </w:tcBorders>
            <w:shd w:val="clear" w:color="auto" w:fill="DDDDDD"/>
          </w:tcPr>
          <w:p>
            <w:pPr>
              <w:spacing w:after="0"/>
              <w:rPr>
                <w:sz w:val="17"/>
                <w:szCs w:val="17"/>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2.57</w:t>
            </w:r>
          </w:p>
        </w:tc>
        <w:tc>
          <w:tcPr>
            <w:tcW w:w="20" w:type="dxa"/>
            <w:vAlign w:val="bottom"/>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198"/>
        </w:trPr>
        <w:tc>
          <w:tcPr>
            <w:tcW w:w="5600" w:type="dxa"/>
            <w:vAlign w:val="bottom"/>
            <w:tcBorders>
              <w:bottom w:val="single" w:sz="8" w:color="DDDDDD"/>
            </w:tcBorders>
          </w:tcPr>
          <w:p>
            <w:pPr>
              <w:spacing w:after="0" w:line="199" w:lineRule="exact"/>
              <w:rPr>
                <w:sz w:val="20"/>
                <w:szCs w:val="20"/>
                <w:color w:val="auto"/>
              </w:rPr>
            </w:pPr>
            <w:r>
              <w:rPr>
                <w:rFonts w:ascii="Times New Roman" w:cs="Times New Roman" w:eastAsia="Times New Roman" w:hAnsi="Times New Roman"/>
                <w:sz w:val="18"/>
                <w:szCs w:val="18"/>
                <w:color w:val="auto"/>
              </w:rPr>
              <w:t>September 30, 2024</w:t>
            </w: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340</w:t>
            </w:r>
          </w:p>
        </w:tc>
        <w:tc>
          <w:tcPr>
            <w:tcW w:w="8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32,264</w:t>
            </w:r>
          </w:p>
        </w:tc>
        <w:tc>
          <w:tcPr>
            <w:tcW w:w="100" w:type="dxa"/>
            <w:vAlign w:val="bottom"/>
            <w:tcBorders>
              <w:bottom w:val="single" w:sz="8" w:color="DDDDDD"/>
            </w:tcBorders>
          </w:tcPr>
          <w:p>
            <w:pPr>
              <w:spacing w:after="0"/>
              <w:rPr>
                <w:sz w:val="17"/>
                <w:szCs w:val="17"/>
                <w:color w:val="auto"/>
              </w:rPr>
            </w:pPr>
          </w:p>
        </w:tc>
        <w:tc>
          <w:tcPr>
            <w:tcW w:w="1360" w:type="dxa"/>
            <w:vAlign w:val="bottom"/>
            <w:tcBorders>
              <w:bottom w:val="single" w:sz="8" w:color="DDDDDD"/>
            </w:tcBorders>
            <w:gridSpan w:val="4"/>
          </w:tcPr>
          <w:p>
            <w:pPr>
              <w:jc w:val="right"/>
              <w:spacing w:after="0" w:line="199" w:lineRule="exact"/>
              <w:rPr>
                <w:sz w:val="20"/>
                <w:szCs w:val="20"/>
                <w:color w:val="auto"/>
              </w:rPr>
            </w:pPr>
            <w:r>
              <w:rPr>
                <w:rFonts w:ascii="Times New Roman" w:cs="Times New Roman" w:eastAsia="Times New Roman" w:hAnsi="Times New Roman"/>
                <w:sz w:val="18"/>
                <w:szCs w:val="18"/>
                <w:color w:val="auto"/>
              </w:rPr>
              <w:t>(0.19 )%</w:t>
            </w:r>
          </w:p>
        </w:tc>
        <w:tc>
          <w:tcPr>
            <w:tcW w:w="1160" w:type="dxa"/>
            <w:vAlign w:val="bottom"/>
            <w:tcBorders>
              <w:bottom w:val="single" w:sz="8" w:color="DDDDDD"/>
            </w:tcBorders>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2.47</w:t>
            </w:r>
          </w:p>
        </w:tc>
        <w:tc>
          <w:tcPr>
            <w:tcW w:w="2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79"/>
              </w:rPr>
              <w:t>%</w:t>
            </w:r>
          </w:p>
        </w:tc>
      </w:tr>
      <w:tr>
        <w:trPr>
          <w:trHeight w:val="196"/>
        </w:trPr>
        <w:tc>
          <w:tcPr>
            <w:tcW w:w="5600" w:type="dxa"/>
            <w:vAlign w:val="bottom"/>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28,762</w:t>
            </w: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(0.29</w:t>
            </w:r>
          </w:p>
        </w:tc>
        <w:tc>
          <w:tcPr>
            <w:tcW w:w="210" w:type="dxa"/>
            <w:vAlign w:val="bottom"/>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2.64</w:t>
            </w: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18"/>
        </w:trPr>
        <w:tc>
          <w:tcPr>
            <w:tcW w:w="5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Borders>
              <w:bottom w:val="single" w:sz="8" w:color="DDDDDD"/>
            </w:tcBorders>
          </w:tcPr>
          <w:p>
            <w:pPr>
              <w:spacing w:after="0"/>
              <w:rPr>
                <w:sz w:val="18"/>
                <w:szCs w:val="18"/>
                <w:color w:val="auto"/>
              </w:rPr>
            </w:pPr>
          </w:p>
        </w:tc>
        <w:tc>
          <w:tcPr>
            <w:tcW w:w="106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(2,490 )</w:t>
            </w:r>
          </w:p>
        </w:tc>
        <w:tc>
          <w:tcPr>
            <w:tcW w:w="200" w:type="dxa"/>
            <w:vAlign w:val="bottom"/>
            <w:tcBorders>
              <w:bottom w:val="single" w:sz="8" w:color="DDDDDD"/>
            </w:tcBorders>
          </w:tcPr>
          <w:p>
            <w:pPr>
              <w:spacing w:after="0"/>
              <w:rPr>
                <w:sz w:val="18"/>
                <w:szCs w:val="18"/>
                <w:color w:val="auto"/>
              </w:rPr>
            </w:pP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100" w:type="dxa"/>
            <w:vAlign w:val="bottom"/>
            <w:tcBorders>
              <w:bottom w:val="single" w:sz="8" w:color="DDDDDD"/>
            </w:tcBorders>
          </w:tcPr>
          <w:p>
            <w:pPr>
              <w:spacing w:after="0"/>
              <w:rPr>
                <w:sz w:val="18"/>
                <w:szCs w:val="18"/>
                <w:color w:val="auto"/>
              </w:rPr>
            </w:pPr>
          </w:p>
        </w:tc>
        <w:tc>
          <w:tcPr>
            <w:tcW w:w="136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(0.51 )%</w:t>
            </w:r>
          </w:p>
        </w:tc>
        <w:tc>
          <w:tcPr>
            <w:tcW w:w="132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2.47 %</w:t>
            </w:r>
          </w:p>
        </w:tc>
      </w:tr>
      <w:tr>
        <w:trPr>
          <w:trHeight w:val="196"/>
        </w:trPr>
        <w:tc>
          <w:tcPr>
            <w:tcW w:w="5600" w:type="dxa"/>
            <w:vAlign w:val="bottom"/>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(2,786</w:t>
            </w: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22,375</w:t>
            </w: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(0.44</w:t>
            </w:r>
          </w:p>
        </w:tc>
        <w:tc>
          <w:tcPr>
            <w:tcW w:w="210" w:type="dxa"/>
            <w:vAlign w:val="bottom"/>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2.04</w:t>
            </w: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18"/>
        </w:trPr>
        <w:tc>
          <w:tcPr>
            <w:tcW w:w="5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100" w:type="dxa"/>
            <w:vAlign w:val="bottom"/>
            <w:tcBorders>
              <w:bottom w:val="single" w:sz="8" w:color="DDDDDD"/>
            </w:tcBorders>
          </w:tcPr>
          <w:p>
            <w:pPr>
              <w:spacing w:after="0"/>
              <w:rPr>
                <w:sz w:val="18"/>
                <w:szCs w:val="18"/>
                <w:color w:val="auto"/>
              </w:rPr>
            </w:pPr>
          </w:p>
        </w:tc>
        <w:tc>
          <w:tcPr>
            <w:tcW w:w="106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(8,598 )</w:t>
            </w:r>
          </w:p>
        </w:tc>
        <w:tc>
          <w:tcPr>
            <w:tcW w:w="200" w:type="dxa"/>
            <w:vAlign w:val="bottom"/>
            <w:tcBorders>
              <w:bottom w:val="single" w:sz="8" w:color="DDDDDD"/>
            </w:tcBorders>
          </w:tcPr>
          <w:p>
            <w:pPr>
              <w:spacing w:after="0"/>
              <w:rPr>
                <w:sz w:val="18"/>
                <w:szCs w:val="18"/>
                <w:color w:val="auto"/>
              </w:rPr>
            </w:pP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00" w:type="dxa"/>
            <w:vAlign w:val="bottom"/>
            <w:tcBorders>
              <w:bottom w:val="single" w:sz="8" w:color="DDDDDD"/>
            </w:tcBorders>
          </w:tcPr>
          <w:p>
            <w:pPr>
              <w:spacing w:after="0"/>
              <w:rPr>
                <w:sz w:val="18"/>
                <w:szCs w:val="18"/>
                <w:color w:val="auto"/>
              </w:rPr>
            </w:pPr>
          </w:p>
        </w:tc>
        <w:tc>
          <w:tcPr>
            <w:tcW w:w="136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132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196"/>
        </w:trPr>
        <w:tc>
          <w:tcPr>
            <w:tcW w:w="5600" w:type="dxa"/>
            <w:vAlign w:val="bottom"/>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2023</w:t>
            </w: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8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(8,760</w:t>
            </w: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14,722</w:t>
            </w: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(1.07</w:t>
            </w:r>
          </w:p>
        </w:tc>
        <w:tc>
          <w:tcPr>
            <w:tcW w:w="210" w:type="dxa"/>
            <w:vAlign w:val="bottom"/>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21"/>
        </w:trPr>
        <w:tc>
          <w:tcPr>
            <w:tcW w:w="5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(4,205 )</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07"/>
        </w:trPr>
        <w:tc>
          <w:tcPr>
            <w:tcW w:w="560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0" w:type="dxa"/>
            <w:vAlign w:val="bottom"/>
            <w:tcBorders>
              <w:bottom w:val="single" w:sz="8" w:color="auto"/>
            </w:tcBorders>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9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spacing w:after="0"/>
              <w:rPr>
                <w:sz w:val="18"/>
                <w:szCs w:val="18"/>
                <w:color w:val="auto"/>
              </w:rPr>
            </w:pPr>
          </w:p>
        </w:tc>
        <w:tc>
          <w:tcPr>
            <w:tcW w:w="210" w:type="dxa"/>
            <w:vAlign w:val="bottom"/>
            <w:tcBorders>
              <w:bottom w:val="single" w:sz="8" w:color="auto"/>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r>
      <w:tr>
        <w:trPr>
          <w:trHeight w:val="209"/>
        </w:trPr>
        <w:tc>
          <w:tcPr>
            <w:tcW w:w="5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108,269</w:t>
            </w:r>
          </w:p>
        </w:tc>
        <w:tc>
          <w:tcPr>
            <w:tcW w:w="8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191,568</w:t>
            </w:r>
          </w:p>
        </w:tc>
        <w:tc>
          <w:tcPr>
            <w:tcW w:w="100" w:type="dxa"/>
            <w:vAlign w:val="bottom"/>
            <w:tcBorders>
              <w:bottom w:val="single" w:sz="8" w:color="DDDDDD"/>
            </w:tcBorders>
          </w:tcPr>
          <w:p>
            <w:pPr>
              <w:spacing w:after="0"/>
              <w:rPr>
                <w:sz w:val="18"/>
                <w:szCs w:val="18"/>
                <w:color w:val="auto"/>
              </w:rPr>
            </w:pPr>
          </w:p>
        </w:tc>
        <w:tc>
          <w:tcPr>
            <w:tcW w:w="136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32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196"/>
        </w:trPr>
        <w:tc>
          <w:tcPr>
            <w:tcW w:w="56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5,296</w:t>
            </w:r>
          </w:p>
        </w:tc>
        <w:tc>
          <w:tcPr>
            <w:tcW w:w="8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122,048</w:t>
            </w: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0" w:type="dxa"/>
            <w:vAlign w:val="bottom"/>
            <w:tcBorders>
              <w:bottom w:val="single" w:sz="8" w:color="DDDDDD"/>
            </w:tcBorders>
            <w:shd w:val="clear" w:color="auto" w:fill="DDDDDD"/>
          </w:tcPr>
          <w:p>
            <w:pPr>
              <w:spacing w:after="0"/>
              <w:rPr>
                <w:sz w:val="17"/>
                <w:szCs w:val="17"/>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(0.10</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200" w:type="dxa"/>
            <w:vAlign w:val="bottom"/>
            <w:tcBorders>
              <w:bottom w:val="single" w:sz="8" w:color="DDDDDD"/>
            </w:tcBorders>
            <w:shd w:val="clear" w:color="auto" w:fill="DDDDDD"/>
          </w:tcPr>
          <w:p>
            <w:pPr>
              <w:spacing w:after="0"/>
              <w:rPr>
                <w:sz w:val="17"/>
                <w:szCs w:val="17"/>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2.54</w:t>
            </w:r>
          </w:p>
        </w:tc>
        <w:tc>
          <w:tcPr>
            <w:tcW w:w="20" w:type="dxa"/>
            <w:vAlign w:val="bottom"/>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(24,349 )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67,945</w:t>
            </w:r>
          </w:p>
        </w:tc>
        <w:tc>
          <w:tcPr>
            <w:tcW w:w="10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-2096770</wp:posOffset>
                </wp:positionV>
                <wp:extent cx="68580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65.0999pt" to="540.2pt,-165.0999pt" o:allowincell="f" strokecolor="#FFFFFF" strokeweight="0.24pt"/>
            </w:pict>
          </mc:Fallback>
        </mc:AlternateContent>
      </w:r>
    </w:p>
    <w:p>
      <w:pPr>
        <w:spacing w:after="0" w:line="172" w:lineRule="exact"/>
        <w:rPr>
          <w:sz w:val="20"/>
          <w:szCs w:val="20"/>
          <w:color w:val="auto"/>
        </w:rPr>
      </w:pPr>
    </w:p>
    <w:p>
      <w:pPr>
        <w:jc w:val="both"/>
        <w:ind w:left="360" w:right="20" w:hanging="350"/>
        <w:spacing w:after="0" w:line="252"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yields and costs of borrowings presented in the tables above are calculated based on the average balances of the underlying investment portfolio/borrowings balances and are annualized for the periods presented. Average balances for quarterly periods are calculated using two data points, the beginning and ending balances.</w:t>
      </w:r>
    </w:p>
    <w:p>
      <w:pPr>
        <w:spacing w:after="0" w:line="1" w:lineRule="exact"/>
        <w:rPr>
          <w:rFonts w:ascii="Times New Roman" w:cs="Times New Roman" w:eastAsia="Times New Roman" w:hAnsi="Times New Roman"/>
          <w:sz w:val="18"/>
          <w:szCs w:val="18"/>
          <w:color w:val="auto"/>
        </w:rPr>
      </w:pPr>
    </w:p>
    <w:p>
      <w:pPr>
        <w:ind w:left="360" w:right="20" w:hanging="350"/>
        <w:spacing w:after="0" w:line="24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interest expense and economic net interest income presented in the table above includes the effect of our derivative instrument hedges for only the periods presented.</w:t>
      </w:r>
    </w:p>
    <w:p>
      <w:pPr>
        <w:ind w:left="360" w:hanging="350"/>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cost of our borrowings and the effect of derivative instrument hedges attributed to the period divided by average RMBS.</w:t>
      </w:r>
    </w:p>
    <w:p>
      <w:pPr>
        <w:spacing w:after="0" w:line="9"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net interest spread is calculated by subtracting average economic cost of funds from realized yield on average RMBS.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and the Cost of Funds</w:t>
      </w:r>
    </w:p>
    <w:p>
      <w:pPr>
        <w:spacing w:after="0" w:line="229" w:lineRule="exact"/>
        <w:rPr>
          <w:sz w:val="20"/>
          <w:szCs w:val="20"/>
          <w:color w:val="auto"/>
        </w:rPr>
      </w:pPr>
    </w:p>
    <w:p>
      <w:pPr>
        <w:ind w:right="220" w:firstLine="499"/>
        <w:spacing w:after="0" w:line="252" w:lineRule="auto"/>
        <w:rPr>
          <w:sz w:val="20"/>
          <w:szCs w:val="20"/>
          <w:color w:val="auto"/>
        </w:rPr>
      </w:pPr>
      <w:r>
        <w:rPr>
          <w:rFonts w:ascii="Times New Roman" w:cs="Times New Roman" w:eastAsia="Times New Roman" w:hAnsi="Times New Roman"/>
          <w:sz w:val="20"/>
          <w:szCs w:val="20"/>
          <w:color w:val="auto"/>
        </w:rPr>
        <w:t>We had average outstanding borrowings of $7,163.0 million and $4,413.4 million and total interest expense of $305.7 million and $236.3 million for the years ended December 31, 2025 and 2024, respectively. Our average cost of funds was 4.27% for the year ended December 31, 2025, compared to 5.35% for the comparable period in 2024. There was a $2,749.6 million increase in average outstanding borrowings during the year ended December 31, 2025 as compared to the year ended December 31, 2024.</w:t>
      </w:r>
    </w:p>
    <w:p>
      <w:pPr>
        <w:spacing w:after="0" w:line="186" w:lineRule="exact"/>
        <w:rPr>
          <w:sz w:val="20"/>
          <w:szCs w:val="20"/>
          <w:color w:val="auto"/>
        </w:rPr>
      </w:pPr>
    </w:p>
    <w:p>
      <w:pPr>
        <w:ind w:right="380" w:firstLine="499"/>
        <w:spacing w:after="0" w:line="252" w:lineRule="auto"/>
        <w:rPr>
          <w:sz w:val="20"/>
          <w:szCs w:val="20"/>
          <w:color w:val="auto"/>
        </w:rPr>
      </w:pPr>
      <w:r>
        <w:rPr>
          <w:rFonts w:ascii="Times New Roman" w:cs="Times New Roman" w:eastAsia="Times New Roman" w:hAnsi="Times New Roman"/>
          <w:sz w:val="20"/>
          <w:szCs w:val="20"/>
          <w:color w:val="auto"/>
        </w:rPr>
        <w:t>For the year ended December 31, 2023, we had average borrowings of $3,985.0 million and total interest expense of $201.9 million, resulting in an average cost of funds of 5.07%. There was a 28 bps increase in the average cost of funds and an $428.4 million increase in average outstanding borrowings during the year ended December 31, 2024 as compared to the year ended December 31, 2023.</w:t>
      </w:r>
    </w:p>
    <w:p>
      <w:pPr>
        <w:spacing w:after="0" w:line="184" w:lineRule="exact"/>
        <w:rPr>
          <w:sz w:val="20"/>
          <w:szCs w:val="20"/>
          <w:color w:val="auto"/>
        </w:rPr>
      </w:pPr>
    </w:p>
    <w:p>
      <w:pPr>
        <w:ind w:right="140" w:firstLine="499"/>
        <w:spacing w:after="0" w:line="252" w:lineRule="auto"/>
        <w:rPr>
          <w:sz w:val="20"/>
          <w:szCs w:val="20"/>
          <w:color w:val="auto"/>
        </w:rPr>
      </w:pPr>
      <w:r>
        <w:rPr>
          <w:rFonts w:ascii="Times New Roman" w:cs="Times New Roman" w:eastAsia="Times New Roman" w:hAnsi="Times New Roman"/>
          <w:sz w:val="20"/>
          <w:szCs w:val="20"/>
          <w:color w:val="auto"/>
        </w:rPr>
        <w:t>Our economic interest expense was $222.4 million, $119.5 million and $109.6 million for the years ended December 31, 2025, 2024 and 2023, respectively. There was a 40 bps increase in the average economic cost of funds to 3.11% for the year ended December 31, 2025 from 2.71% for the year ended December 31, 2024. There was a 4 bps decrease in the average economic cost of funds to 2.71% for the year ended December 31, 2024 from 2.75% for the year ended December 31, 2023.</w:t>
      </w:r>
    </w:p>
    <w:p>
      <w:pPr>
        <w:spacing w:after="0" w:line="184" w:lineRule="exact"/>
        <w:rPr>
          <w:sz w:val="20"/>
          <w:szCs w:val="20"/>
          <w:color w:val="auto"/>
        </w:rPr>
      </w:pPr>
    </w:p>
    <w:p>
      <w:pPr>
        <w:ind w:right="140" w:firstLine="500"/>
        <w:spacing w:after="0" w:line="249" w:lineRule="auto"/>
        <w:rPr>
          <w:sz w:val="20"/>
          <w:szCs w:val="20"/>
          <w:color w:val="auto"/>
        </w:rPr>
      </w:pPr>
      <w:r>
        <w:rPr>
          <w:rFonts w:ascii="Times New Roman" w:cs="Times New Roman" w:eastAsia="Times New Roman" w:hAnsi="Times New Roman"/>
          <w:sz w:val="20"/>
          <w:szCs w:val="20"/>
          <w:color w:val="auto"/>
        </w:rPr>
        <w:t>Since all of our repurchase agreements are short-term, changes in market rates directly affect our interest expense. Our average cost of funds calculated on a GAAP basis was 8 bps above one- month average SOFR and 10 bps below six-month average SOFR for the year ended December 31, 2025. Our average economic cost of funds was 108 bps below one-month average SOFR and 126 bps below six-month average SOFR for the year ended December 31, 2025. The average term to maturity of the outstanding repurchase agreements was 39 days as of December 31, 2025 and 26 days as of December 31, 2024.</w:t>
      </w:r>
    </w:p>
    <w:p>
      <w:pPr>
        <w:spacing w:after="0" w:line="187" w:lineRule="exact"/>
        <w:rPr>
          <w:sz w:val="20"/>
          <w:szCs w:val="20"/>
          <w:color w:val="auto"/>
        </w:rPr>
      </w:pPr>
    </w:p>
    <w:p>
      <w:pPr>
        <w:ind w:right="320" w:firstLine="499"/>
        <w:spacing w:after="0" w:line="277" w:lineRule="auto"/>
        <w:rPr>
          <w:sz w:val="20"/>
          <w:szCs w:val="20"/>
          <w:color w:val="auto"/>
        </w:rPr>
      </w:pPr>
      <w:r>
        <w:rPr>
          <w:rFonts w:ascii="Times New Roman" w:cs="Times New Roman" w:eastAsia="Times New Roman" w:hAnsi="Times New Roman"/>
          <w:sz w:val="20"/>
          <w:szCs w:val="20"/>
          <w:color w:val="auto"/>
        </w:rPr>
        <w:t>The table below presents the one-month average and six- month average SOFR rates for each quarter in 2025, 2024 and 2023 and for the years ended December 31, 2025, 2024 and 2023 on both a GAAP and economic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796" w:right="720"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0"/>
        </w:trPr>
        <w:tc>
          <w:tcPr>
            <w:tcW w:w="3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Average Economic Cost of</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Average GAAP Cost of Funds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6"/>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Average SOFR</w:t>
            </w:r>
          </w:p>
        </w:tc>
        <w:tc>
          <w:tcPr>
            <w:tcW w:w="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Relative to Average</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Relative to Average</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vMerge w:val="continue"/>
          </w:tcPr>
          <w:p>
            <w:pPr>
              <w:spacing w:after="0"/>
              <w:rPr>
                <w:sz w:val="18"/>
                <w:szCs w:val="18"/>
                <w:color w:val="auto"/>
              </w:rPr>
            </w:pPr>
          </w:p>
        </w:tc>
        <w:tc>
          <w:tcPr>
            <w:tcW w:w="12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One-Month</w:t>
            </w:r>
          </w:p>
        </w:tc>
        <w:tc>
          <w:tcPr>
            <w:tcW w:w="160" w:type="dxa"/>
            <w:vAlign w:val="bottom"/>
          </w:tcPr>
          <w:p>
            <w:pPr>
              <w:spacing w:after="0"/>
              <w:rPr>
                <w:sz w:val="18"/>
                <w:szCs w:val="18"/>
                <w:color w:val="auto"/>
              </w:rPr>
            </w:pPr>
          </w:p>
        </w:tc>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Six-Month</w:t>
            </w:r>
          </w:p>
        </w:tc>
        <w:tc>
          <w:tcPr>
            <w:tcW w:w="80" w:type="dxa"/>
            <w:vAlign w:val="bottom"/>
          </w:tcPr>
          <w:p>
            <w:pPr>
              <w:spacing w:after="0"/>
              <w:rPr>
                <w:sz w:val="18"/>
                <w:szCs w:val="18"/>
                <w:color w:val="auto"/>
              </w:rPr>
            </w:pPr>
          </w:p>
        </w:tc>
        <w:tc>
          <w:tcPr>
            <w:tcW w:w="14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One-Month</w:t>
            </w:r>
          </w:p>
        </w:tc>
        <w:tc>
          <w:tcPr>
            <w:tcW w:w="11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Six-Month</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One-Month</w:t>
            </w:r>
          </w:p>
        </w:tc>
        <w:tc>
          <w:tcPr>
            <w:tcW w:w="110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Six-Month</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SOFR</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SOFR</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SOFR</w:t>
            </w:r>
          </w:p>
        </w:tc>
        <w:tc>
          <w:tcPr>
            <w:tcW w:w="11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SOFR</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6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9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3.79</w:t>
            </w:r>
          </w:p>
        </w:tc>
        <w:tc>
          <w:tcPr>
            <w:tcW w:w="1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6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4.20</w:t>
            </w:r>
          </w:p>
        </w:tc>
        <w:tc>
          <w:tcPr>
            <w:tcW w:w="1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8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16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8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DDDDDD"/>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September 30, 2025</w:t>
            </w:r>
          </w:p>
        </w:tc>
        <w:tc>
          <w:tcPr>
            <w:tcW w:w="1160" w:type="dxa"/>
            <w:vAlign w:val="bottom"/>
            <w:tcBorders>
              <w:bottom w:val="single" w:sz="8" w:color="DDDDDD"/>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4.31 %</w:t>
            </w:r>
          </w:p>
        </w:tc>
        <w:tc>
          <w:tcPr>
            <w:tcW w:w="160" w:type="dxa"/>
            <w:vAlign w:val="bottom"/>
            <w:tcBorders>
              <w:bottom w:val="single" w:sz="8" w:color="DDDDDD"/>
            </w:tcBorders>
          </w:tcPr>
          <w:p>
            <w:pPr>
              <w:spacing w:after="0"/>
              <w:rPr>
                <w:sz w:val="17"/>
                <w:szCs w:val="17"/>
                <w:color w:val="auto"/>
              </w:rPr>
            </w:pPr>
          </w:p>
        </w:tc>
        <w:tc>
          <w:tcPr>
            <w:tcW w:w="11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4.37 %</w:t>
            </w:r>
          </w:p>
        </w:tc>
        <w:tc>
          <w:tcPr>
            <w:tcW w:w="80" w:type="dxa"/>
            <w:vAlign w:val="bottom"/>
            <w:tcBorders>
              <w:bottom w:val="single" w:sz="8" w:color="DDDDDD"/>
            </w:tcBorders>
          </w:tcPr>
          <w:p>
            <w:pPr>
              <w:spacing w:after="0"/>
              <w:rPr>
                <w:sz w:val="17"/>
                <w:szCs w:val="17"/>
                <w:color w:val="auto"/>
              </w:rPr>
            </w:pPr>
          </w:p>
        </w:tc>
        <w:tc>
          <w:tcPr>
            <w:tcW w:w="124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0.14 %</w:t>
            </w:r>
          </w:p>
        </w:tc>
        <w:tc>
          <w:tcPr>
            <w:tcW w:w="132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0.08 %</w:t>
            </w:r>
          </w:p>
        </w:tc>
        <w:tc>
          <w:tcPr>
            <w:tcW w:w="1320" w:type="dxa"/>
            <w:vAlign w:val="bottom"/>
            <w:tcBorders>
              <w:bottom w:val="single" w:sz="8" w:color="DDDDDD"/>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(1.06 )%</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14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12"/>
        </w:trPr>
        <w:tc>
          <w:tcPr>
            <w:tcW w:w="30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bottom w:val="single" w:sz="8" w:color="DDDDDD"/>
            </w:tcBorders>
            <w:gridSpan w:val="2"/>
            <w:shd w:val="clear" w:color="auto" w:fill="DDDDDD"/>
          </w:tcPr>
          <w:p>
            <w:pPr>
              <w:spacing w:after="0"/>
              <w:rPr>
                <w:sz w:val="18"/>
                <w:szCs w:val="18"/>
                <w:color w:val="auto"/>
              </w:rPr>
            </w:pPr>
          </w:p>
        </w:tc>
        <w:tc>
          <w:tcPr>
            <w:tcW w:w="80" w:type="dxa"/>
            <w:vAlign w:val="bottom"/>
            <w:tcBorders>
              <w:bottom w:val="single" w:sz="8" w:color="DDDDDD"/>
            </w:tcBorders>
            <w:gridSpan w:val="2"/>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4.32</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60" w:type="dxa"/>
            <w:vAlign w:val="bottom"/>
            <w:tcBorders>
              <w:bottom w:val="single" w:sz="8" w:color="DDDDDD"/>
            </w:tcBorders>
            <w:shd w:val="clear" w:color="auto" w:fill="DDDDDD"/>
          </w:tcPr>
          <w:p>
            <w:pPr>
              <w:spacing w:after="0"/>
              <w:rPr>
                <w:sz w:val="18"/>
                <w:szCs w:val="18"/>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4.37</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8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8"/>
                <w:szCs w:val="18"/>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8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182"/>
        </w:trPr>
        <w:tc>
          <w:tcPr>
            <w:tcW w:w="3080" w:type="dxa"/>
            <w:vAlign w:val="bottom"/>
            <w:tcBorders>
              <w:bottom w:val="single" w:sz="8" w:color="DDDDDD"/>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March 31, 2025</w:t>
            </w:r>
          </w:p>
        </w:tc>
        <w:tc>
          <w:tcPr>
            <w:tcW w:w="20" w:type="dxa"/>
            <w:vAlign w:val="bottom"/>
            <w:tcBorders>
              <w:bottom w:val="single" w:sz="8" w:color="DDDDDD"/>
            </w:tcBorders>
          </w:tcPr>
          <w:p>
            <w:pPr>
              <w:spacing w:after="0"/>
              <w:rPr>
                <w:sz w:val="15"/>
                <w:szCs w:val="15"/>
                <w:color w:val="auto"/>
              </w:rPr>
            </w:pPr>
          </w:p>
        </w:tc>
        <w:tc>
          <w:tcPr>
            <w:tcW w:w="6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108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4.33 %</w:t>
            </w:r>
          </w:p>
        </w:tc>
        <w:tc>
          <w:tcPr>
            <w:tcW w:w="160" w:type="dxa"/>
            <w:vAlign w:val="bottom"/>
            <w:tcBorders>
              <w:bottom w:val="single" w:sz="8" w:color="DDDDDD"/>
            </w:tcBorders>
          </w:tcPr>
          <w:p>
            <w:pPr>
              <w:spacing w:after="0"/>
              <w:rPr>
                <w:sz w:val="15"/>
                <w:szCs w:val="15"/>
                <w:color w:val="auto"/>
              </w:rPr>
            </w:pPr>
          </w:p>
        </w:tc>
        <w:tc>
          <w:tcPr>
            <w:tcW w:w="110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4.55 %</w:t>
            </w:r>
          </w:p>
        </w:tc>
        <w:tc>
          <w:tcPr>
            <w:tcW w:w="80" w:type="dxa"/>
            <w:vAlign w:val="bottom"/>
            <w:tcBorders>
              <w:bottom w:val="single" w:sz="8" w:color="DDDDDD"/>
            </w:tcBorders>
          </w:tcPr>
          <w:p>
            <w:pPr>
              <w:spacing w:after="0"/>
              <w:rPr>
                <w:sz w:val="15"/>
                <w:szCs w:val="15"/>
                <w:color w:val="auto"/>
              </w:rPr>
            </w:pPr>
          </w:p>
        </w:tc>
        <w:tc>
          <w:tcPr>
            <w:tcW w:w="1240" w:type="dxa"/>
            <w:vAlign w:val="bottom"/>
            <w:tcBorders>
              <w:bottom w:val="single" w:sz="8" w:color="DDDDDD"/>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(0.04 )%</w:t>
            </w:r>
          </w:p>
        </w:tc>
        <w:tc>
          <w:tcPr>
            <w:tcW w:w="1320" w:type="dxa"/>
            <w:vAlign w:val="bottom"/>
            <w:tcBorders>
              <w:bottom w:val="single" w:sz="8" w:color="DDDDDD"/>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rPr>
              <w:t>(0.26 )%</w:t>
            </w:r>
          </w:p>
        </w:tc>
        <w:tc>
          <w:tcPr>
            <w:tcW w:w="1320" w:type="dxa"/>
            <w:vAlign w:val="bottom"/>
            <w:tcBorders>
              <w:bottom w:val="single" w:sz="8" w:color="DDDDDD"/>
            </w:tcBorders>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(1.50 )%</w:t>
            </w:r>
          </w:p>
        </w:tc>
        <w:tc>
          <w:tcPr>
            <w:tcW w:w="16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92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DDDDDD"/>
            </w:tcBorders>
          </w:tcPr>
          <w:p>
            <w:pPr>
              <w:spacing w:after="0"/>
              <w:rPr>
                <w:sz w:val="15"/>
                <w:szCs w:val="15"/>
                <w:color w:val="auto"/>
              </w:rPr>
            </w:pPr>
          </w:p>
        </w:tc>
        <w:tc>
          <w:tcPr>
            <w:tcW w:w="20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DDDDDD"/>
            </w:tcBorders>
            <w:gridSpan w:val="2"/>
            <w:shd w:val="clear" w:color="auto" w:fill="DDDDDD"/>
          </w:tcPr>
          <w:p>
            <w:pPr>
              <w:spacing w:after="0"/>
              <w:rPr>
                <w:sz w:val="16"/>
                <w:szCs w:val="16"/>
                <w:color w:val="auto"/>
              </w:rPr>
            </w:pPr>
          </w:p>
        </w:tc>
        <w:tc>
          <w:tcPr>
            <w:tcW w:w="80" w:type="dxa"/>
            <w:vAlign w:val="bottom"/>
            <w:tcBorders>
              <w:bottom w:val="single" w:sz="8" w:color="DDDDDD"/>
            </w:tcBorders>
            <w:gridSpan w:val="2"/>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4.53</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5.03</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DDDDDD"/>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September 30, 2024</w:t>
            </w:r>
          </w:p>
        </w:tc>
        <w:tc>
          <w:tcPr>
            <w:tcW w:w="1160" w:type="dxa"/>
            <w:vAlign w:val="bottom"/>
            <w:tcBorders>
              <w:bottom w:val="single" w:sz="8" w:color="DDDDDD"/>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5.16 %</w:t>
            </w:r>
          </w:p>
        </w:tc>
        <w:tc>
          <w:tcPr>
            <w:tcW w:w="160" w:type="dxa"/>
            <w:vAlign w:val="bottom"/>
            <w:tcBorders>
              <w:bottom w:val="single" w:sz="8" w:color="DDDDDD"/>
            </w:tcBorders>
          </w:tcPr>
          <w:p>
            <w:pPr>
              <w:spacing w:after="0"/>
              <w:rPr>
                <w:sz w:val="17"/>
                <w:szCs w:val="17"/>
                <w:color w:val="auto"/>
              </w:rPr>
            </w:pPr>
          </w:p>
        </w:tc>
        <w:tc>
          <w:tcPr>
            <w:tcW w:w="110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5.37 %</w:t>
            </w:r>
          </w:p>
        </w:tc>
        <w:tc>
          <w:tcPr>
            <w:tcW w:w="80" w:type="dxa"/>
            <w:vAlign w:val="bottom"/>
            <w:tcBorders>
              <w:bottom w:val="single" w:sz="8" w:color="DDDDDD"/>
            </w:tcBorders>
          </w:tcPr>
          <w:p>
            <w:pPr>
              <w:spacing w:after="0"/>
              <w:rPr>
                <w:sz w:val="17"/>
                <w:szCs w:val="17"/>
                <w:color w:val="auto"/>
              </w:rPr>
            </w:pPr>
          </w:p>
        </w:tc>
        <w:tc>
          <w:tcPr>
            <w:tcW w:w="124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0.46 %</w:t>
            </w:r>
          </w:p>
        </w:tc>
        <w:tc>
          <w:tcPr>
            <w:tcW w:w="132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0.25 %</w:t>
            </w:r>
          </w:p>
        </w:tc>
        <w:tc>
          <w:tcPr>
            <w:tcW w:w="1320" w:type="dxa"/>
            <w:vAlign w:val="bottom"/>
            <w:tcBorders>
              <w:bottom w:val="single" w:sz="8" w:color="DDDDDD"/>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(2.20 )%</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14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Borders>
              <w:bottom w:val="single" w:sz="8" w:color="DDDDDD"/>
            </w:tcBorders>
            <w:gridSpan w:val="2"/>
            <w:shd w:val="clear" w:color="auto" w:fill="DDDDDD"/>
          </w:tcPr>
          <w:p>
            <w:pPr>
              <w:spacing w:after="0"/>
              <w:rPr>
                <w:sz w:val="16"/>
                <w:szCs w:val="16"/>
                <w:color w:val="auto"/>
              </w:rPr>
            </w:pPr>
          </w:p>
        </w:tc>
        <w:tc>
          <w:tcPr>
            <w:tcW w:w="80" w:type="dxa"/>
            <w:vAlign w:val="bottom"/>
            <w:tcBorders>
              <w:bottom w:val="single" w:sz="8" w:color="DDDDDD"/>
            </w:tcBorders>
            <w:gridSpan w:val="2"/>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5.34</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5.39</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(2.93</w:t>
            </w:r>
          </w:p>
        </w:tc>
        <w:tc>
          <w:tcPr>
            <w:tcW w:w="2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(2.98</w:t>
            </w:r>
          </w:p>
        </w:tc>
        <w:tc>
          <w:tcPr>
            <w:tcW w:w="2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DDDDDD"/>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March 31, 2024</w:t>
            </w:r>
          </w:p>
        </w:tc>
        <w:tc>
          <w:tcPr>
            <w:tcW w:w="1160" w:type="dxa"/>
            <w:vAlign w:val="bottom"/>
            <w:tcBorders>
              <w:bottom w:val="single" w:sz="8" w:color="DDDDDD"/>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5.32 %</w:t>
            </w:r>
          </w:p>
        </w:tc>
        <w:tc>
          <w:tcPr>
            <w:tcW w:w="160" w:type="dxa"/>
            <w:vAlign w:val="bottom"/>
            <w:tcBorders>
              <w:bottom w:val="single" w:sz="8" w:color="DDDDDD"/>
            </w:tcBorders>
          </w:tcPr>
          <w:p>
            <w:pPr>
              <w:spacing w:after="0"/>
              <w:rPr>
                <w:sz w:val="17"/>
                <w:szCs w:val="17"/>
                <w:color w:val="auto"/>
              </w:rPr>
            </w:pPr>
          </w:p>
        </w:tc>
        <w:tc>
          <w:tcPr>
            <w:tcW w:w="110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5.39 %</w:t>
            </w:r>
          </w:p>
        </w:tc>
        <w:tc>
          <w:tcPr>
            <w:tcW w:w="80" w:type="dxa"/>
            <w:vAlign w:val="bottom"/>
            <w:tcBorders>
              <w:bottom w:val="single" w:sz="8" w:color="DDDDDD"/>
            </w:tcBorders>
          </w:tcPr>
          <w:p>
            <w:pPr>
              <w:spacing w:after="0"/>
              <w:rPr>
                <w:sz w:val="17"/>
                <w:szCs w:val="17"/>
                <w:color w:val="auto"/>
              </w:rPr>
            </w:pPr>
          </w:p>
        </w:tc>
        <w:tc>
          <w:tcPr>
            <w:tcW w:w="124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0.22 %</w:t>
            </w:r>
          </w:p>
        </w:tc>
        <w:tc>
          <w:tcPr>
            <w:tcW w:w="132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0.15 %</w:t>
            </w:r>
          </w:p>
        </w:tc>
        <w:tc>
          <w:tcPr>
            <w:tcW w:w="1320" w:type="dxa"/>
            <w:vAlign w:val="bottom"/>
            <w:tcBorders>
              <w:bottom w:val="single" w:sz="8" w:color="DDDDDD"/>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(2.76 )%</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14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DDDDDD"/>
            </w:tcBorders>
            <w:gridSpan w:val="2"/>
            <w:shd w:val="clear" w:color="auto" w:fill="DDDDDD"/>
          </w:tcPr>
          <w:p>
            <w:pPr>
              <w:spacing w:after="0"/>
              <w:rPr>
                <w:sz w:val="16"/>
                <w:szCs w:val="16"/>
                <w:color w:val="auto"/>
              </w:rPr>
            </w:pPr>
          </w:p>
        </w:tc>
        <w:tc>
          <w:tcPr>
            <w:tcW w:w="80" w:type="dxa"/>
            <w:vAlign w:val="bottom"/>
            <w:tcBorders>
              <w:bottom w:val="single" w:sz="8" w:color="DDDDDD"/>
            </w:tcBorders>
            <w:gridSpan w:val="2"/>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5.34</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5.35</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(0.19</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(2.68</w:t>
            </w:r>
          </w:p>
        </w:tc>
        <w:tc>
          <w:tcPr>
            <w:tcW w:w="2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DDDDDD"/>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September 30, 2023</w:t>
            </w:r>
          </w:p>
        </w:tc>
        <w:tc>
          <w:tcPr>
            <w:tcW w:w="1160" w:type="dxa"/>
            <w:vAlign w:val="bottom"/>
            <w:tcBorders>
              <w:bottom w:val="single" w:sz="8" w:color="DDDDDD"/>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5.32 %</w:t>
            </w:r>
          </w:p>
        </w:tc>
        <w:tc>
          <w:tcPr>
            <w:tcW w:w="160" w:type="dxa"/>
            <w:vAlign w:val="bottom"/>
            <w:tcBorders>
              <w:bottom w:val="single" w:sz="8" w:color="DDDDDD"/>
            </w:tcBorders>
          </w:tcPr>
          <w:p>
            <w:pPr>
              <w:spacing w:after="0"/>
              <w:rPr>
                <w:sz w:val="17"/>
                <w:szCs w:val="17"/>
                <w:color w:val="auto"/>
              </w:rPr>
            </w:pPr>
          </w:p>
        </w:tc>
        <w:tc>
          <w:tcPr>
            <w:tcW w:w="110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5.17 %</w:t>
            </w:r>
          </w:p>
        </w:tc>
        <w:tc>
          <w:tcPr>
            <w:tcW w:w="80" w:type="dxa"/>
            <w:vAlign w:val="bottom"/>
            <w:tcBorders>
              <w:bottom w:val="single" w:sz="8" w:color="DDDDDD"/>
            </w:tcBorders>
          </w:tcPr>
          <w:p>
            <w:pPr>
              <w:spacing w:after="0"/>
              <w:rPr>
                <w:sz w:val="17"/>
                <w:szCs w:val="17"/>
                <w:color w:val="auto"/>
              </w:rPr>
            </w:pPr>
          </w:p>
        </w:tc>
        <w:tc>
          <w:tcPr>
            <w:tcW w:w="124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0.12 %</w:t>
            </w:r>
          </w:p>
        </w:tc>
        <w:tc>
          <w:tcPr>
            <w:tcW w:w="132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0.27 %</w:t>
            </w:r>
          </w:p>
        </w:tc>
        <w:tc>
          <w:tcPr>
            <w:tcW w:w="1320" w:type="dxa"/>
            <w:vAlign w:val="bottom"/>
            <w:tcBorders>
              <w:bottom w:val="single" w:sz="8" w:color="DDDDDD"/>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(2.14 )%</w:t>
            </w:r>
          </w:p>
        </w:tc>
        <w:tc>
          <w:tcPr>
            <w:tcW w:w="16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14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Borders>
              <w:bottom w:val="single" w:sz="8" w:color="DDDDDD"/>
            </w:tcBorders>
            <w:gridSpan w:val="2"/>
            <w:shd w:val="clear" w:color="auto" w:fill="DDDDDD"/>
          </w:tcPr>
          <w:p>
            <w:pPr>
              <w:spacing w:after="0"/>
              <w:rPr>
                <w:sz w:val="16"/>
                <w:szCs w:val="16"/>
                <w:color w:val="auto"/>
              </w:rPr>
            </w:pPr>
          </w:p>
        </w:tc>
        <w:tc>
          <w:tcPr>
            <w:tcW w:w="80" w:type="dxa"/>
            <w:vAlign w:val="bottom"/>
            <w:tcBorders>
              <w:bottom w:val="single" w:sz="8" w:color="DDDDDD"/>
            </w:tcBorders>
            <w:gridSpan w:val="2"/>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5.07</w:t>
            </w:r>
          </w:p>
        </w:tc>
        <w:tc>
          <w:tcPr>
            <w:tcW w:w="1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4.78</w:t>
            </w:r>
          </w:p>
        </w:tc>
        <w:tc>
          <w:tcPr>
            <w:tcW w:w="1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(0.19</w:t>
            </w:r>
          </w:p>
        </w:tc>
        <w:tc>
          <w:tcPr>
            <w:tcW w:w="22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highlight w:val="lightGray"/>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(2.25</w:t>
            </w:r>
          </w:p>
        </w:tc>
        <w:tc>
          <w:tcPr>
            <w:tcW w:w="2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March 31, 2023</w:t>
            </w:r>
          </w:p>
        </w:tc>
        <w:tc>
          <w:tcPr>
            <w:tcW w:w="1160" w:type="dxa"/>
            <w:vAlign w:val="bottom"/>
            <w:tcBorders>
              <w:bottom w:val="single" w:sz="8" w:color="auto"/>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4.63 %</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4.09 %</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0.09 %</w:t>
            </w:r>
          </w:p>
        </w:tc>
        <w:tc>
          <w:tcPr>
            <w:tcW w:w="132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0.63 %</w:t>
            </w:r>
          </w:p>
        </w:tc>
        <w:tc>
          <w:tcPr>
            <w:tcW w:w="1320" w:type="dxa"/>
            <w:vAlign w:val="bottom"/>
            <w:tcBorders>
              <w:bottom w:val="single" w:sz="8" w:color="auto"/>
            </w:tcBorders>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(2.06 )%</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5"/>
        </w:trPr>
        <w:tc>
          <w:tcPr>
            <w:tcW w:w="3000" w:type="dxa"/>
            <w:vAlign w:val="bottom"/>
            <w:tcBorders>
              <w:bottom w:val="single" w:sz="8" w:color="auto"/>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100" w:type="dxa"/>
            <w:vAlign w:val="bottom"/>
            <w:tcBorders>
              <w:bottom w:val="single" w:sz="8" w:color="auto"/>
            </w:tcBorders>
            <w:gridSpan w:val="2"/>
            <w:shd w:val="clear" w:color="auto" w:fill="DDDDDD"/>
          </w:tcPr>
          <w:p>
            <w:pPr>
              <w:spacing w:after="0"/>
              <w:rPr>
                <w:sz w:val="17"/>
                <w:szCs w:val="17"/>
                <w:color w:val="auto"/>
              </w:rPr>
            </w:pPr>
          </w:p>
        </w:tc>
        <w:tc>
          <w:tcPr>
            <w:tcW w:w="6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94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6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60" w:type="dxa"/>
            <w:vAlign w:val="bottom"/>
            <w:tcBorders>
              <w:bottom w:val="single" w:sz="8" w:color="DDDDDD"/>
            </w:tcBorders>
          </w:tcPr>
          <w:p>
            <w:pPr>
              <w:spacing w:after="0"/>
              <w:rPr>
                <w:sz w:val="18"/>
                <w:szCs w:val="18"/>
                <w:color w:val="auto"/>
              </w:rPr>
            </w:pPr>
          </w:p>
        </w:tc>
        <w:tc>
          <w:tcPr>
            <w:tcW w:w="11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80" w:type="dxa"/>
            <w:vAlign w:val="bottom"/>
            <w:tcBorders>
              <w:bottom w:val="single" w:sz="8" w:color="DDDDDD"/>
            </w:tcBorders>
          </w:tcPr>
          <w:p>
            <w:pPr>
              <w:spacing w:after="0"/>
              <w:rPr>
                <w:sz w:val="18"/>
                <w:szCs w:val="18"/>
                <w:color w:val="auto"/>
              </w:rPr>
            </w:pPr>
          </w:p>
        </w:tc>
        <w:tc>
          <w:tcPr>
            <w:tcW w:w="124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32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32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14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DDDDDD"/>
            </w:tcBorders>
            <w:gridSpan w:val="2"/>
            <w:shd w:val="clear" w:color="auto" w:fill="DDDDDD"/>
          </w:tcPr>
          <w:p>
            <w:pPr>
              <w:spacing w:after="0"/>
              <w:rPr>
                <w:sz w:val="16"/>
                <w:szCs w:val="16"/>
                <w:color w:val="auto"/>
              </w:rPr>
            </w:pPr>
          </w:p>
        </w:tc>
        <w:tc>
          <w:tcPr>
            <w:tcW w:w="80" w:type="dxa"/>
            <w:vAlign w:val="bottom"/>
            <w:tcBorders>
              <w:bottom w:val="single" w:sz="8" w:color="DDDDDD"/>
            </w:tcBorders>
            <w:gridSpan w:val="2"/>
            <w:shd w:val="clear" w:color="auto" w:fill="DDDDDD"/>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5.09</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5.29</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0.26</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16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c>
          <w:tcPr>
            <w:tcW w:w="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5"/>
              </w:rPr>
              <w:t>)%</w:t>
            </w:r>
          </w:p>
        </w:tc>
        <w:tc>
          <w:tcPr>
            <w:tcW w:w="160" w:type="dxa"/>
            <w:vAlign w:val="bottom"/>
            <w:tcBorders>
              <w:bottom w:val="single" w:sz="8" w:color="DDDDDD"/>
            </w:tcBorders>
            <w:shd w:val="clear" w:color="auto" w:fill="DDDDDD"/>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(2.58</w:t>
            </w:r>
          </w:p>
        </w:tc>
        <w:tc>
          <w:tcPr>
            <w:tcW w:w="2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c>
          <w:tcPr>
            <w:tcW w:w="0" w:type="dxa"/>
            <w:vAlign w:val="bottom"/>
          </w:tcPr>
          <w:p>
            <w:pPr>
              <w:spacing w:after="0"/>
              <w:rPr>
                <w:sz w:val="1"/>
                <w:szCs w:val="1"/>
                <w:color w:val="auto"/>
              </w:rPr>
            </w:pPr>
          </w:p>
        </w:tc>
      </w:tr>
      <w:tr>
        <w:trPr>
          <w:trHeight w:val="225"/>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5182870</wp:posOffset>
                </wp:positionH>
                <wp:positionV relativeFrom="paragraph">
                  <wp:posOffset>-2674620</wp:posOffset>
                </wp:positionV>
                <wp:extent cx="5016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1pt,-210.5999pt" to="412.05pt,-210.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-2095500</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65pt" to="540.2pt,-165pt" o:allowincell="f" strokecolor="#FFFFFF" strokeweight="0.24pt"/>
            </w:pict>
          </mc:Fallback>
        </mc:AlternateConten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Gains or Losses</w:t>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table below presents our gains or losses for the years ended December 31, 2025, 2024 and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5" w:type="dxa"/>
            <w:vAlign w:val="bottom"/>
            <w:tcBorders>
              <w:top w:val="single" w:sz="8" w:color="auto"/>
              <w:bottom w:val="single" w:sz="8" w:color="auto"/>
            </w:tcBorders>
          </w:tcPr>
          <w:p>
            <w:pPr>
              <w:spacing w:after="0"/>
              <w:rPr>
                <w:sz w:val="18"/>
                <w:szCs w:val="18"/>
                <w:color w:val="auto"/>
              </w:rPr>
            </w:pPr>
          </w:p>
        </w:tc>
        <w:tc>
          <w:tcPr>
            <w:tcW w:w="135"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5" w:type="dxa"/>
            <w:vAlign w:val="bottom"/>
            <w:tcBorders>
              <w:top w:val="single" w:sz="8" w:color="auto"/>
              <w:bottom w:val="single" w:sz="8" w:color="auto"/>
            </w:tcBorders>
          </w:tcPr>
          <w:p>
            <w:pPr>
              <w:spacing w:after="0"/>
              <w:rPr>
                <w:sz w:val="18"/>
                <w:szCs w:val="18"/>
                <w:color w:val="auto"/>
              </w:rPr>
            </w:pPr>
          </w:p>
        </w:tc>
        <w:tc>
          <w:tcPr>
            <w:tcW w:w="135"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5" w:type="dxa"/>
            <w:vAlign w:val="bottom"/>
            <w:tcBorders>
              <w:top w:val="single" w:sz="8" w:color="auto"/>
              <w:bottom w:val="single" w:sz="8" w:color="auto"/>
            </w:tcBorders>
          </w:tcPr>
          <w:p>
            <w:pPr>
              <w:spacing w:after="0"/>
              <w:rPr>
                <w:sz w:val="18"/>
                <w:szCs w:val="18"/>
                <w:color w:val="auto"/>
              </w:rPr>
            </w:pPr>
          </w:p>
        </w:tc>
        <w:tc>
          <w:tcPr>
            <w:tcW w:w="135"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r>
      <w:tr>
        <w:trPr>
          <w:trHeight w:val="20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Realized losses on sales of RMBS</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85"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85"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(22,642</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21"/>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Unrealized gains (losses) on RMBS and U.S. Treasury Notes</w:t>
            </w:r>
          </w:p>
        </w:tc>
        <w:tc>
          <w:tcPr>
            <w:tcW w:w="135"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200,231</w:t>
            </w:r>
          </w:p>
        </w:tc>
        <w:tc>
          <w:tcPr>
            <w:tcW w:w="185" w:type="dxa"/>
            <w:vAlign w:val="bottom"/>
            <w:tcBorders>
              <w:bottom w:val="single" w:sz="8" w:color="auto"/>
            </w:tcBorders>
          </w:tcPr>
          <w:p>
            <w:pPr>
              <w:spacing w:after="0"/>
              <w:rPr>
                <w:sz w:val="19"/>
                <w:szCs w:val="19"/>
                <w:color w:val="auto"/>
              </w:rPr>
            </w:pP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(79,842 )</w:t>
            </w:r>
          </w:p>
        </w:tc>
        <w:tc>
          <w:tcPr>
            <w:tcW w:w="135"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(18,941 )</w:t>
            </w:r>
          </w:p>
        </w:tc>
      </w:tr>
      <w:tr>
        <w:trPr>
          <w:trHeight w:val="206"/>
        </w:trPr>
        <w:tc>
          <w:tcPr>
            <w:tcW w:w="6025"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Total gains (losses) on RMBS and U.S. Treasury Notes</w:t>
            </w:r>
          </w:p>
        </w:tc>
        <w:tc>
          <w:tcPr>
            <w:tcW w:w="135" w:type="dxa"/>
            <w:vAlign w:val="bottom"/>
            <w:shd w:val="clear" w:color="auto" w:fill="DDDDDD"/>
          </w:tcPr>
          <w:p>
            <w:pPr>
              <w:spacing w:after="0"/>
              <w:rPr>
                <w:sz w:val="17"/>
                <w:szCs w:val="17"/>
                <w:color w:val="auto"/>
              </w:rPr>
            </w:pP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193,910</w:t>
            </w:r>
          </w:p>
        </w:tc>
        <w:tc>
          <w:tcPr>
            <w:tcW w:w="185" w:type="dxa"/>
            <w:vAlign w:val="bottom"/>
            <w:shd w:val="clear" w:color="auto" w:fill="DDDDDD"/>
          </w:tcPr>
          <w:p>
            <w:pPr>
              <w:spacing w:after="0"/>
              <w:rPr>
                <w:sz w:val="17"/>
                <w:szCs w:val="17"/>
                <w:color w:val="auto"/>
              </w:rPr>
            </w:pPr>
          </w:p>
        </w:tc>
        <w:tc>
          <w:tcPr>
            <w:tcW w:w="135" w:type="dxa"/>
            <w:vAlign w:val="bottom"/>
            <w:shd w:val="clear" w:color="auto" w:fill="DDDDDD"/>
          </w:tcPr>
          <w:p>
            <w:pPr>
              <w:spacing w:after="0"/>
              <w:rPr>
                <w:sz w:val="17"/>
                <w:szCs w:val="17"/>
                <w:color w:val="auto"/>
              </w:rPr>
            </w:pP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(84,444</w:t>
            </w:r>
          </w:p>
        </w:tc>
        <w:tc>
          <w:tcPr>
            <w:tcW w:w="185"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shd w:val="clear" w:color="auto" w:fill="DDDDDD"/>
          </w:tcPr>
          <w:p>
            <w:pPr>
              <w:spacing w:after="0"/>
              <w:rPr>
                <w:sz w:val="17"/>
                <w:szCs w:val="17"/>
                <w:color w:val="auto"/>
              </w:rPr>
            </w:pP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(41,583</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(Losses) gains on interest rate futures</w:t>
            </w:r>
          </w:p>
        </w:tc>
        <w:tc>
          <w:tcPr>
            <w:tcW w:w="135" w:type="dxa"/>
            <w:vAlign w:val="bottom"/>
          </w:tcPr>
          <w:p>
            <w:pPr>
              <w:spacing w:after="0"/>
              <w:rPr>
                <w:sz w:val="18"/>
                <w:szCs w:val="18"/>
                <w:color w:val="auto"/>
              </w:rPr>
            </w:pPr>
          </w:p>
        </w:tc>
        <w:tc>
          <w:tcPr>
            <w:tcW w:w="1485"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(30,282 )</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26,638</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00" w:type="dxa"/>
            <w:vAlign w:val="bottom"/>
          </w:tcPr>
          <w:p>
            <w:pPr>
              <w:spacing w:after="0"/>
              <w:rPr>
                <w:sz w:val="18"/>
                <w:szCs w:val="18"/>
                <w:color w:val="auto"/>
              </w:rPr>
            </w:pPr>
          </w:p>
        </w:tc>
      </w:tr>
      <w:tr>
        <w:trPr>
          <w:trHeight w:val="21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(Losses) gains on interest rate swaps</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(81,687</w:t>
            </w:r>
          </w:p>
        </w:tc>
        <w:tc>
          <w:tcPr>
            <w:tcW w:w="185"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101,151</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100" w:type="dxa"/>
            <w:vAlign w:val="bottom"/>
            <w:shd w:val="clear" w:color="auto" w:fill="DDDDDD"/>
          </w:tcPr>
          <w:p>
            <w:pPr>
              <w:spacing w:after="0"/>
              <w:rPr>
                <w:sz w:val="18"/>
                <w:szCs w:val="18"/>
                <w:color w:val="auto"/>
              </w:rPr>
            </w:pPr>
          </w:p>
        </w:tc>
      </w:tr>
      <w:tr>
        <w:trPr>
          <w:trHeight w:val="214"/>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Gains on payer swaptions (short positions)</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Pr>
          <w:p>
            <w:pPr>
              <w:spacing w:after="0"/>
              <w:rPr>
                <w:sz w:val="18"/>
                <w:szCs w:val="18"/>
                <w:color w:val="auto"/>
              </w:rPr>
            </w:pPr>
          </w:p>
        </w:tc>
      </w:tr>
      <w:tr>
        <w:trPr>
          <w:trHeight w:val="221"/>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Losses on payer swaptions (long positions)</w:t>
            </w:r>
          </w:p>
        </w:tc>
        <w:tc>
          <w:tcPr>
            <w:tcW w:w="135"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shd w:val="clear" w:color="auto" w:fill="DDDDDD"/>
          </w:tcPr>
          <w:p>
            <w:pPr>
              <w:spacing w:after="0"/>
              <w:rPr>
                <w:sz w:val="19"/>
                <w:szCs w:val="19"/>
                <w:color w:val="auto"/>
              </w:rPr>
            </w:pPr>
          </w:p>
        </w:tc>
        <w:tc>
          <w:tcPr>
            <w:tcW w:w="135"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5"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4"/>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dual digital option</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5"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1"/>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(Losses) gains on interest rate caps</w:t>
            </w:r>
          </w:p>
        </w:tc>
        <w:tc>
          <w:tcPr>
            <w:tcW w:w="135"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shd w:val="clear" w:color="auto" w:fill="DDDDDD"/>
          </w:tcPr>
          <w:p>
            <w:pPr>
              <w:spacing w:after="0"/>
              <w:rPr>
                <w:sz w:val="19"/>
                <w:szCs w:val="19"/>
                <w:color w:val="auto"/>
              </w:rPr>
            </w:pPr>
          </w:p>
        </w:tc>
        <w:tc>
          <w:tcPr>
            <w:tcW w:w="135"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shd w:val="clear" w:color="auto" w:fill="DDDDDD"/>
          </w:tcPr>
          <w:p>
            <w:pPr>
              <w:spacing w:after="0"/>
              <w:rPr>
                <w:sz w:val="19"/>
                <w:szCs w:val="19"/>
                <w:color w:val="auto"/>
              </w:rPr>
            </w:pPr>
          </w:p>
        </w:tc>
        <w:tc>
          <w:tcPr>
            <w:tcW w:w="135"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Gains on interest rate floors (long positions)</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8"/>
                <w:szCs w:val="18"/>
                <w:color w:val="auto"/>
              </w:rPr>
            </w:pPr>
          </w:p>
        </w:tc>
      </w:tr>
      <w:tr>
        <w:trPr>
          <w:trHeight w:val="216"/>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Losses on interest rate floors (short positions)</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8"/>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(Losses) gains on TBA securities (short positions)</w:t>
            </w:r>
          </w:p>
        </w:tc>
        <w:tc>
          <w:tcPr>
            <w:tcW w:w="135" w:type="dxa"/>
            <w:vAlign w:val="bottom"/>
          </w:tcPr>
          <w:p>
            <w:pPr>
              <w:spacing w:after="0"/>
              <w:rPr>
                <w:sz w:val="18"/>
                <w:szCs w:val="18"/>
                <w:color w:val="auto"/>
              </w:rPr>
            </w:pPr>
          </w:p>
        </w:tc>
        <w:tc>
          <w:tcPr>
            <w:tcW w:w="1485"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(12,289 )</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r>
      <w:tr>
        <w:trPr>
          <w:trHeight w:val="216"/>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Gains (losses) on TBA securities (long positions)</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5"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21"/>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Losses on U.S. Treasury securities (short positions)</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(98 )</w:t>
            </w:r>
          </w:p>
        </w:tc>
        <w:tc>
          <w:tcPr>
            <w:tcW w:w="135"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tcBorders>
              <w:bottom w:val="single" w:sz="8" w:color="auto"/>
            </w:tcBorders>
          </w:tcPr>
          <w:p>
            <w:pPr>
              <w:spacing w:after="0"/>
              <w:rPr>
                <w:sz w:val="19"/>
                <w:szCs w:val="19"/>
                <w:color w:val="auto"/>
              </w:rPr>
            </w:pPr>
          </w:p>
        </w:tc>
        <w:tc>
          <w:tcPr>
            <w:tcW w:w="135"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r>
      <w:tr>
        <w:trPr>
          <w:trHeight w:val="229"/>
        </w:trPr>
        <w:tc>
          <w:tcPr>
            <w:tcW w:w="6025"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Total</w:t>
            </w:r>
          </w:p>
        </w:tc>
        <w:tc>
          <w:tcPr>
            <w:tcW w:w="135"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71,241</w:t>
            </w:r>
          </w:p>
        </w:tc>
        <w:tc>
          <w:tcPr>
            <w:tcW w:w="185" w:type="dxa"/>
            <w:vAlign w:val="bottom"/>
            <w:tcBorders>
              <w:bottom w:val="single" w:sz="8" w:color="DDDDDD"/>
            </w:tcBorders>
            <w:shd w:val="clear" w:color="auto" w:fill="DDDDDD"/>
          </w:tcPr>
          <w:p>
            <w:pPr>
              <w:spacing w:after="0"/>
              <w:rPr>
                <w:sz w:val="19"/>
                <w:szCs w:val="19"/>
                <w:color w:val="auto"/>
              </w:rPr>
            </w:pPr>
          </w:p>
        </w:tc>
        <w:tc>
          <w:tcPr>
            <w:tcW w:w="135"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49,110</w:t>
            </w:r>
          </w:p>
        </w:tc>
        <w:tc>
          <w:tcPr>
            <w:tcW w:w="185" w:type="dxa"/>
            <w:vAlign w:val="bottom"/>
            <w:tcBorders>
              <w:bottom w:val="single" w:sz="8" w:color="DDDDDD"/>
            </w:tcBorders>
            <w:shd w:val="clear" w:color="auto" w:fill="DDDDDD"/>
          </w:tcPr>
          <w:p>
            <w:pPr>
              <w:spacing w:after="0"/>
              <w:rPr>
                <w:sz w:val="19"/>
                <w:szCs w:val="19"/>
                <w:color w:val="auto"/>
              </w:rPr>
            </w:pPr>
          </w:p>
        </w:tc>
        <w:tc>
          <w:tcPr>
            <w:tcW w:w="135"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3,654</w:t>
            </w:r>
          </w:p>
        </w:tc>
        <w:tc>
          <w:tcPr>
            <w:tcW w:w="100" w:type="dxa"/>
            <w:vAlign w:val="bottom"/>
            <w:tcBorders>
              <w:bottom w:val="single" w:sz="8" w:color="DDDDDD"/>
            </w:tcBorders>
            <w:shd w:val="clear" w:color="auto" w:fill="DDDDDD"/>
          </w:tcPr>
          <w:p>
            <w:pPr>
              <w:spacing w:after="0"/>
              <w:rPr>
                <w:sz w:val="19"/>
                <w:szCs w:val="19"/>
                <w:color w:val="auto"/>
              </w:rPr>
            </w:pPr>
          </w:p>
        </w:tc>
      </w:tr>
      <w:tr>
        <w:trPr>
          <w:trHeight w:val="20"/>
        </w:trPr>
        <w:tc>
          <w:tcPr>
            <w:tcW w:w="602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-1289050</wp:posOffset>
                </wp:positionV>
                <wp:extent cx="68580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1.4999pt" to="540.2pt,-101.4999pt" o:allowincell="f" strokecolor="#FFFFFF" strokeweight="0.24pt"/>
            </w:pict>
          </mc:Fallback>
        </mc:AlternateContent>
      </w:r>
    </w:p>
    <w:p>
      <w:pPr>
        <w:spacing w:after="0" w:line="192" w:lineRule="exact"/>
        <w:rPr>
          <w:sz w:val="20"/>
          <w:szCs w:val="20"/>
          <w:color w:val="auto"/>
        </w:rPr>
      </w:pPr>
    </w:p>
    <w:p>
      <w:pPr>
        <w:ind w:right="180" w:firstLine="499"/>
        <w:spacing w:after="0" w:line="245" w:lineRule="auto"/>
        <w:rPr>
          <w:sz w:val="20"/>
          <w:szCs w:val="20"/>
          <w:color w:val="auto"/>
        </w:rPr>
      </w:pPr>
      <w:r>
        <w:rPr>
          <w:rFonts w:ascii="Times New Roman" w:cs="Times New Roman" w:eastAsia="Times New Roman" w:hAnsi="Times New Roman"/>
          <w:sz w:val="20"/>
          <w:szCs w:val="20"/>
          <w:color w:val="auto"/>
        </w:rPr>
        <w:t>We invest in RMBS with the intent to earn net income from the realized yield on those assets over their related funding and hedging costs, and not for the purpose of making short term gains from sales. However, we have sold, and may continue to sell, existing assets to acquire new assets, which our management believes might have higher risk -adjusted returns in light of current or anticipated interest rates, federal government programs or general economic conditions or to manage our balance sheet as part of our asset/liability management strategy. During the years ended December 31, 2025, 2024 and 2023, the Company received proceeds of $1,455.1 million, $904.3 million, and $835.1 million, respectively, from the sales and maturities of RMBS and U.S. Treasury securities. Approximately $221.7 million of the 2024 proceeds received consisted of pools that were consolidated into a larger pool and simultaneously acquired by us. No gain or loss was recorded on this resecuritization.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786" w:right="720" w:bottom="0" w:gutter="0" w:footer="0" w:header="0"/>
        </w:sectPr>
      </w:pPr>
    </w:p>
    <w:bookmarkStart w:id="54" w:name="page55"/>
    <w:bookmarkEnd w:id="54"/>
    <w:p>
      <w:pPr>
        <w:ind w:right="100" w:firstLine="499"/>
        <w:spacing w:after="0" w:line="259" w:lineRule="auto"/>
        <w:rPr>
          <w:sz w:val="20"/>
          <w:szCs w:val="20"/>
          <w:color w:val="auto"/>
        </w:rPr>
      </w:pPr>
      <w:r>
        <w:rPr>
          <w:rFonts w:ascii="Times New Roman" w:cs="Times New Roman" w:eastAsia="Times New Roman" w:hAnsi="Times New Roman"/>
          <w:sz w:val="19"/>
          <w:szCs w:val="19"/>
          <w:color w:val="auto"/>
        </w:rPr>
        <w:t>Realized and unrealized gains and losses on RMBS are driven in part by changes in yields and interest rates, the spreads that Agency RMBS trade relative to comparable duration U.S. Treasuries or swaps, as well as varying levels of demand for RMBS, which affect the pricing of the securities in our portfolio. The unrealized gains and losses on RMBS may also include the premium lost as a result of prepayments on the underlying mortgages, decreasing unrealized gains or increasing unrealized losses as prepayment speeds or premiums increase. To the extent RMBS are carried at a discount to par, unrealized gains or losses on RMBS would also include discount accreted as a result of prepayments on the underlying mortgages, increasing unrealized gains or decreasing unrealized losses as speeds on discounts increase. Gains and losses on interest rate futures contracts are affected by changes in implied forward rates during the reporting period. The table below presents historical interest rate data for each quarter end during 2025,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10" w:type="dxa"/>
            <w:vAlign w:val="bottom"/>
            <w:tcBorders>
              <w:top w:val="single" w:sz="8" w:color="auto"/>
            </w:tcBorders>
          </w:tcPr>
          <w:p>
            <w:pPr>
              <w:spacing w:after="0"/>
              <w:rPr>
                <w:sz w:val="19"/>
                <w:szCs w:val="19"/>
                <w:color w:val="auto"/>
              </w:rPr>
            </w:pPr>
          </w:p>
        </w:tc>
        <w:tc>
          <w:tcPr>
            <w:tcW w:w="19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5 Year</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10 Year</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15 Year</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30 Year</w:t>
            </w:r>
          </w:p>
        </w:tc>
        <w:tc>
          <w:tcPr>
            <w:tcW w:w="180" w:type="dxa"/>
            <w:vAlign w:val="bottom"/>
            <w:tcBorders>
              <w:top w:val="single" w:sz="8" w:color="auto"/>
            </w:tcBorders>
          </w:tcPr>
          <w:p>
            <w:pPr>
              <w:spacing w:after="0"/>
              <w:rPr>
                <w:sz w:val="19"/>
                <w:szCs w:val="19"/>
                <w:color w:val="auto"/>
              </w:rPr>
            </w:pPr>
          </w:p>
        </w:tc>
        <w:tc>
          <w:tcPr>
            <w:tcW w:w="950" w:type="dxa"/>
            <w:vAlign w:val="bottom"/>
            <w:tcBorders>
              <w:top w:val="single" w:sz="8" w:color="auto"/>
            </w:tcBorders>
          </w:tcPr>
          <w:p>
            <w:pPr>
              <w:spacing w:after="0"/>
              <w:rPr>
                <w:sz w:val="19"/>
                <w:szCs w:val="19"/>
                <w:color w:val="auto"/>
              </w:rPr>
            </w:pPr>
          </w:p>
        </w:tc>
        <w:tc>
          <w:tcPr>
            <w:tcW w:w="15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18"/>
        </w:trPr>
        <w:tc>
          <w:tcPr>
            <w:tcW w:w="431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1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8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Fixed-Rate</w:t>
            </w:r>
          </w:p>
        </w:tc>
        <w:tc>
          <w:tcPr>
            <w:tcW w:w="200" w:type="dxa"/>
            <w:vAlign w:val="bottom"/>
          </w:tcPr>
          <w:p>
            <w:pPr>
              <w:spacing w:after="0"/>
              <w:rPr>
                <w:sz w:val="18"/>
                <w:szCs w:val="18"/>
                <w:color w:val="auto"/>
              </w:rPr>
            </w:pPr>
          </w:p>
        </w:tc>
        <w:tc>
          <w:tcPr>
            <w:tcW w:w="11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Fixed-Rate</w:t>
            </w:r>
          </w:p>
        </w:tc>
        <w:tc>
          <w:tcPr>
            <w:tcW w:w="18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90 Day</w:t>
            </w:r>
          </w:p>
        </w:tc>
      </w:tr>
      <w:tr>
        <w:trPr>
          <w:trHeight w:val="216"/>
        </w:trPr>
        <w:tc>
          <w:tcPr>
            <w:tcW w:w="431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1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8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20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00" w:type="dxa"/>
            <w:vAlign w:val="bottom"/>
          </w:tcPr>
          <w:p>
            <w:pPr>
              <w:spacing w:after="0"/>
              <w:rPr>
                <w:sz w:val="18"/>
                <w:szCs w:val="18"/>
                <w:color w:val="auto"/>
              </w:rPr>
            </w:pPr>
          </w:p>
        </w:tc>
        <w:tc>
          <w:tcPr>
            <w:tcW w:w="11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8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6"/>
        </w:trPr>
        <w:tc>
          <w:tcPr>
            <w:tcW w:w="4310" w:type="dxa"/>
            <w:vAlign w:val="bottom"/>
            <w:tcBorders>
              <w:bottom w:val="single" w:sz="8" w:color="auto"/>
            </w:tcBorders>
          </w:tcPr>
          <w:p>
            <w:pPr>
              <w:spacing w:after="0"/>
              <w:rPr>
                <w:sz w:val="20"/>
                <w:szCs w:val="20"/>
                <w:color w:val="auto"/>
              </w:rPr>
            </w:pPr>
          </w:p>
        </w:tc>
        <w:tc>
          <w:tcPr>
            <w:tcW w:w="19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0"/>
                <w:szCs w:val="10"/>
                <w:b w:val="1"/>
                <w:bCs w:val="1"/>
                <w:color w:val="auto"/>
              </w:rPr>
              <w:t>(1)</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0"/>
                <w:szCs w:val="10"/>
                <w:b w:val="1"/>
                <w:bCs w:val="1"/>
                <w:color w:val="auto"/>
              </w:rPr>
              <w:t>(1)</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0"/>
                <w:szCs w:val="10"/>
                <w:b w:val="1"/>
                <w:bCs w:val="1"/>
                <w:color w:val="auto"/>
              </w:rPr>
              <w:t>(2)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0"/>
                <w:szCs w:val="10"/>
                <w:b w:val="1"/>
                <w:bCs w:val="1"/>
                <w:color w:val="auto"/>
              </w:rPr>
              <w:t>(2)</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0"/>
                <w:szCs w:val="10"/>
                <w:b w:val="1"/>
                <w:bCs w:val="1"/>
                <w:color w:val="auto"/>
              </w:rPr>
              <w:t>(3)</w:t>
            </w:r>
          </w:p>
        </w:tc>
      </w:tr>
      <w:tr>
        <w:trPr>
          <w:trHeight w:val="201"/>
        </w:trPr>
        <w:tc>
          <w:tcPr>
            <w:tcW w:w="431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December 31, 2025</w:t>
            </w:r>
          </w:p>
        </w:tc>
        <w:tc>
          <w:tcPr>
            <w:tcW w:w="190" w:type="dxa"/>
            <w:vAlign w:val="bottom"/>
            <w:tcBorders>
              <w:bottom w:val="single" w:sz="8" w:color="DDDDDD"/>
            </w:tcBorders>
            <w:shd w:val="clear" w:color="auto" w:fill="DDDDDD"/>
          </w:tcPr>
          <w:p>
            <w:pPr>
              <w:spacing w:after="0"/>
              <w:rPr>
                <w:sz w:val="17"/>
                <w:szCs w:val="17"/>
                <w:color w:val="auto"/>
              </w:rPr>
            </w:pPr>
          </w:p>
        </w:tc>
        <w:tc>
          <w:tcPr>
            <w:tcW w:w="95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3.72</w:t>
            </w:r>
          </w:p>
        </w:tc>
        <w:tc>
          <w:tcPr>
            <w:tcW w:w="1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7"/>
                <w:szCs w:val="17"/>
                <w:color w:val="auto"/>
              </w:rPr>
            </w:pPr>
          </w:p>
        </w:tc>
        <w:tc>
          <w:tcPr>
            <w:tcW w:w="95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4.16</w:t>
            </w:r>
          </w:p>
        </w:tc>
        <w:tc>
          <w:tcPr>
            <w:tcW w:w="15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5.44</w:t>
            </w:r>
          </w:p>
        </w:tc>
        <w:tc>
          <w:tcPr>
            <w:tcW w:w="16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DDDDDD"/>
            </w:tcBorders>
            <w:shd w:val="clear" w:color="auto" w:fill="DDDDDD"/>
          </w:tcPr>
          <w:p>
            <w:pPr>
              <w:spacing w:after="0"/>
              <w:rPr>
                <w:sz w:val="17"/>
                <w:szCs w:val="17"/>
                <w:color w:val="auto"/>
              </w:rPr>
            </w:pPr>
          </w:p>
        </w:tc>
        <w:tc>
          <w:tcPr>
            <w:tcW w:w="95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6.15</w:t>
            </w:r>
          </w:p>
        </w:tc>
        <w:tc>
          <w:tcPr>
            <w:tcW w:w="1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7"/>
                <w:szCs w:val="17"/>
                <w:color w:val="auto"/>
              </w:rPr>
            </w:pPr>
          </w:p>
        </w:tc>
        <w:tc>
          <w:tcPr>
            <w:tcW w:w="95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4.01</w:t>
            </w:r>
          </w:p>
        </w:tc>
        <w:tc>
          <w:tcPr>
            <w:tcW w:w="15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7"/>
                <w:szCs w:val="17"/>
                <w:color w:val="auto"/>
              </w:rPr>
            </w:pPr>
          </w:p>
        </w:tc>
      </w:tr>
      <w:tr>
        <w:trPr>
          <w:trHeight w:val="203"/>
        </w:trPr>
        <w:tc>
          <w:tcPr>
            <w:tcW w:w="4500" w:type="dxa"/>
            <w:vAlign w:val="bottom"/>
            <w:tcBorders>
              <w:bottom w:val="single" w:sz="8" w:color="DDDDDD"/>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September 30, 2025</w:t>
            </w:r>
          </w:p>
        </w:tc>
        <w:tc>
          <w:tcPr>
            <w:tcW w:w="11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3.73 %</w:t>
            </w:r>
          </w:p>
        </w:tc>
        <w:tc>
          <w:tcPr>
            <w:tcW w:w="12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4.15 %</w:t>
            </w:r>
          </w:p>
        </w:tc>
        <w:tc>
          <w:tcPr>
            <w:tcW w:w="130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5.49 %</w:t>
            </w:r>
          </w:p>
        </w:tc>
        <w:tc>
          <w:tcPr>
            <w:tcW w:w="132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6.30 %</w:t>
            </w:r>
          </w:p>
        </w:tc>
        <w:tc>
          <w:tcPr>
            <w:tcW w:w="12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4.35 %</w:t>
            </w:r>
          </w:p>
        </w:tc>
        <w:tc>
          <w:tcPr>
            <w:tcW w:w="20" w:type="dxa"/>
            <w:vAlign w:val="bottom"/>
            <w:tcBorders>
              <w:bottom w:val="single" w:sz="8" w:color="DDDDDD"/>
            </w:tcBorders>
          </w:tcPr>
          <w:p>
            <w:pPr>
              <w:spacing w:after="0"/>
              <w:rPr>
                <w:sz w:val="17"/>
                <w:szCs w:val="17"/>
                <w:color w:val="auto"/>
              </w:rPr>
            </w:pPr>
          </w:p>
        </w:tc>
      </w:tr>
      <w:tr>
        <w:trPr>
          <w:trHeight w:val="191"/>
        </w:trPr>
        <w:tc>
          <w:tcPr>
            <w:tcW w:w="431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19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3.80</w:t>
            </w:r>
          </w:p>
        </w:tc>
        <w:tc>
          <w:tcPr>
            <w:tcW w:w="1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4.23</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5.89</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6.77</w:t>
            </w:r>
          </w:p>
        </w:tc>
        <w:tc>
          <w:tcPr>
            <w:tcW w:w="1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4.34</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1"/>
        </w:trPr>
        <w:tc>
          <w:tcPr>
            <w:tcW w:w="4500" w:type="dxa"/>
            <w:vAlign w:val="bottom"/>
            <w:tcBorders>
              <w:bottom w:val="single" w:sz="8" w:color="DDDDDD"/>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March 31, 2025</w:t>
            </w:r>
          </w:p>
        </w:tc>
        <w:tc>
          <w:tcPr>
            <w:tcW w:w="11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3.98 %</w:t>
            </w:r>
          </w:p>
        </w:tc>
        <w:tc>
          <w:tcPr>
            <w:tcW w:w="12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4.25 %</w:t>
            </w:r>
          </w:p>
        </w:tc>
        <w:tc>
          <w:tcPr>
            <w:tcW w:w="130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5.89 %</w:t>
            </w:r>
          </w:p>
        </w:tc>
        <w:tc>
          <w:tcPr>
            <w:tcW w:w="132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6.65 %</w:t>
            </w:r>
          </w:p>
        </w:tc>
        <w:tc>
          <w:tcPr>
            <w:tcW w:w="12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4.35 %</w:t>
            </w:r>
          </w:p>
        </w:tc>
        <w:tc>
          <w:tcPr>
            <w:tcW w:w="20" w:type="dxa"/>
            <w:vAlign w:val="bottom"/>
            <w:tcBorders>
              <w:bottom w:val="single" w:sz="8" w:color="DDDDDD"/>
            </w:tcBorders>
          </w:tcPr>
          <w:p>
            <w:pPr>
              <w:spacing w:after="0"/>
              <w:rPr>
                <w:sz w:val="17"/>
                <w:szCs w:val="17"/>
                <w:color w:val="auto"/>
              </w:rPr>
            </w:pPr>
          </w:p>
        </w:tc>
      </w:tr>
      <w:tr>
        <w:trPr>
          <w:trHeight w:val="194"/>
        </w:trPr>
        <w:tc>
          <w:tcPr>
            <w:tcW w:w="431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19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4.38</w:t>
            </w:r>
          </w:p>
        </w:tc>
        <w:tc>
          <w:tcPr>
            <w:tcW w:w="17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4.57</w:t>
            </w:r>
          </w:p>
        </w:tc>
        <w:tc>
          <w:tcPr>
            <w:tcW w:w="1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6.00</w:t>
            </w:r>
          </w:p>
        </w:tc>
        <w:tc>
          <w:tcPr>
            <w:tcW w:w="1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6.85</w:t>
            </w:r>
          </w:p>
        </w:tc>
        <w:tc>
          <w:tcPr>
            <w:tcW w:w="17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4.69</w:t>
            </w:r>
          </w:p>
        </w:tc>
        <w:tc>
          <w:tcPr>
            <w:tcW w:w="1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1"/>
        </w:trPr>
        <w:tc>
          <w:tcPr>
            <w:tcW w:w="4500" w:type="dxa"/>
            <w:vAlign w:val="bottom"/>
            <w:tcBorders>
              <w:bottom w:val="single" w:sz="8" w:color="DDDDDD"/>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September 30, 2024</w:t>
            </w:r>
          </w:p>
        </w:tc>
        <w:tc>
          <w:tcPr>
            <w:tcW w:w="11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3.58 %</w:t>
            </w:r>
          </w:p>
        </w:tc>
        <w:tc>
          <w:tcPr>
            <w:tcW w:w="12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3.80 %</w:t>
            </w:r>
          </w:p>
        </w:tc>
        <w:tc>
          <w:tcPr>
            <w:tcW w:w="130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5.16 %</w:t>
            </w:r>
          </w:p>
        </w:tc>
        <w:tc>
          <w:tcPr>
            <w:tcW w:w="132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6.08 %</w:t>
            </w:r>
          </w:p>
        </w:tc>
        <w:tc>
          <w:tcPr>
            <w:tcW w:w="12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5.31 %</w:t>
            </w:r>
          </w:p>
        </w:tc>
        <w:tc>
          <w:tcPr>
            <w:tcW w:w="20" w:type="dxa"/>
            <w:vAlign w:val="bottom"/>
            <w:tcBorders>
              <w:bottom w:val="single" w:sz="8" w:color="DDDDDD"/>
            </w:tcBorders>
          </w:tcPr>
          <w:p>
            <w:pPr>
              <w:spacing w:after="0"/>
              <w:rPr>
                <w:sz w:val="17"/>
                <w:szCs w:val="17"/>
                <w:color w:val="auto"/>
              </w:rPr>
            </w:pPr>
          </w:p>
        </w:tc>
      </w:tr>
      <w:tr>
        <w:trPr>
          <w:trHeight w:val="194"/>
        </w:trPr>
        <w:tc>
          <w:tcPr>
            <w:tcW w:w="431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2024</w:t>
            </w:r>
          </w:p>
        </w:tc>
        <w:tc>
          <w:tcPr>
            <w:tcW w:w="19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4.33</w:t>
            </w:r>
          </w:p>
        </w:tc>
        <w:tc>
          <w:tcPr>
            <w:tcW w:w="17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4.34</w:t>
            </w:r>
          </w:p>
        </w:tc>
        <w:tc>
          <w:tcPr>
            <w:tcW w:w="1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6.16</w:t>
            </w:r>
          </w:p>
        </w:tc>
        <w:tc>
          <w:tcPr>
            <w:tcW w:w="1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6.86</w:t>
            </w:r>
          </w:p>
        </w:tc>
        <w:tc>
          <w:tcPr>
            <w:tcW w:w="17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5.35</w:t>
            </w:r>
          </w:p>
        </w:tc>
        <w:tc>
          <w:tcPr>
            <w:tcW w:w="1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1"/>
        </w:trPr>
        <w:tc>
          <w:tcPr>
            <w:tcW w:w="4500" w:type="dxa"/>
            <w:vAlign w:val="bottom"/>
            <w:tcBorders>
              <w:bottom w:val="single" w:sz="8" w:color="DDDDDD"/>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March 31, 2024</w:t>
            </w:r>
          </w:p>
        </w:tc>
        <w:tc>
          <w:tcPr>
            <w:tcW w:w="11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4.22 %</w:t>
            </w:r>
          </w:p>
        </w:tc>
        <w:tc>
          <w:tcPr>
            <w:tcW w:w="12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4.21 %</w:t>
            </w:r>
          </w:p>
        </w:tc>
        <w:tc>
          <w:tcPr>
            <w:tcW w:w="130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6.11 %</w:t>
            </w:r>
          </w:p>
        </w:tc>
        <w:tc>
          <w:tcPr>
            <w:tcW w:w="132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6.79 %</w:t>
            </w:r>
          </w:p>
        </w:tc>
        <w:tc>
          <w:tcPr>
            <w:tcW w:w="12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5.35 %</w:t>
            </w:r>
          </w:p>
        </w:tc>
        <w:tc>
          <w:tcPr>
            <w:tcW w:w="20" w:type="dxa"/>
            <w:vAlign w:val="bottom"/>
            <w:tcBorders>
              <w:bottom w:val="single" w:sz="8" w:color="DDDDDD"/>
            </w:tcBorders>
          </w:tcPr>
          <w:p>
            <w:pPr>
              <w:spacing w:after="0"/>
              <w:rPr>
                <w:sz w:val="17"/>
                <w:szCs w:val="17"/>
                <w:color w:val="auto"/>
              </w:rPr>
            </w:pPr>
          </w:p>
        </w:tc>
      </w:tr>
      <w:tr>
        <w:trPr>
          <w:trHeight w:val="191"/>
        </w:trPr>
        <w:tc>
          <w:tcPr>
            <w:tcW w:w="431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2023</w:t>
            </w:r>
          </w:p>
        </w:tc>
        <w:tc>
          <w:tcPr>
            <w:tcW w:w="19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3.84</w:t>
            </w:r>
          </w:p>
        </w:tc>
        <w:tc>
          <w:tcPr>
            <w:tcW w:w="1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3.87</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5.93</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6.61</w:t>
            </w:r>
          </w:p>
        </w:tc>
        <w:tc>
          <w:tcPr>
            <w:tcW w:w="1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5.36</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3"/>
        </w:trPr>
        <w:tc>
          <w:tcPr>
            <w:tcW w:w="4500" w:type="dxa"/>
            <w:vAlign w:val="bottom"/>
            <w:tcBorders>
              <w:bottom w:val="single" w:sz="8" w:color="DDDDDD"/>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September 30, 2023</w:t>
            </w:r>
          </w:p>
        </w:tc>
        <w:tc>
          <w:tcPr>
            <w:tcW w:w="11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4.61 %</w:t>
            </w:r>
          </w:p>
        </w:tc>
        <w:tc>
          <w:tcPr>
            <w:tcW w:w="12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4.57 %</w:t>
            </w:r>
          </w:p>
        </w:tc>
        <w:tc>
          <w:tcPr>
            <w:tcW w:w="130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6.72 %</w:t>
            </w:r>
          </w:p>
        </w:tc>
        <w:tc>
          <w:tcPr>
            <w:tcW w:w="132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7.31 %</w:t>
            </w:r>
          </w:p>
        </w:tc>
        <w:tc>
          <w:tcPr>
            <w:tcW w:w="12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5.27 %</w:t>
            </w:r>
          </w:p>
        </w:tc>
        <w:tc>
          <w:tcPr>
            <w:tcW w:w="20" w:type="dxa"/>
            <w:vAlign w:val="bottom"/>
            <w:tcBorders>
              <w:bottom w:val="single" w:sz="8" w:color="DDDDDD"/>
            </w:tcBorders>
          </w:tcPr>
          <w:p>
            <w:pPr>
              <w:spacing w:after="0"/>
              <w:rPr>
                <w:sz w:val="17"/>
                <w:szCs w:val="17"/>
                <w:color w:val="auto"/>
              </w:rPr>
            </w:pPr>
          </w:p>
        </w:tc>
      </w:tr>
      <w:tr>
        <w:trPr>
          <w:trHeight w:val="191"/>
        </w:trPr>
        <w:tc>
          <w:tcPr>
            <w:tcW w:w="431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2023</w:t>
            </w:r>
          </w:p>
        </w:tc>
        <w:tc>
          <w:tcPr>
            <w:tcW w:w="19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4.13</w:t>
            </w:r>
          </w:p>
        </w:tc>
        <w:tc>
          <w:tcPr>
            <w:tcW w:w="1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3.82</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6.06</w:t>
            </w:r>
          </w:p>
        </w:tc>
        <w:tc>
          <w:tcPr>
            <w:tcW w:w="1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20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6.71</w:t>
            </w:r>
          </w:p>
        </w:tc>
        <w:tc>
          <w:tcPr>
            <w:tcW w:w="1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5.00</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6"/>
        </w:trPr>
        <w:tc>
          <w:tcPr>
            <w:tcW w:w="4500" w:type="dxa"/>
            <w:vAlign w:val="bottom"/>
            <w:tcBorders>
              <w:bottom w:val="single" w:sz="8" w:color="auto"/>
            </w:tcBorders>
            <w:gridSpan w:val="2"/>
          </w:tcPr>
          <w:p>
            <w:pPr>
              <w:spacing w:after="0" w:line="206" w:lineRule="exact"/>
              <w:rPr>
                <w:sz w:val="20"/>
                <w:szCs w:val="20"/>
                <w:color w:val="auto"/>
              </w:rPr>
            </w:pPr>
            <w:r>
              <w:rPr>
                <w:rFonts w:ascii="Times New Roman" w:cs="Times New Roman" w:eastAsia="Times New Roman" w:hAnsi="Times New Roman"/>
                <w:sz w:val="18"/>
                <w:szCs w:val="18"/>
                <w:color w:val="auto"/>
              </w:rPr>
              <w:t>March 31, 2023</w:t>
            </w:r>
          </w:p>
        </w:tc>
        <w:tc>
          <w:tcPr>
            <w:tcW w:w="112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3.61 %</w:t>
            </w:r>
          </w:p>
        </w:tc>
        <w:tc>
          <w:tcPr>
            <w:tcW w:w="1280" w:type="dxa"/>
            <w:vAlign w:val="bottom"/>
            <w:tcBorders>
              <w:bottom w:val="single" w:sz="8" w:color="auto"/>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3.49 %</w:t>
            </w:r>
          </w:p>
        </w:tc>
        <w:tc>
          <w:tcPr>
            <w:tcW w:w="1300" w:type="dxa"/>
            <w:vAlign w:val="bottom"/>
            <w:tcBorders>
              <w:bottom w:val="single" w:sz="8" w:color="auto"/>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5.56 %</w:t>
            </w:r>
          </w:p>
        </w:tc>
        <w:tc>
          <w:tcPr>
            <w:tcW w:w="1320" w:type="dxa"/>
            <w:vAlign w:val="bottom"/>
            <w:tcBorders>
              <w:bottom w:val="single" w:sz="8" w:color="auto"/>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6.32 %</w:t>
            </w:r>
          </w:p>
        </w:tc>
        <w:tc>
          <w:tcPr>
            <w:tcW w:w="1280" w:type="dxa"/>
            <w:vAlign w:val="bottom"/>
            <w:tcBorders>
              <w:bottom w:val="single" w:sz="8" w:color="auto"/>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4.51 %</w:t>
            </w:r>
          </w:p>
        </w:tc>
        <w:tc>
          <w:tcPr>
            <w:tcW w:w="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-2223135</wp:posOffset>
                </wp:positionV>
                <wp:extent cx="68580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75.0499pt" to="540.2pt,-175.0499pt" o:allowincell="f" strokecolor="#FFFFFF" strokeweight="0.4809pt"/>
            </w:pict>
          </mc:Fallback>
        </mc:AlternateContent>
      </w:r>
    </w:p>
    <w:p>
      <w:pPr>
        <w:spacing w:after="0" w:line="197" w:lineRule="exact"/>
        <w:rPr>
          <w:sz w:val="20"/>
          <w:szCs w:val="20"/>
          <w:color w:val="auto"/>
        </w:rPr>
      </w:pPr>
    </w:p>
    <w:p>
      <w:pPr>
        <w:ind w:left="600" w:hanging="59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5 and 10 Year U.S. Treasury Rates are obtained from quoted end of day prices on the Chicago Board Options Exchange.</w:t>
      </w:r>
    </w:p>
    <w:p>
      <w:pPr>
        <w:spacing w:after="0" w:line="33" w:lineRule="exact"/>
        <w:rPr>
          <w:rFonts w:ascii="Times New Roman" w:cs="Times New Roman" w:eastAsia="Times New Roman" w:hAnsi="Times New Roman"/>
          <w:sz w:val="18"/>
          <w:szCs w:val="18"/>
          <w:color w:val="auto"/>
        </w:rPr>
      </w:pPr>
    </w:p>
    <w:p>
      <w:pPr>
        <w:ind w:left="600" w:hanging="59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30 Year and 15 Year Fixed Rate Mortgage Rates are obtained from Freddie Mac’s Primary Mortgage Market Survey.</w:t>
      </w:r>
    </w:p>
    <w:p>
      <w:pPr>
        <w:spacing w:after="0" w:line="11" w:lineRule="exact"/>
        <w:rPr>
          <w:rFonts w:ascii="Times New Roman" w:cs="Times New Roman" w:eastAsia="Times New Roman" w:hAnsi="Times New Roman"/>
          <w:sz w:val="18"/>
          <w:szCs w:val="18"/>
          <w:color w:val="auto"/>
        </w:rPr>
      </w:pPr>
    </w:p>
    <w:p>
      <w:pPr>
        <w:ind w:left="600" w:right="100" w:hanging="590"/>
        <w:spacing w:after="0" w:line="249"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SOFR is obtained from the Federal Reserve Bank of New York. The SOFR averages are compounded averages of the SOFR over rolling 30 and 180 calendar day periods.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Unrealized Gains and Losses on PT RMBS</w:t>
      </w:r>
    </w:p>
    <w:p>
      <w:pPr>
        <w:spacing w:after="0" w:line="231" w:lineRule="exact"/>
        <w:rPr>
          <w:sz w:val="20"/>
          <w:szCs w:val="20"/>
          <w:color w:val="auto"/>
        </w:rPr>
      </w:pPr>
    </w:p>
    <w:p>
      <w:pPr>
        <w:ind w:right="40" w:firstLine="499"/>
        <w:spacing w:after="0" w:line="244" w:lineRule="auto"/>
        <w:rPr>
          <w:sz w:val="20"/>
          <w:szCs w:val="20"/>
          <w:color w:val="auto"/>
        </w:rPr>
      </w:pPr>
      <w:r>
        <w:rPr>
          <w:rFonts w:ascii="Times New Roman" w:cs="Times New Roman" w:eastAsia="Times New Roman" w:hAnsi="Times New Roman"/>
          <w:sz w:val="20"/>
          <w:szCs w:val="20"/>
          <w:color w:val="auto"/>
        </w:rPr>
        <w:t>For the purpose of recording income on the Company’s investments in PT RMBS, interest income is based on the stated interest rate of the security. Using the fair value accounting method, premiums or discounts to the face value of the PT RMBS present at the date of purchase are not amortized. Premium lost and discount accretion resulting from monthly principal repayments are reflected in unrealized gains (losses) on RMBS in the statements of comprehensive income (loss). The following table adjusts the Company’s interest income as reported on the Company’s statements of comprehensive income (loss) for the periods indicated to show interest income adjusted for premium amortization and discount accretion on its mortgage-backed security investments. The purpose of presenting this non-GAAP measure of interest income is to provide management and investors with an alternative way of evaluating yield on RMBS that may be more comparable to some of its peers who amortize premiums and discounts on their PT RMBS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788" w:right="720"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Unrealized Gains (Losses) on PT RMBS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Inclusive of</w:t>
            </w:r>
          </w:p>
        </w:tc>
      </w:tr>
      <w:tr>
        <w:trPr>
          <w:trHeight w:val="192"/>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ind w:right="1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80" w:type="dxa"/>
            <w:vAlign w:val="bottom"/>
          </w:tcPr>
          <w:p>
            <w:pPr>
              <w:spacing w:after="0"/>
              <w:rPr>
                <w:sz w:val="16"/>
                <w:szCs w:val="16"/>
                <w:color w:val="auto"/>
              </w:rPr>
            </w:pPr>
          </w:p>
        </w:tc>
        <w:tc>
          <w:tcPr>
            <w:tcW w:w="2060" w:type="dxa"/>
            <w:vAlign w:val="bottom"/>
            <w:gridSpan w:val="6"/>
          </w:tcPr>
          <w:p>
            <w:pPr>
              <w:jc w:val="center"/>
              <w:ind w:right="180"/>
              <w:spacing w:after="0" w:line="193" w:lineRule="exact"/>
              <w:rPr>
                <w:sz w:val="20"/>
                <w:szCs w:val="20"/>
                <w:color w:val="auto"/>
              </w:rPr>
            </w:pPr>
            <w:r>
              <w:rPr>
                <w:rFonts w:ascii="Times New Roman" w:cs="Times New Roman" w:eastAsia="Times New Roman" w:hAnsi="Times New Roman"/>
                <w:sz w:val="18"/>
                <w:szCs w:val="18"/>
                <w:b w:val="1"/>
                <w:bCs w:val="1"/>
                <w:color w:val="auto"/>
                <w:w w:val="99"/>
              </w:rPr>
              <w:t>Premium Amortization/</w:t>
            </w:r>
          </w:p>
        </w:tc>
      </w:tr>
      <w:tr>
        <w:trPr>
          <w:trHeight w:val="236"/>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22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Only</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Discount Accretion</w:t>
            </w:r>
          </w:p>
        </w:tc>
      </w:tr>
      <w:tr>
        <w:trPr>
          <w:trHeight w:val="190"/>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30"/>
              <w:spacing w:after="0" w:line="19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4"/>
          </w:tcPr>
          <w:p>
            <w:pPr>
              <w:jc w:val="center"/>
              <w:ind w:right="80"/>
              <w:spacing w:after="0" w:line="190" w:lineRule="exact"/>
              <w:rPr>
                <w:sz w:val="20"/>
                <w:szCs w:val="20"/>
                <w:color w:val="auto"/>
              </w:rPr>
            </w:pPr>
            <w:r>
              <w:rPr>
                <w:rFonts w:ascii="Times New Roman" w:cs="Times New Roman" w:eastAsia="Times New Roman" w:hAnsi="Times New Roman"/>
                <w:sz w:val="18"/>
                <w:szCs w:val="18"/>
                <w:b w:val="1"/>
                <w:bCs w:val="1"/>
                <w:color w:val="auto"/>
              </w:rPr>
              <w:t>Yield on</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60" w:type="dxa"/>
            <w:vAlign w:val="bottom"/>
            <w:gridSpan w:val="3"/>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gridSpan w:val="4"/>
          </w:tcPr>
          <w:p>
            <w:pPr>
              <w:ind w:left="280"/>
              <w:spacing w:after="0" w:line="190" w:lineRule="exact"/>
              <w:rPr>
                <w:sz w:val="20"/>
                <w:szCs w:val="20"/>
                <w:color w:val="auto"/>
              </w:rPr>
            </w:pPr>
            <w:r>
              <w:rPr>
                <w:rFonts w:ascii="Times New Roman" w:cs="Times New Roman" w:eastAsia="Times New Roman" w:hAnsi="Times New Roman"/>
                <w:sz w:val="18"/>
                <w:szCs w:val="18"/>
                <w:b w:val="1"/>
                <w:bCs w:val="1"/>
                <w:color w:val="auto"/>
              </w:rPr>
              <w:t>Yield on</w:t>
            </w:r>
          </w:p>
        </w:tc>
      </w:tr>
      <w:tr>
        <w:trPr>
          <w:trHeight w:val="218"/>
        </w:trPr>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RMBS</w:t>
            </w:r>
          </w:p>
        </w:tc>
        <w:tc>
          <w:tcPr>
            <w:tcW w:w="2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3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w:t>
            </w:r>
          </w:p>
        </w:tc>
        <w:tc>
          <w:tcPr>
            <w:tcW w:w="2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2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34"/>
        </w:trPr>
        <w:tc>
          <w:tcPr>
            <w:tcW w:w="2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Held</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RMBS</w:t>
            </w: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0"/>
                <w:szCs w:val="10"/>
                <w:b w:val="1"/>
                <w:bCs w:val="1"/>
                <w:color w:val="auto"/>
              </w:rPr>
              <w:t>(1)</w:t>
            </w: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Accretion)(2)</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Income</w:t>
            </w:r>
            <w:r>
              <w:rPr>
                <w:rFonts w:ascii="Times New Roman" w:cs="Times New Roman" w:eastAsia="Times New Roman" w:hAnsi="Times New Roman"/>
                <w:sz w:val="10"/>
                <w:szCs w:val="10"/>
                <w:b w:val="1"/>
                <w:bCs w:val="1"/>
                <w:color w:val="auto"/>
              </w:rPr>
              <w:t>(3)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RMBS</w:t>
            </w:r>
            <w:r>
              <w:rPr>
                <w:rFonts w:ascii="Times New Roman" w:cs="Times New Roman" w:eastAsia="Times New Roman" w:hAnsi="Times New Roman"/>
                <w:sz w:val="10"/>
                <w:szCs w:val="10"/>
                <w:b w:val="1"/>
                <w:bCs w:val="1"/>
                <w:color w:val="auto"/>
              </w:rPr>
              <w:t>(3)</w:t>
            </w:r>
          </w:p>
        </w:tc>
      </w:tr>
      <w:tr>
        <w:trPr>
          <w:trHeight w:val="21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3"/>
        </w:trPr>
        <w:tc>
          <w:tcPr>
            <w:tcW w:w="214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7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99"/>
              </w:rPr>
              <w:t>9,492,369</w:t>
            </w:r>
          </w:p>
        </w:tc>
        <w:tc>
          <w:tcPr>
            <w:tcW w:w="2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7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132,188</w:t>
            </w:r>
          </w:p>
        </w:tc>
        <w:tc>
          <w:tcPr>
            <w:tcW w:w="30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ind w:left="420"/>
              <w:spacing w:after="0" w:line="203" w:lineRule="exact"/>
              <w:rPr>
                <w:sz w:val="20"/>
                <w:szCs w:val="20"/>
                <w:color w:val="auto"/>
              </w:rPr>
            </w:pPr>
            <w:r>
              <w:rPr>
                <w:rFonts w:ascii="Times New Roman" w:cs="Times New Roman" w:eastAsia="Times New Roman" w:hAnsi="Times New Roman"/>
                <w:sz w:val="18"/>
                <w:szCs w:val="18"/>
                <w:color w:val="auto"/>
                <w:w w:val="95"/>
              </w:rPr>
              <w:t>5.57</w:t>
            </w:r>
          </w:p>
        </w:tc>
        <w:tc>
          <w:tcPr>
            <w:tcW w:w="16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7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53,960</w:t>
            </w:r>
          </w:p>
        </w:tc>
        <w:tc>
          <w:tcPr>
            <w:tcW w:w="8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(7,412</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7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61,372</w:t>
            </w:r>
          </w:p>
        </w:tc>
        <w:tc>
          <w:tcPr>
            <w:tcW w:w="10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7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124,776</w:t>
            </w:r>
          </w:p>
        </w:tc>
        <w:tc>
          <w:tcPr>
            <w:tcW w:w="280" w:type="dxa"/>
            <w:vAlign w:val="bottom"/>
            <w:tcBorders>
              <w:bottom w:val="single" w:sz="8" w:color="DDDDDD"/>
            </w:tcBorders>
            <w:shd w:val="clear" w:color="auto" w:fill="DDDDDD"/>
          </w:tcPr>
          <w:p>
            <w:pPr>
              <w:spacing w:after="0"/>
              <w:rPr>
                <w:sz w:val="17"/>
                <w:szCs w:val="17"/>
                <w:color w:val="auto"/>
              </w:rPr>
            </w:pPr>
          </w:p>
        </w:tc>
        <w:tc>
          <w:tcPr>
            <w:tcW w:w="75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5.26</w:t>
            </w:r>
          </w:p>
        </w:tc>
        <w:tc>
          <w:tcPr>
            <w:tcW w:w="15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7"/>
                <w:szCs w:val="17"/>
                <w:color w:val="auto"/>
              </w:rPr>
            </w:pPr>
          </w:p>
        </w:tc>
      </w:tr>
      <w:tr>
        <w:trPr>
          <w:trHeight w:val="201"/>
        </w:trPr>
        <w:tc>
          <w:tcPr>
            <w:tcW w:w="21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2025</w:t>
            </w:r>
          </w:p>
        </w:tc>
        <w:tc>
          <w:tcPr>
            <w:tcW w:w="96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7,674,720</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108,434</w:t>
            </w:r>
          </w:p>
        </w:tc>
        <w:tc>
          <w:tcPr>
            <w:tcW w:w="1040" w:type="dxa"/>
            <w:vAlign w:val="bottom"/>
            <w:tcBorders>
              <w:bottom w:val="single" w:sz="8" w:color="DDDDDD"/>
            </w:tcBorders>
            <w:gridSpan w:val="2"/>
          </w:tcPr>
          <w:p>
            <w:pPr>
              <w:ind w:left="720"/>
              <w:spacing w:after="0" w:line="201" w:lineRule="exact"/>
              <w:rPr>
                <w:sz w:val="20"/>
                <w:szCs w:val="20"/>
                <w:color w:val="auto"/>
              </w:rPr>
            </w:pPr>
            <w:r>
              <w:rPr>
                <w:rFonts w:ascii="Times New Roman" w:cs="Times New Roman" w:eastAsia="Times New Roman" w:hAnsi="Times New Roman"/>
                <w:sz w:val="18"/>
                <w:szCs w:val="18"/>
                <w:color w:val="auto"/>
                <w:w w:val="95"/>
              </w:rPr>
              <w:t>5.65</w:t>
            </w:r>
          </w:p>
        </w:tc>
        <w:tc>
          <w:tcPr>
            <w:tcW w:w="16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59,418</w:t>
            </w:r>
          </w:p>
        </w:tc>
        <w:tc>
          <w:tcPr>
            <w:tcW w:w="80" w:type="dxa"/>
            <w:vAlign w:val="bottom"/>
            <w:tcBorders>
              <w:bottom w:val="single" w:sz="8" w:color="DDDDDD"/>
            </w:tcBorders>
          </w:tcPr>
          <w:p>
            <w:pPr>
              <w:spacing w:after="0"/>
              <w:rPr>
                <w:sz w:val="17"/>
                <w:szCs w:val="17"/>
                <w:color w:val="auto"/>
              </w:rPr>
            </w:pPr>
          </w:p>
        </w:tc>
        <w:tc>
          <w:tcPr>
            <w:tcW w:w="240" w:type="dxa"/>
            <w:vAlign w:val="bottom"/>
            <w:tcBorders>
              <w:bottom w:val="single" w:sz="8" w:color="DDDDDD"/>
            </w:tcBorders>
          </w:tcPr>
          <w:p>
            <w:pPr>
              <w:spacing w:after="0"/>
              <w:rPr>
                <w:sz w:val="17"/>
                <w:szCs w:val="17"/>
                <w:color w:val="auto"/>
              </w:rPr>
            </w:pPr>
          </w:p>
        </w:tc>
        <w:tc>
          <w:tcPr>
            <w:tcW w:w="104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(1,412 )</w:t>
            </w:r>
          </w:p>
        </w:tc>
        <w:tc>
          <w:tcPr>
            <w:tcW w:w="22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60,830</w:t>
            </w:r>
          </w:p>
        </w:tc>
        <w:tc>
          <w:tcPr>
            <w:tcW w:w="10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107,022</w:t>
            </w:r>
          </w:p>
        </w:tc>
        <w:tc>
          <w:tcPr>
            <w:tcW w:w="11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5.58 %</w:t>
            </w:r>
          </w:p>
        </w:tc>
        <w:tc>
          <w:tcPr>
            <w:tcW w:w="20" w:type="dxa"/>
            <w:vAlign w:val="bottom"/>
            <w:tcBorders>
              <w:bottom w:val="single" w:sz="8" w:color="DDDDDD"/>
            </w:tcBorders>
          </w:tcPr>
          <w:p>
            <w:pPr>
              <w:spacing w:after="0"/>
              <w:rPr>
                <w:sz w:val="17"/>
                <w:szCs w:val="17"/>
                <w:color w:val="auto"/>
              </w:rPr>
            </w:pP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6,865,727</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92,289</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1" w:lineRule="exact"/>
              <w:rPr>
                <w:sz w:val="20"/>
                <w:szCs w:val="20"/>
                <w:color w:val="auto"/>
              </w:rPr>
            </w:pPr>
            <w:r>
              <w:rPr>
                <w:rFonts w:ascii="Times New Roman" w:cs="Times New Roman" w:eastAsia="Times New Roman" w:hAnsi="Times New Roman"/>
                <w:sz w:val="18"/>
                <w:szCs w:val="18"/>
                <w:color w:val="auto"/>
                <w:w w:val="95"/>
              </w:rPr>
              <w:t>5.38</w:t>
            </w:r>
          </w:p>
        </w:tc>
        <w:tc>
          <w:tcPr>
            <w:tcW w:w="1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9,264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(1,471</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10,735</w:t>
            </w:r>
          </w:p>
        </w:tc>
        <w:tc>
          <w:tcPr>
            <w:tcW w:w="10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90,818</w:t>
            </w:r>
          </w:p>
        </w:tc>
        <w:tc>
          <w:tcPr>
            <w:tcW w:w="28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5.29</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3"/>
        </w:trPr>
        <w:tc>
          <w:tcPr>
            <w:tcW w:w="214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2025</w:t>
            </w:r>
          </w:p>
        </w:tc>
        <w:tc>
          <w:tcPr>
            <w:tcW w:w="96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5,995,702</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81,090</w:t>
            </w:r>
          </w:p>
        </w:tc>
        <w:tc>
          <w:tcPr>
            <w:tcW w:w="1040" w:type="dxa"/>
            <w:vAlign w:val="bottom"/>
            <w:tcBorders>
              <w:bottom w:val="single" w:sz="8" w:color="DDDDDD"/>
            </w:tcBorders>
            <w:gridSpan w:val="2"/>
          </w:tcPr>
          <w:p>
            <w:pPr>
              <w:ind w:left="720"/>
              <w:spacing w:after="0" w:line="203" w:lineRule="exact"/>
              <w:rPr>
                <w:sz w:val="20"/>
                <w:szCs w:val="20"/>
                <w:color w:val="auto"/>
              </w:rPr>
            </w:pPr>
            <w:r>
              <w:rPr>
                <w:rFonts w:ascii="Times New Roman" w:cs="Times New Roman" w:eastAsia="Times New Roman" w:hAnsi="Times New Roman"/>
                <w:sz w:val="18"/>
                <w:szCs w:val="18"/>
                <w:color w:val="auto"/>
                <w:w w:val="95"/>
              </w:rPr>
              <w:t>5.41</w:t>
            </w:r>
          </w:p>
        </w:tc>
        <w:tc>
          <w:tcPr>
            <w:tcW w:w="16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77,445</w:t>
            </w:r>
          </w:p>
        </w:tc>
        <w:tc>
          <w:tcPr>
            <w:tcW w:w="80" w:type="dxa"/>
            <w:vAlign w:val="bottom"/>
            <w:tcBorders>
              <w:bottom w:val="single" w:sz="8" w:color="DDDDDD"/>
            </w:tcBorders>
          </w:tcPr>
          <w:p>
            <w:pPr>
              <w:spacing w:after="0"/>
              <w:rPr>
                <w:sz w:val="17"/>
                <w:szCs w:val="17"/>
                <w:color w:val="auto"/>
              </w:rPr>
            </w:pPr>
          </w:p>
        </w:tc>
        <w:tc>
          <w:tcPr>
            <w:tcW w:w="24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2,608</w:t>
            </w: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74,837</w:t>
            </w:r>
          </w:p>
        </w:tc>
        <w:tc>
          <w:tcPr>
            <w:tcW w:w="10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83,698</w:t>
            </w:r>
          </w:p>
        </w:tc>
        <w:tc>
          <w:tcPr>
            <w:tcW w:w="11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5.58 %</w:t>
            </w:r>
          </w:p>
        </w:tc>
        <w:tc>
          <w:tcPr>
            <w:tcW w:w="20" w:type="dxa"/>
            <w:vAlign w:val="bottom"/>
            <w:tcBorders>
              <w:bottom w:val="single" w:sz="8" w:color="DDDDDD"/>
            </w:tcBorders>
          </w:tcPr>
          <w:p>
            <w:pPr>
              <w:spacing w:after="0"/>
              <w:rPr>
                <w:sz w:val="17"/>
                <w:szCs w:val="17"/>
                <w:color w:val="auto"/>
              </w:rPr>
            </w:pP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5,348,057</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71,996</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1" w:lineRule="exact"/>
              <w:rPr>
                <w:sz w:val="20"/>
                <w:szCs w:val="20"/>
                <w:color w:val="auto"/>
              </w:rPr>
            </w:pPr>
            <w:r>
              <w:rPr>
                <w:rFonts w:ascii="Times New Roman" w:cs="Times New Roman" w:eastAsia="Times New Roman" w:hAnsi="Times New Roman"/>
                <w:sz w:val="18"/>
                <w:szCs w:val="18"/>
                <w:color w:val="auto"/>
                <w:w w:val="95"/>
              </w:rPr>
              <w:t>5.38</w:t>
            </w:r>
          </w:p>
        </w:tc>
        <w:tc>
          <w:tcPr>
            <w:tcW w:w="1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rPr>
              <w:t>(153,880</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4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(1,600</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rPr>
              <w:t>(152,280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70,396</w:t>
            </w:r>
          </w:p>
        </w:tc>
        <w:tc>
          <w:tcPr>
            <w:tcW w:w="28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5.27</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3"/>
        </w:trPr>
        <w:tc>
          <w:tcPr>
            <w:tcW w:w="214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2024</w:t>
            </w:r>
          </w:p>
        </w:tc>
        <w:tc>
          <w:tcPr>
            <w:tcW w:w="96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4,984,279</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67,646</w:t>
            </w:r>
          </w:p>
        </w:tc>
        <w:tc>
          <w:tcPr>
            <w:tcW w:w="1040" w:type="dxa"/>
            <w:vAlign w:val="bottom"/>
            <w:tcBorders>
              <w:bottom w:val="single" w:sz="8" w:color="DDDDDD"/>
            </w:tcBorders>
            <w:gridSpan w:val="2"/>
          </w:tcPr>
          <w:p>
            <w:pPr>
              <w:ind w:left="720"/>
              <w:spacing w:after="0" w:line="203" w:lineRule="exact"/>
              <w:rPr>
                <w:sz w:val="20"/>
                <w:szCs w:val="20"/>
                <w:color w:val="auto"/>
              </w:rPr>
            </w:pPr>
            <w:r>
              <w:rPr>
                <w:rFonts w:ascii="Times New Roman" w:cs="Times New Roman" w:eastAsia="Times New Roman" w:hAnsi="Times New Roman"/>
                <w:sz w:val="18"/>
                <w:szCs w:val="18"/>
                <w:color w:val="auto"/>
                <w:w w:val="95"/>
              </w:rPr>
              <w:t>5.43</w:t>
            </w:r>
          </w:p>
        </w:tc>
        <w:tc>
          <w:tcPr>
            <w:tcW w:w="16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161,919</w:t>
            </w:r>
          </w:p>
        </w:tc>
        <w:tc>
          <w:tcPr>
            <w:tcW w:w="80" w:type="dxa"/>
            <w:vAlign w:val="bottom"/>
            <w:tcBorders>
              <w:bottom w:val="single" w:sz="8" w:color="DDDDDD"/>
            </w:tcBorders>
          </w:tcPr>
          <w:p>
            <w:pPr>
              <w:spacing w:after="0"/>
              <w:rPr>
                <w:sz w:val="17"/>
                <w:szCs w:val="17"/>
                <w:color w:val="auto"/>
              </w:rPr>
            </w:pPr>
          </w:p>
        </w:tc>
        <w:tc>
          <w:tcPr>
            <w:tcW w:w="24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5,048</w:t>
            </w: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156,871</w:t>
            </w:r>
          </w:p>
        </w:tc>
        <w:tc>
          <w:tcPr>
            <w:tcW w:w="10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72,694</w:t>
            </w:r>
          </w:p>
        </w:tc>
        <w:tc>
          <w:tcPr>
            <w:tcW w:w="11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5.83 %</w:t>
            </w:r>
          </w:p>
        </w:tc>
        <w:tc>
          <w:tcPr>
            <w:tcW w:w="20" w:type="dxa"/>
            <w:vAlign w:val="bottom"/>
            <w:tcBorders>
              <w:bottom w:val="single" w:sz="8" w:color="DDDDDD"/>
            </w:tcBorders>
          </w:tcPr>
          <w:p>
            <w:pPr>
              <w:spacing w:after="0"/>
              <w:rPr>
                <w:sz w:val="17"/>
                <w:szCs w:val="17"/>
                <w:color w:val="auto"/>
              </w:rPr>
            </w:pP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4,203,416</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53,064</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1" w:lineRule="exact"/>
              <w:rPr>
                <w:sz w:val="20"/>
                <w:szCs w:val="20"/>
                <w:color w:val="auto"/>
              </w:rPr>
            </w:pPr>
            <w:r>
              <w:rPr>
                <w:rFonts w:ascii="Times New Roman" w:cs="Times New Roman" w:eastAsia="Times New Roman" w:hAnsi="Times New Roman"/>
                <w:sz w:val="18"/>
                <w:szCs w:val="18"/>
                <w:color w:val="auto"/>
                <w:w w:val="95"/>
              </w:rPr>
              <w:t>5.05</w:t>
            </w:r>
          </w:p>
        </w:tc>
        <w:tc>
          <w:tcPr>
            <w:tcW w:w="1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(26,642</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4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(31,044</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57,466</w:t>
            </w:r>
          </w:p>
        </w:tc>
        <w:tc>
          <w:tcPr>
            <w:tcW w:w="28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5.47</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1"/>
        </w:trPr>
        <w:tc>
          <w:tcPr>
            <w:tcW w:w="21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2024</w:t>
            </w:r>
          </w:p>
        </w:tc>
        <w:tc>
          <w:tcPr>
            <w:tcW w:w="96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3,887,545</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48,871</w:t>
            </w:r>
          </w:p>
        </w:tc>
        <w:tc>
          <w:tcPr>
            <w:tcW w:w="1040" w:type="dxa"/>
            <w:vAlign w:val="bottom"/>
            <w:tcBorders>
              <w:bottom w:val="single" w:sz="8" w:color="DDDDDD"/>
            </w:tcBorders>
            <w:gridSpan w:val="2"/>
          </w:tcPr>
          <w:p>
            <w:pPr>
              <w:ind w:left="720"/>
              <w:spacing w:after="0" w:line="201" w:lineRule="exact"/>
              <w:rPr>
                <w:sz w:val="20"/>
                <w:szCs w:val="20"/>
                <w:color w:val="auto"/>
              </w:rPr>
            </w:pPr>
            <w:r>
              <w:rPr>
                <w:rFonts w:ascii="Times New Roman" w:cs="Times New Roman" w:eastAsia="Times New Roman" w:hAnsi="Times New Roman"/>
                <w:sz w:val="18"/>
                <w:szCs w:val="18"/>
                <w:color w:val="auto"/>
                <w:w w:val="95"/>
              </w:rPr>
              <w:t>5.03</w:t>
            </w:r>
          </w:p>
        </w:tc>
        <w:tc>
          <w:tcPr>
            <w:tcW w:w="16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(62,111 )</w:t>
            </w:r>
          </w:p>
        </w:tc>
        <w:tc>
          <w:tcPr>
            <w:tcW w:w="24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3,037</w:t>
            </w: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4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(65,148 )</w:t>
            </w:r>
          </w:p>
        </w:tc>
        <w:tc>
          <w:tcPr>
            <w:tcW w:w="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51,908</w:t>
            </w:r>
          </w:p>
        </w:tc>
        <w:tc>
          <w:tcPr>
            <w:tcW w:w="11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5.34 %</w:t>
            </w:r>
          </w:p>
        </w:tc>
        <w:tc>
          <w:tcPr>
            <w:tcW w:w="20" w:type="dxa"/>
            <w:vAlign w:val="bottom"/>
            <w:tcBorders>
              <w:bottom w:val="single" w:sz="8" w:color="DDDDDD"/>
            </w:tcBorders>
          </w:tcPr>
          <w:p>
            <w:pPr>
              <w:spacing w:after="0"/>
              <w:rPr>
                <w:sz w:val="17"/>
                <w:szCs w:val="17"/>
                <w:color w:val="auto"/>
              </w:rPr>
            </w:pPr>
          </w:p>
        </w:tc>
      </w:tr>
      <w:tr>
        <w:trPr>
          <w:trHeight w:val="194"/>
        </w:trPr>
        <w:tc>
          <w:tcPr>
            <w:tcW w:w="214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9"/>
              </w:rPr>
              <w:t>4,207,118</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49,539</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4" w:lineRule="exact"/>
              <w:rPr>
                <w:sz w:val="20"/>
                <w:szCs w:val="20"/>
                <w:color w:val="auto"/>
              </w:rPr>
            </w:pPr>
            <w:r>
              <w:rPr>
                <w:rFonts w:ascii="Times New Roman" w:cs="Times New Roman" w:eastAsia="Times New Roman" w:hAnsi="Times New Roman"/>
                <w:sz w:val="18"/>
                <w:szCs w:val="18"/>
                <w:color w:val="auto"/>
                <w:w w:val="95"/>
              </w:rPr>
              <w:t>4.71</w:t>
            </w:r>
          </w:p>
        </w:tc>
        <w:tc>
          <w:tcPr>
            <w:tcW w:w="16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206,223</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8,067</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198,156</w:t>
            </w:r>
          </w:p>
        </w:tc>
        <w:tc>
          <w:tcPr>
            <w:tcW w:w="10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57,606</w:t>
            </w:r>
          </w:p>
        </w:tc>
        <w:tc>
          <w:tcPr>
            <w:tcW w:w="28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5.48</w:t>
            </w:r>
          </w:p>
        </w:tc>
        <w:tc>
          <w:tcPr>
            <w:tcW w:w="1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1"/>
        </w:trPr>
        <w:tc>
          <w:tcPr>
            <w:tcW w:w="21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2023</w:t>
            </w:r>
          </w:p>
        </w:tc>
        <w:tc>
          <w:tcPr>
            <w:tcW w:w="96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4,447,098</w:t>
            </w:r>
          </w:p>
        </w:tc>
        <w:tc>
          <w:tcPr>
            <w:tcW w:w="28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50,107</w:t>
            </w:r>
          </w:p>
        </w:tc>
        <w:tc>
          <w:tcPr>
            <w:tcW w:w="1040" w:type="dxa"/>
            <w:vAlign w:val="bottom"/>
            <w:tcBorders>
              <w:bottom w:val="single" w:sz="8" w:color="DDDDDD"/>
            </w:tcBorders>
            <w:gridSpan w:val="2"/>
          </w:tcPr>
          <w:p>
            <w:pPr>
              <w:ind w:left="720"/>
              <w:spacing w:after="0" w:line="201" w:lineRule="exact"/>
              <w:rPr>
                <w:sz w:val="20"/>
                <w:szCs w:val="20"/>
                <w:color w:val="auto"/>
              </w:rPr>
            </w:pPr>
            <w:r>
              <w:rPr>
                <w:rFonts w:ascii="Times New Roman" w:cs="Times New Roman" w:eastAsia="Times New Roman" w:hAnsi="Times New Roman"/>
                <w:sz w:val="18"/>
                <w:szCs w:val="18"/>
                <w:color w:val="auto"/>
                <w:w w:val="95"/>
              </w:rPr>
              <w:t>4.51</w:t>
            </w:r>
          </w:p>
        </w:tc>
        <w:tc>
          <w:tcPr>
            <w:tcW w:w="16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(210,159 )</w:t>
            </w:r>
          </w:p>
        </w:tc>
        <w:tc>
          <w:tcPr>
            <w:tcW w:w="240" w:type="dxa"/>
            <w:vAlign w:val="bottom"/>
            <w:tcBorders>
              <w:bottom w:val="single" w:sz="8" w:color="DDDDDD"/>
            </w:tcBorders>
          </w:tcPr>
          <w:p>
            <w:pPr>
              <w:spacing w:after="0"/>
              <w:rPr>
                <w:sz w:val="17"/>
                <w:szCs w:val="17"/>
                <w:color w:val="auto"/>
              </w:rPr>
            </w:pPr>
          </w:p>
        </w:tc>
        <w:tc>
          <w:tcPr>
            <w:tcW w:w="9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7,252</w:t>
            </w: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4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(217,411 )</w:t>
            </w:r>
          </w:p>
        </w:tc>
        <w:tc>
          <w:tcPr>
            <w:tcW w:w="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7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57,359</w:t>
            </w:r>
          </w:p>
        </w:tc>
        <w:tc>
          <w:tcPr>
            <w:tcW w:w="11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5.16 %</w:t>
            </w:r>
          </w:p>
        </w:tc>
        <w:tc>
          <w:tcPr>
            <w:tcW w:w="20" w:type="dxa"/>
            <w:vAlign w:val="bottom"/>
            <w:tcBorders>
              <w:bottom w:val="single" w:sz="8" w:color="DDDDDD"/>
            </w:tcBorders>
          </w:tcPr>
          <w:p>
            <w:pPr>
              <w:spacing w:after="0"/>
              <w:rPr>
                <w:sz w:val="17"/>
                <w:szCs w:val="17"/>
                <w:color w:val="auto"/>
              </w:rPr>
            </w:pPr>
          </w:p>
        </w:tc>
      </w:tr>
      <w:tr>
        <w:trPr>
          <w:trHeight w:val="194"/>
        </w:trPr>
        <w:tc>
          <w:tcPr>
            <w:tcW w:w="214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2023</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9"/>
              </w:rPr>
              <w:t>4,186,939</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39,911</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4" w:lineRule="exact"/>
              <w:rPr>
                <w:sz w:val="20"/>
                <w:szCs w:val="20"/>
                <w:color w:val="auto"/>
              </w:rPr>
            </w:pPr>
            <w:r>
              <w:rPr>
                <w:rFonts w:ascii="Times New Roman" w:cs="Times New Roman" w:eastAsia="Times New Roman" w:hAnsi="Times New Roman"/>
                <w:sz w:val="18"/>
                <w:szCs w:val="18"/>
                <w:color w:val="auto"/>
                <w:w w:val="95"/>
              </w:rPr>
              <w:t>3.81</w:t>
            </w:r>
          </w:p>
        </w:tc>
        <w:tc>
          <w:tcPr>
            <w:tcW w:w="16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(68,898</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4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(73,784</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44,797</w:t>
            </w:r>
          </w:p>
        </w:tc>
        <w:tc>
          <w:tcPr>
            <w:tcW w:w="28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4.28</w:t>
            </w:r>
          </w:p>
        </w:tc>
        <w:tc>
          <w:tcPr>
            <w:tcW w:w="15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03"/>
        </w:trPr>
        <w:tc>
          <w:tcPr>
            <w:tcW w:w="2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2023</w:t>
            </w:r>
          </w:p>
        </w:tc>
        <w:tc>
          <w:tcPr>
            <w:tcW w:w="96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3,769,954</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38,012</w:t>
            </w:r>
          </w:p>
        </w:tc>
        <w:tc>
          <w:tcPr>
            <w:tcW w:w="1040" w:type="dxa"/>
            <w:vAlign w:val="bottom"/>
            <w:tcBorders>
              <w:bottom w:val="single" w:sz="8" w:color="auto"/>
            </w:tcBorders>
            <w:gridSpan w:val="2"/>
          </w:tcPr>
          <w:p>
            <w:pPr>
              <w:ind w:left="720"/>
              <w:spacing w:after="0" w:line="203" w:lineRule="exact"/>
              <w:rPr>
                <w:sz w:val="20"/>
                <w:szCs w:val="20"/>
                <w:color w:val="auto"/>
              </w:rPr>
            </w:pPr>
            <w:r>
              <w:rPr>
                <w:rFonts w:ascii="Times New Roman" w:cs="Times New Roman" w:eastAsia="Times New Roman" w:hAnsi="Times New Roman"/>
                <w:sz w:val="18"/>
                <w:szCs w:val="18"/>
                <w:color w:val="auto"/>
                <w:w w:val="95"/>
              </w:rPr>
              <w:t>4.03</w:t>
            </w: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53,443</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4,774</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48,669</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42,786</w:t>
            </w:r>
          </w:p>
        </w:tc>
        <w:tc>
          <w:tcPr>
            <w:tcW w:w="118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4.54 %</w:t>
            </w:r>
          </w:p>
        </w:tc>
        <w:tc>
          <w:tcPr>
            <w:tcW w:w="20" w:type="dxa"/>
            <w:vAlign w:val="bottom"/>
            <w:tcBorders>
              <w:bottom w:val="single" w:sz="8" w:color="auto"/>
            </w:tcBorders>
          </w:tcPr>
          <w:p>
            <w:pPr>
              <w:spacing w:after="0"/>
              <w:rPr>
                <w:sz w:val="17"/>
                <w:szCs w:val="17"/>
                <w:color w:val="auto"/>
              </w:rPr>
            </w:pPr>
          </w:p>
        </w:tc>
      </w:tr>
      <w:tr>
        <w:trPr>
          <w:trHeight w:val="205"/>
        </w:trPr>
        <w:tc>
          <w:tcPr>
            <w:tcW w:w="2140" w:type="dxa"/>
            <w:vAlign w:val="bottom"/>
            <w:tcBorders>
              <w:bottom w:val="single" w:sz="8" w:color="auto"/>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Years Ended</w:t>
            </w:r>
          </w:p>
        </w:tc>
        <w:tc>
          <w:tcPr>
            <w:tcW w:w="200" w:type="dxa"/>
            <w:vAlign w:val="bottom"/>
            <w:tcBorders>
              <w:bottom w:val="single" w:sz="8" w:color="auto"/>
            </w:tcBorders>
            <w:shd w:val="clear" w:color="auto" w:fill="DDDDDD"/>
          </w:tcPr>
          <w:p>
            <w:pPr>
              <w:spacing w:after="0"/>
              <w:rPr>
                <w:sz w:val="17"/>
                <w:szCs w:val="17"/>
                <w:color w:val="auto"/>
              </w:rPr>
            </w:pPr>
          </w:p>
        </w:tc>
        <w:tc>
          <w:tcPr>
            <w:tcW w:w="760" w:type="dxa"/>
            <w:vAlign w:val="bottom"/>
            <w:tcBorders>
              <w:bottom w:val="single" w:sz="8" w:color="auto"/>
            </w:tcBorders>
            <w:shd w:val="clear" w:color="auto" w:fill="DDDDDD"/>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24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760" w:type="dxa"/>
            <w:vAlign w:val="bottom"/>
            <w:tcBorders>
              <w:bottom w:val="single" w:sz="8" w:color="auto"/>
            </w:tcBorders>
            <w:shd w:val="clear" w:color="auto" w:fill="DDDDDD"/>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750" w:type="dxa"/>
            <w:vAlign w:val="bottom"/>
            <w:tcBorders>
              <w:bottom w:val="single" w:sz="8" w:color="auto"/>
            </w:tcBorders>
            <w:shd w:val="clear" w:color="auto" w:fill="DDDDDD"/>
          </w:tcPr>
          <w:p>
            <w:pPr>
              <w:spacing w:after="0"/>
              <w:rPr>
                <w:sz w:val="17"/>
                <w:szCs w:val="17"/>
                <w:color w:val="auto"/>
              </w:rPr>
            </w:pPr>
          </w:p>
        </w:tc>
        <w:tc>
          <w:tcPr>
            <w:tcW w:w="15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4"/>
        </w:trPr>
        <w:tc>
          <w:tcPr>
            <w:tcW w:w="214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96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$ 7,507,130</w:t>
            </w:r>
          </w:p>
        </w:tc>
        <w:tc>
          <w:tcPr>
            <w:tcW w:w="2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414,001</w:t>
            </w:r>
          </w:p>
        </w:tc>
        <w:tc>
          <w:tcPr>
            <w:tcW w:w="1040" w:type="dxa"/>
            <w:vAlign w:val="bottom"/>
            <w:tcBorders>
              <w:bottom w:val="single" w:sz="8" w:color="DDDDDD"/>
            </w:tcBorders>
            <w:gridSpan w:val="2"/>
          </w:tcPr>
          <w:p>
            <w:pPr>
              <w:ind w:left="720"/>
              <w:spacing w:after="0"/>
              <w:rPr>
                <w:sz w:val="20"/>
                <w:szCs w:val="20"/>
                <w:color w:val="auto"/>
              </w:rPr>
            </w:pPr>
            <w:r>
              <w:rPr>
                <w:rFonts w:ascii="Times New Roman" w:cs="Times New Roman" w:eastAsia="Times New Roman" w:hAnsi="Times New Roman"/>
                <w:sz w:val="18"/>
                <w:szCs w:val="18"/>
                <w:color w:val="auto"/>
                <w:w w:val="95"/>
              </w:rPr>
              <w:t>5.51</w:t>
            </w:r>
          </w:p>
        </w:tc>
        <w:tc>
          <w:tcPr>
            <w:tcW w:w="16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200,087</w:t>
            </w:r>
          </w:p>
        </w:tc>
        <w:tc>
          <w:tcPr>
            <w:tcW w:w="80" w:type="dxa"/>
            <w:vAlign w:val="bottom"/>
            <w:tcBorders>
              <w:bottom w:val="single" w:sz="8" w:color="DDDDDD"/>
            </w:tcBorders>
          </w:tcPr>
          <w:p>
            <w:pPr>
              <w:spacing w:after="0"/>
              <w:rPr>
                <w:sz w:val="18"/>
                <w:szCs w:val="18"/>
                <w:color w:val="auto"/>
              </w:rPr>
            </w:pPr>
          </w:p>
        </w:tc>
        <w:tc>
          <w:tcPr>
            <w:tcW w:w="2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(7,687 )</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207,774</w:t>
            </w:r>
          </w:p>
        </w:tc>
        <w:tc>
          <w:tcPr>
            <w:tcW w:w="100" w:type="dxa"/>
            <w:vAlign w:val="bottom"/>
            <w:tcBorders>
              <w:bottom w:val="single" w:sz="8" w:color="DDDDDD"/>
            </w:tcBorders>
          </w:tcPr>
          <w:p>
            <w:pPr>
              <w:spacing w:after="0"/>
              <w:rPr>
                <w:sz w:val="18"/>
                <w:szCs w:val="18"/>
                <w:color w:val="auto"/>
              </w:rPr>
            </w:pPr>
          </w:p>
        </w:tc>
        <w:tc>
          <w:tcPr>
            <w:tcW w:w="1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406,314</w:t>
            </w:r>
          </w:p>
        </w:tc>
        <w:tc>
          <w:tcPr>
            <w:tcW w:w="118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20" w:type="dxa"/>
            <w:vAlign w:val="bottom"/>
            <w:tcBorders>
              <w:bottom w:val="single" w:sz="8" w:color="DDDDDD"/>
            </w:tcBorders>
          </w:tcPr>
          <w:p>
            <w:pPr>
              <w:spacing w:after="0"/>
              <w:rPr>
                <w:sz w:val="18"/>
                <w:szCs w:val="18"/>
                <w:color w:val="auto"/>
              </w:rPr>
            </w:pPr>
          </w:p>
        </w:tc>
      </w:tr>
      <w:tr>
        <w:trPr>
          <w:trHeight w:val="191"/>
        </w:trPr>
        <w:tc>
          <w:tcPr>
            <w:tcW w:w="21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4,605,824</w:t>
            </w:r>
          </w:p>
        </w:tc>
        <w:tc>
          <w:tcPr>
            <w:tcW w:w="2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241,577</w:t>
            </w:r>
          </w:p>
        </w:tc>
        <w:tc>
          <w:tcPr>
            <w:tcW w:w="3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20"/>
              <w:spacing w:after="0" w:line="191" w:lineRule="exact"/>
              <w:rPr>
                <w:sz w:val="20"/>
                <w:szCs w:val="20"/>
                <w:color w:val="auto"/>
              </w:rPr>
            </w:pPr>
            <w:r>
              <w:rPr>
                <w:rFonts w:ascii="Times New Roman" w:cs="Times New Roman" w:eastAsia="Times New Roman" w:hAnsi="Times New Roman"/>
                <w:sz w:val="18"/>
                <w:szCs w:val="18"/>
                <w:color w:val="auto"/>
                <w:w w:val="95"/>
              </w:rPr>
              <w:t>5.25</w:t>
            </w:r>
          </w:p>
        </w:tc>
        <w:tc>
          <w:tcPr>
            <w:tcW w:w="1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(80,714</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4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10,887</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(91,601</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252,464</w:t>
            </w:r>
          </w:p>
        </w:tc>
        <w:tc>
          <w:tcPr>
            <w:tcW w:w="280" w:type="dxa"/>
            <w:vAlign w:val="bottom"/>
            <w:tcBorders>
              <w:bottom w:val="single" w:sz="8" w:color="DDDDDD"/>
            </w:tcBorders>
            <w:shd w:val="clear" w:color="auto" w:fill="DDDDDD"/>
          </w:tcPr>
          <w:p>
            <w:pPr>
              <w:spacing w:after="0"/>
              <w:rPr>
                <w:sz w:val="16"/>
                <w:szCs w:val="16"/>
                <w:color w:val="auto"/>
              </w:rPr>
            </w:pPr>
          </w:p>
        </w:tc>
        <w:tc>
          <w:tcPr>
            <w:tcW w:w="7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5.48</w:t>
            </w:r>
          </w:p>
        </w:tc>
        <w:tc>
          <w:tcPr>
            <w:tcW w:w="1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Pr>
          <w:p>
            <w:pPr>
              <w:spacing w:after="0"/>
              <w:rPr>
                <w:sz w:val="16"/>
                <w:szCs w:val="16"/>
                <w:color w:val="auto"/>
              </w:rPr>
            </w:pPr>
          </w:p>
        </w:tc>
      </w:tr>
      <w:tr>
        <w:trPr>
          <w:trHeight w:val="225"/>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4,152,777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177,569</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5"/>
              </w:rPr>
              <w:t>4.28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(19,391 )</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(44,370 )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202,548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20" w:type="dxa"/>
            <w:vAlign w:val="bottom"/>
          </w:tcPr>
          <w:p>
            <w:pPr>
              <w:spacing w:after="0"/>
              <w:rPr>
                <w:sz w:val="19"/>
                <w:szCs w:val="19"/>
                <w:color w:val="auto"/>
              </w:rPr>
            </w:pPr>
          </w:p>
        </w:tc>
      </w:tr>
    </w:tbl>
    <w:p>
      <w:pPr>
        <w:spacing w:after="0" w:line="192" w:lineRule="exact"/>
        <w:rPr>
          <w:sz w:val="20"/>
          <w:szCs w:val="20"/>
          <w:color w:val="auto"/>
        </w:rPr>
      </w:pPr>
    </w:p>
    <w:p>
      <w:pPr>
        <w:ind w:left="600" w:hanging="590"/>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the Company’s statements of comprehensive income (loss) using the fair value accounting method.</w:t>
      </w:r>
    </w:p>
    <w:p>
      <w:pPr>
        <w:spacing w:after="0" w:line="33" w:lineRule="exact"/>
        <w:rPr>
          <w:rFonts w:ascii="Times New Roman" w:cs="Times New Roman" w:eastAsia="Times New Roman" w:hAnsi="Times New Roman"/>
          <w:sz w:val="18"/>
          <w:szCs w:val="18"/>
          <w:color w:val="auto"/>
        </w:rPr>
      </w:pPr>
    </w:p>
    <w:p>
      <w:pPr>
        <w:jc w:val="both"/>
        <w:ind w:left="600" w:right="80" w:hanging="590"/>
        <w:spacing w:after="0" w:line="243" w:lineRule="auto"/>
        <w:tabs>
          <w:tab w:leader="none" w:pos="5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amortization/discount accretion for each period is calculated using the beginning of period market value of all securities. Amounts presented are intended to approximate amortization/accretion using the yield method over the life of the security based on premium/discount present at purchase date.</w:t>
      </w:r>
    </w:p>
    <w:p>
      <w:pPr>
        <w:spacing w:after="0" w:line="2" w:lineRule="exact"/>
        <w:rPr>
          <w:rFonts w:ascii="Times New Roman" w:cs="Times New Roman" w:eastAsia="Times New Roman" w:hAnsi="Times New Roman"/>
          <w:sz w:val="18"/>
          <w:szCs w:val="18"/>
          <w:color w:val="auto"/>
        </w:rPr>
      </w:pPr>
    </w:p>
    <w:p>
      <w:pPr>
        <w:ind w:left="600" w:right="220" w:hanging="590"/>
        <w:spacing w:after="0" w:line="245"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 Inclusive of Premium Amortization/Discount Accretion and Yield on Average RMBS – Inclusive of Premium Amortization/Discount Accretion are non-GAAP measures. See “—GAAP and Non-GAAP Reconciliations,” for a description of our non-GAAP measures.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35" w:lineRule="exact"/>
        <w:rPr>
          <w:sz w:val="20"/>
          <w:szCs w:val="20"/>
          <w:color w:val="auto"/>
        </w:rPr>
      </w:pPr>
    </w:p>
    <w:p>
      <w:pPr>
        <w:ind w:right="40" w:firstLine="499"/>
        <w:spacing w:after="0" w:line="259" w:lineRule="auto"/>
        <w:rPr>
          <w:sz w:val="20"/>
          <w:szCs w:val="20"/>
          <w:color w:val="auto"/>
        </w:rPr>
      </w:pPr>
      <w:r>
        <w:rPr>
          <w:rFonts w:ascii="Times New Roman" w:cs="Times New Roman" w:eastAsia="Times New Roman" w:hAnsi="Times New Roman"/>
          <w:sz w:val="20"/>
          <w:szCs w:val="20"/>
          <w:color w:val="auto"/>
        </w:rPr>
        <w:t>Total operating expenses were $20.5 million, $16.7 million and $ 18.5 million for the years ended December 31, 2025, 2024 and 2023, respectively. The table below provides a breakdown of operating expenses for the years ended December 31, 2025,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6"/>
        </w:trPr>
        <w:tc>
          <w:tcPr>
            <w:tcW w:w="5940"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Management fees</w:t>
            </w:r>
          </w:p>
        </w:tc>
        <w:tc>
          <w:tcPr>
            <w:tcW w:w="1000" w:type="dxa"/>
            <w:vAlign w:val="bottom"/>
            <w:shd w:val="clear" w:color="auto" w:fill="DDDDDD"/>
          </w:tcPr>
          <w:p>
            <w:pPr>
              <w:jc w:val="right"/>
              <w:ind w:right="710"/>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52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12,723</w:t>
            </w:r>
          </w:p>
        </w:tc>
        <w:tc>
          <w:tcPr>
            <w:tcW w:w="1100" w:type="dxa"/>
            <w:vAlign w:val="bottom"/>
            <w:shd w:val="clear" w:color="auto" w:fill="DDDDDD"/>
          </w:tcPr>
          <w:p>
            <w:pPr>
              <w:jc w:val="right"/>
              <w:ind w:right="710"/>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52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9,354</w:t>
            </w:r>
          </w:p>
        </w:tc>
        <w:tc>
          <w:tcPr>
            <w:tcW w:w="32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shd w:val="clear" w:color="auto" w:fill="DDDDDD"/>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10,491</w:t>
            </w:r>
          </w:p>
        </w:tc>
      </w:t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Overhead allocation</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3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2,389</w:t>
            </w: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100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10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20"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liability insurance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3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r>
      <w:tr>
        <w:trPr>
          <w:trHeight w:val="218"/>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100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100" w:type="dxa"/>
            <w:vAlign w:val="bottom"/>
            <w:shd w:val="clear" w:color="auto" w:fill="DDDDDD"/>
          </w:tcPr>
          <w:p>
            <w:pPr>
              <w:spacing w:after="0"/>
              <w:rPr>
                <w:sz w:val="18"/>
                <w:szCs w:val="18"/>
                <w:color w:val="auto"/>
              </w:rPr>
            </w:pPr>
          </w:p>
        </w:tc>
        <w:tc>
          <w:tcPr>
            <w:tcW w:w="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320"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r>
      <w:tr>
        <w:trPr>
          <w:trHeight w:val="21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 REIT operating expenses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r>
      <w:tr>
        <w:trPr>
          <w:trHeight w:val="218"/>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administrative</w:t>
            </w:r>
          </w:p>
        </w:tc>
        <w:tc>
          <w:tcPr>
            <w:tcW w:w="1000" w:type="dxa"/>
            <w:vAlign w:val="bottom"/>
            <w:tcBorders>
              <w:bottom w:val="single" w:sz="8" w:color="auto"/>
            </w:tcBorders>
            <w:shd w:val="clear" w:color="auto" w:fill="DDDDDD"/>
          </w:tcPr>
          <w:p>
            <w:pPr>
              <w:spacing w:after="0"/>
              <w:rPr>
                <w:sz w:val="18"/>
                <w:szCs w:val="18"/>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100" w:type="dxa"/>
            <w:vAlign w:val="bottom"/>
            <w:tcBorders>
              <w:bottom w:val="single" w:sz="8" w:color="auto"/>
            </w:tcBorders>
            <w:shd w:val="clear" w:color="auto" w:fill="DDDDDD"/>
          </w:tcPr>
          <w:p>
            <w:pPr>
              <w:spacing w:after="0"/>
              <w:rPr>
                <w:sz w:val="18"/>
                <w:szCs w:val="18"/>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tcBorders>
              <w:bottom w:val="single" w:sz="8" w:color="auto"/>
            </w:tcBorders>
            <w:shd w:val="clear" w:color="auto" w:fill="DDDDDD"/>
          </w:tcPr>
          <w:p>
            <w:pPr>
              <w:spacing w:after="0"/>
              <w:rPr>
                <w:sz w:val="18"/>
                <w:szCs w:val="18"/>
                <w:color w:val="auto"/>
              </w:rPr>
            </w:pPr>
          </w:p>
        </w:tc>
        <w:tc>
          <w:tcPr>
            <w:tcW w:w="1400" w:type="dxa"/>
            <w:vAlign w:val="bottom"/>
            <w:tcBorders>
              <w:bottom w:val="single" w:sz="8" w:color="auto"/>
            </w:tcBorders>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32"/>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20,480</w:t>
            </w:r>
          </w:p>
        </w:tc>
        <w:tc>
          <w:tcPr>
            <w:tcW w:w="11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18,531</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140" w:right="20" w:firstLine="360"/>
        <w:spacing w:after="0" w:line="246" w:lineRule="auto"/>
        <w:rPr>
          <w:sz w:val="20"/>
          <w:szCs w:val="20"/>
          <w:color w:val="auto"/>
        </w:rPr>
      </w:pPr>
      <w:r>
        <w:rPr>
          <w:rFonts w:ascii="Times New Roman" w:cs="Times New Roman" w:eastAsia="Times New Roman" w:hAnsi="Times New Roman"/>
          <w:sz w:val="20"/>
          <w:szCs w:val="20"/>
          <w:color w:val="auto"/>
        </w:rPr>
        <w:t>As of December 31, 2023, the Company had accrued a liability of $0.6 million for bonuses to be paid to the Manager's employees. During the year ended December 31, 2024, the Company awarded shares of Company common stock with a fair value of $0.3 million. Accrued incentive compensation for the year ended December 31, 2024 includes a reversal of the over accrual of this liability. As of December 31, 2024, the Company had accrued a liability of $0.6 million for bonuses to be paid to the Manager's employees. During the year ended December 31, 2025, the Company awarded shares of Company common stock with a fair value of $0.2 million. Accrued incentive compensation for the year ended December 31, 2025 includes a reversal of the over accrual of this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796" w:right="720" w:bottom="0" w:gutter="0" w:footer="0" w:header="0"/>
        </w:sectPr>
      </w:pPr>
    </w:p>
    <w:bookmarkStart w:id="56" w:name="page57"/>
    <w:bookmarkEnd w:id="56"/>
    <w:p>
      <w:pPr>
        <w:ind w:right="20" w:firstLine="540"/>
        <w:spacing w:after="0" w:line="249" w:lineRule="auto"/>
        <w:rPr>
          <w:sz w:val="20"/>
          <w:szCs w:val="20"/>
          <w:color w:val="auto"/>
        </w:rPr>
      </w:pPr>
      <w:r>
        <w:rPr>
          <w:rFonts w:ascii="Times New Roman" w:cs="Times New Roman" w:eastAsia="Times New Roman" w:hAnsi="Times New Roman"/>
          <w:sz w:val="20"/>
          <w:szCs w:val="20"/>
          <w:color w:val="auto"/>
        </w:rPr>
        <w:t>We are externally managed and advised by Bimini Advisors pursuant to the terms of a management agreement. The management agreement has been renewed through February 20, 2027 and provides for automatic one-year extension options thereafter and is subject to certain termination rights. Under the terms of the management agreement, the Manager is responsible for administering the business activities and day-to-day operations of the Company. The Manager receives a monthly management fee in the amount of:</w:t>
      </w:r>
    </w:p>
    <w:p>
      <w:pPr>
        <w:spacing w:after="0" w:line="192" w:lineRule="exact"/>
        <w:rPr>
          <w:sz w:val="20"/>
          <w:szCs w:val="20"/>
          <w:color w:val="auto"/>
        </w:rPr>
      </w:pPr>
    </w:p>
    <w:p>
      <w:pPr>
        <w:ind w:left="740" w:hanging="350"/>
        <w:spacing w:after="0"/>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1.5% of the first $250 million of the Company’s month end equity, as defined in the management agreement,</w:t>
      </w:r>
    </w:p>
    <w:p>
      <w:pPr>
        <w:spacing w:after="0" w:line="35" w:lineRule="exact"/>
        <w:rPr>
          <w:rFonts w:ascii="Times New Roman" w:cs="Times New Roman" w:eastAsia="Times New Roman" w:hAnsi="Times New Roman"/>
          <w:sz w:val="20"/>
          <w:szCs w:val="20"/>
          <w:color w:val="auto"/>
        </w:rPr>
      </w:pPr>
    </w:p>
    <w:p>
      <w:pPr>
        <w:ind w:left="740" w:right="340" w:hanging="350"/>
        <w:spacing w:after="0" w:line="245" w:lineRule="auto"/>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1.25% of the Company’s month end equity that is greater than $250 million and less than or equal to $500 million, and</w:t>
      </w:r>
    </w:p>
    <w:p>
      <w:pPr>
        <w:ind w:left="740" w:hanging="350"/>
        <w:spacing w:after="0"/>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1.00% of the Company’s month end equity that is greater than $500 million.</w:t>
      </w:r>
    </w:p>
    <w:p>
      <w:pPr>
        <w:spacing w:after="0" w:line="208" w:lineRule="exact"/>
        <w:rPr>
          <w:sz w:val="20"/>
          <w:szCs w:val="20"/>
          <w:color w:val="auto"/>
        </w:rPr>
      </w:pPr>
    </w:p>
    <w:p>
      <w:pPr>
        <w:ind w:left="20" w:right="180" w:firstLine="499"/>
        <w:spacing w:after="0" w:line="277" w:lineRule="auto"/>
        <w:rPr>
          <w:sz w:val="20"/>
          <w:szCs w:val="20"/>
          <w:color w:val="auto"/>
        </w:rPr>
      </w:pPr>
      <w:r>
        <w:rPr>
          <w:rFonts w:ascii="Times New Roman" w:cs="Times New Roman" w:eastAsia="Times New Roman" w:hAnsi="Times New Roman"/>
          <w:sz w:val="20"/>
          <w:szCs w:val="20"/>
          <w:color w:val="auto"/>
        </w:rPr>
        <w:t>The Company is obligated to reimburse the Manager for any direct expenses incurred on its behalf and to pay the Manager the Company’s pro rata portion of certain overhead costs set forth in the management agreement.</w:t>
      </w:r>
    </w:p>
    <w:p>
      <w:pPr>
        <w:spacing w:after="0" w:line="161" w:lineRule="exact"/>
        <w:rPr>
          <w:sz w:val="20"/>
          <w:szCs w:val="20"/>
          <w:color w:val="auto"/>
        </w:rPr>
      </w:pPr>
    </w:p>
    <w:p>
      <w:pPr>
        <w:ind w:left="20" w:right="160" w:firstLine="499"/>
        <w:spacing w:after="0" w:line="257" w:lineRule="auto"/>
        <w:rPr>
          <w:sz w:val="20"/>
          <w:szCs w:val="20"/>
          <w:color w:val="auto"/>
        </w:rPr>
      </w:pPr>
      <w:r>
        <w:rPr>
          <w:rFonts w:ascii="Times New Roman" w:cs="Times New Roman" w:eastAsia="Times New Roman" w:hAnsi="Times New Roman"/>
          <w:sz w:val="20"/>
          <w:szCs w:val="20"/>
          <w:color w:val="auto"/>
        </w:rPr>
        <w:t>Should the Company terminate the management agreement without cause, it will pay the Manager a termination fee equal to three times the average annual management fee, as defined in the management agreement, before or on the last day of the term of the agreement.</w:t>
      </w:r>
    </w:p>
    <w:p>
      <w:pPr>
        <w:spacing w:after="0" w:line="181" w:lineRule="exact"/>
        <w:rPr>
          <w:sz w:val="20"/>
          <w:szCs w:val="20"/>
          <w:color w:val="auto"/>
        </w:rPr>
      </w:pPr>
    </w:p>
    <w:p>
      <w:pPr>
        <w:ind w:left="20" w:right="300" w:firstLine="499"/>
        <w:spacing w:after="0" w:line="252" w:lineRule="auto"/>
        <w:rPr>
          <w:sz w:val="20"/>
          <w:szCs w:val="20"/>
          <w:color w:val="auto"/>
        </w:rPr>
      </w:pPr>
      <w:r>
        <w:rPr>
          <w:rFonts w:ascii="Times New Roman" w:cs="Times New Roman" w:eastAsia="Times New Roman" w:hAnsi="Times New Roman"/>
          <w:sz w:val="20"/>
          <w:szCs w:val="20"/>
          <w:color w:val="auto"/>
        </w:rPr>
        <w:t>On April 1, 2022, pursuant to the third amendment to the management agreement entered into on November 16, 2021, the Manager began providing certain repurchase agreement trading, clearing and administrative services to the Company that had been previously provided by AVM, L.P. under an agreement terminated on March 31, 2022. In consideration for such services, the Company pays the following fees to the Manager:</w:t>
      </w:r>
    </w:p>
    <w:p>
      <w:pPr>
        <w:spacing w:after="0" w:line="188" w:lineRule="exact"/>
        <w:rPr>
          <w:sz w:val="20"/>
          <w:szCs w:val="20"/>
          <w:color w:val="auto"/>
        </w:rPr>
      </w:pPr>
    </w:p>
    <w:p>
      <w:pPr>
        <w:ind w:left="740" w:right="160" w:hanging="350"/>
        <w:spacing w:after="0" w:line="252" w:lineRule="auto"/>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20"/>
          <w:szCs w:val="20"/>
          <w:color w:val="auto"/>
        </w:rPr>
      </w:pPr>
    </w:p>
    <w:p>
      <w:pPr>
        <w:ind w:left="740" w:hanging="35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fee for the clearing and operational services provided by personnel of the Manager equal to $10,000 per month.</w:t>
      </w:r>
    </w:p>
    <w:p>
      <w:pPr>
        <w:spacing w:after="0" w:line="210" w:lineRule="exact"/>
        <w:rPr>
          <w:sz w:val="20"/>
          <w:szCs w:val="20"/>
          <w:color w:val="auto"/>
        </w:rPr>
      </w:pPr>
    </w:p>
    <w:p>
      <w:pPr>
        <w:ind w:left="20" w:right="60" w:firstLine="499"/>
        <w:spacing w:after="0" w:line="275" w:lineRule="auto"/>
        <w:rPr>
          <w:sz w:val="20"/>
          <w:szCs w:val="20"/>
          <w:color w:val="auto"/>
        </w:rPr>
      </w:pPr>
      <w:r>
        <w:rPr>
          <w:rFonts w:ascii="Times New Roman" w:cs="Times New Roman" w:eastAsia="Times New Roman" w:hAnsi="Times New Roman"/>
          <w:sz w:val="20"/>
          <w:szCs w:val="20"/>
          <w:color w:val="auto"/>
        </w:rPr>
        <w:t>The following table summarizes the management fee and overhead allocation expenses for each quarter in 2025, 2024 and 2023 and for the years ended December 31, 2025, 2024 and 2023.</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220" w:type="dxa"/>
            <w:vAlign w:val="bottom"/>
            <w:tcBorders>
              <w:top w:val="single" w:sz="8" w:color="auto"/>
            </w:tcBorders>
          </w:tcPr>
          <w:p>
            <w:pPr>
              <w:spacing w:after="0"/>
              <w:rPr>
                <w:sz w:val="20"/>
                <w:szCs w:val="20"/>
                <w:color w:val="auto"/>
              </w:rPr>
            </w:pPr>
          </w:p>
        </w:tc>
        <w:tc>
          <w:tcPr>
            <w:tcW w:w="90" w:type="dxa"/>
            <w:vAlign w:val="bottom"/>
            <w:tcBorders>
              <w:top w:val="single" w:sz="8" w:color="auto"/>
            </w:tcBorders>
          </w:tcPr>
          <w:p>
            <w:pPr>
              <w:spacing w:after="0"/>
              <w:rPr>
                <w:sz w:val="20"/>
                <w:szCs w:val="20"/>
                <w:color w:val="auto"/>
              </w:rPr>
            </w:pPr>
          </w:p>
        </w:tc>
        <w:tc>
          <w:tcPr>
            <w:tcW w:w="83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080" w:type="dxa"/>
            <w:vAlign w:val="bottom"/>
            <w:tcBorders>
              <w:top w:val="single" w:sz="8" w:color="auto"/>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Advisory Services</w:t>
            </w:r>
          </w:p>
        </w:tc>
        <w:tc>
          <w:tcPr>
            <w:tcW w:w="2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83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30"/>
              <w:spacing w:after="0" w:line="193" w:lineRule="exact"/>
              <w:rPr>
                <w:sz w:val="20"/>
                <w:szCs w:val="20"/>
                <w:color w:val="auto"/>
              </w:rPr>
            </w:pPr>
            <w:r>
              <w:rPr>
                <w:rFonts w:ascii="Times New Roman" w:cs="Times New Roman" w:eastAsia="Times New Roman" w:hAnsi="Times New Roman"/>
                <w:sz w:val="18"/>
                <w:szCs w:val="18"/>
                <w:b w:val="1"/>
                <w:bCs w:val="1"/>
                <w:color w:val="auto"/>
                <w:w w:val="98"/>
              </w:rPr>
              <w:t>Repurchase,</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Orchid</w:t>
            </w:r>
          </w:p>
        </w:tc>
        <w:tc>
          <w:tcPr>
            <w:tcW w:w="1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Orchid</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Overhead</w:t>
            </w: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Clearing and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MBS</w:t>
            </w:r>
          </w:p>
        </w:tc>
        <w:tc>
          <w:tcPr>
            <w:tcW w:w="16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73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Fee</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26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top w:val="single" w:sz="8" w:color="auto"/>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December 31, 2025</w:t>
            </w:r>
          </w:p>
        </w:tc>
        <w:tc>
          <w:tcPr>
            <w:tcW w:w="90" w:type="dxa"/>
            <w:vAlign w:val="bottom"/>
            <w:tcBorders>
              <w:top w:val="single" w:sz="8" w:color="auto"/>
              <w:bottom w:val="single" w:sz="8" w:color="DDDDDD"/>
            </w:tcBorders>
            <w:shd w:val="clear" w:color="auto" w:fill="DDDDDD"/>
          </w:tcPr>
          <w:p>
            <w:pPr>
              <w:spacing w:after="0"/>
              <w:rPr>
                <w:sz w:val="17"/>
                <w:szCs w:val="17"/>
                <w:color w:val="auto"/>
              </w:rPr>
            </w:pPr>
          </w:p>
        </w:tc>
        <w:tc>
          <w:tcPr>
            <w:tcW w:w="10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730" w:type="dxa"/>
            <w:vAlign w:val="bottom"/>
            <w:tcBorders>
              <w:top w:val="single" w:sz="8" w:color="auto"/>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97"/>
              </w:rPr>
              <w:t>9,492,369</w:t>
            </w:r>
          </w:p>
        </w:tc>
        <w:tc>
          <w:tcPr>
            <w:tcW w:w="160" w:type="dxa"/>
            <w:vAlign w:val="bottom"/>
            <w:tcBorders>
              <w:top w:val="single" w:sz="8" w:color="auto"/>
              <w:bottom w:val="single" w:sz="8" w:color="DDDDDD"/>
            </w:tcBorders>
            <w:shd w:val="clear" w:color="auto" w:fill="DDDDDD"/>
          </w:tcPr>
          <w:p>
            <w:pPr>
              <w:spacing w:after="0"/>
              <w:rPr>
                <w:sz w:val="17"/>
                <w:szCs w:val="17"/>
                <w:color w:val="auto"/>
              </w:rPr>
            </w:pPr>
          </w:p>
        </w:tc>
        <w:tc>
          <w:tcPr>
            <w:tcW w:w="9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730" w:type="dxa"/>
            <w:vAlign w:val="bottom"/>
            <w:tcBorders>
              <w:top w:val="single" w:sz="8" w:color="auto"/>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97"/>
              </w:rPr>
              <w:t>1,233,957</w:t>
            </w:r>
          </w:p>
        </w:tc>
        <w:tc>
          <w:tcPr>
            <w:tcW w:w="280" w:type="dxa"/>
            <w:vAlign w:val="bottom"/>
            <w:tcBorders>
              <w:top w:val="single" w:sz="8" w:color="auto"/>
              <w:bottom w:val="single" w:sz="8" w:color="DDDDDD"/>
            </w:tcBorders>
            <w:shd w:val="clear" w:color="auto" w:fill="DDDDDD"/>
          </w:tcPr>
          <w:p>
            <w:pPr>
              <w:ind w:left="160"/>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820" w:type="dxa"/>
            <w:vAlign w:val="bottom"/>
            <w:tcBorders>
              <w:top w:val="single" w:sz="8" w:color="auto"/>
              <w:bottom w:val="single" w:sz="8" w:color="DDDDDD"/>
            </w:tcBorders>
            <w:shd w:val="clear" w:color="auto" w:fill="DDDDDD"/>
          </w:tcPr>
          <w:p>
            <w:pPr>
              <w:ind w:left="80"/>
              <w:spacing w:after="0" w:line="203" w:lineRule="exact"/>
              <w:rPr>
                <w:sz w:val="20"/>
                <w:szCs w:val="20"/>
                <w:color w:val="auto"/>
              </w:rPr>
            </w:pPr>
            <w:r>
              <w:rPr>
                <w:rFonts w:ascii="Times New Roman" w:cs="Times New Roman" w:eastAsia="Times New Roman" w:hAnsi="Times New Roman"/>
                <w:sz w:val="18"/>
                <w:szCs w:val="18"/>
                <w:color w:val="auto"/>
                <w:highlight w:val="lightGray"/>
                <w:w w:val="99"/>
              </w:rPr>
              <w:t>9,061,222</w:t>
            </w:r>
          </w:p>
        </w:tc>
        <w:tc>
          <w:tcPr>
            <w:tcW w:w="160" w:type="dxa"/>
            <w:vAlign w:val="bottom"/>
            <w:tcBorders>
              <w:top w:val="single" w:sz="8" w:color="auto"/>
              <w:bottom w:val="single" w:sz="8" w:color="DDDDDD"/>
            </w:tcBorders>
            <w:shd w:val="clear" w:color="auto" w:fill="DDDDDD"/>
          </w:tcPr>
          <w:p>
            <w:pPr>
              <w:spacing w:after="0"/>
              <w:rPr>
                <w:sz w:val="17"/>
                <w:szCs w:val="17"/>
                <w:color w:val="auto"/>
              </w:rPr>
            </w:pPr>
          </w:p>
        </w:tc>
        <w:tc>
          <w:tcPr>
            <w:tcW w:w="120" w:type="dxa"/>
            <w:vAlign w:val="bottom"/>
            <w:tcBorders>
              <w:top w:val="single" w:sz="8" w:color="auto"/>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00" w:type="dxa"/>
            <w:vAlign w:val="bottom"/>
            <w:tcBorders>
              <w:top w:val="single" w:sz="8" w:color="auto"/>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3,700</w:t>
            </w:r>
          </w:p>
        </w:tc>
        <w:tc>
          <w:tcPr>
            <w:tcW w:w="260" w:type="dxa"/>
            <w:vAlign w:val="bottom"/>
            <w:tcBorders>
              <w:top w:val="single" w:sz="8" w:color="auto"/>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740" w:type="dxa"/>
            <w:vAlign w:val="bottom"/>
            <w:tcBorders>
              <w:top w:val="single" w:sz="8" w:color="auto"/>
              <w:bottom w:val="single" w:sz="8" w:color="DDDDDD"/>
            </w:tcBorders>
            <w:shd w:val="clear" w:color="auto" w:fill="DDDDDD"/>
          </w:tcPr>
          <w:p>
            <w:pPr>
              <w:ind w:left="460"/>
              <w:spacing w:after="0" w:line="203" w:lineRule="exact"/>
              <w:rPr>
                <w:sz w:val="20"/>
                <w:szCs w:val="20"/>
                <w:color w:val="auto"/>
              </w:rPr>
            </w:pPr>
            <w:r>
              <w:rPr>
                <w:rFonts w:ascii="Times New Roman" w:cs="Times New Roman" w:eastAsia="Times New Roman" w:hAnsi="Times New Roman"/>
                <w:sz w:val="18"/>
                <w:szCs w:val="18"/>
                <w:color w:val="auto"/>
                <w:w w:val="96"/>
              </w:rPr>
              <w:t>705</w:t>
            </w:r>
          </w:p>
        </w:tc>
        <w:tc>
          <w:tcPr>
            <w:tcW w:w="260" w:type="dxa"/>
            <w:vAlign w:val="bottom"/>
            <w:tcBorders>
              <w:top w:val="single" w:sz="8" w:color="auto"/>
              <w:bottom w:val="single" w:sz="8" w:color="DDDDDD"/>
            </w:tcBorders>
            <w:shd w:val="clear" w:color="auto" w:fill="DDDDDD"/>
          </w:tcPr>
          <w:p>
            <w:pPr>
              <w:ind w:left="160"/>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50" w:type="dxa"/>
            <w:vAlign w:val="bottom"/>
            <w:tcBorders>
              <w:top w:val="single" w:sz="8" w:color="auto"/>
              <w:bottom w:val="single" w:sz="8" w:color="DDDDDD"/>
            </w:tcBorders>
            <w:shd w:val="clear" w:color="auto" w:fill="DDDDDD"/>
          </w:tcPr>
          <w:p>
            <w:pPr>
              <w:spacing w:after="0"/>
              <w:rPr>
                <w:sz w:val="17"/>
                <w:szCs w:val="17"/>
                <w:color w:val="auto"/>
              </w:rPr>
            </w:pPr>
          </w:p>
        </w:tc>
        <w:tc>
          <w:tcPr>
            <w:tcW w:w="1030" w:type="dxa"/>
            <w:vAlign w:val="bottom"/>
            <w:tcBorders>
              <w:top w:val="single" w:sz="8" w:color="auto"/>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319</w:t>
            </w:r>
          </w:p>
        </w:tc>
        <w:tc>
          <w:tcPr>
            <w:tcW w:w="260" w:type="dxa"/>
            <w:vAlign w:val="bottom"/>
            <w:tcBorders>
              <w:top w:val="single" w:sz="8" w:color="auto"/>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720" w:type="dxa"/>
            <w:vAlign w:val="bottom"/>
            <w:tcBorders>
              <w:top w:val="single" w:sz="8" w:color="auto"/>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4,724</w:t>
            </w:r>
          </w:p>
        </w:tc>
        <w:tc>
          <w:tcPr>
            <w:tcW w:w="80" w:type="dxa"/>
            <w:vAlign w:val="bottom"/>
            <w:tcBorders>
              <w:top w:val="single" w:sz="8" w:color="DDDDDD"/>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2025</w:t>
            </w:r>
          </w:p>
        </w:tc>
        <w:tc>
          <w:tcPr>
            <w:tcW w:w="92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7,674,720</w:t>
            </w:r>
          </w:p>
        </w:tc>
        <w:tc>
          <w:tcPr>
            <w:tcW w:w="9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1,108,307</w:t>
            </w:r>
          </w:p>
        </w:tc>
        <w:tc>
          <w:tcPr>
            <w:tcW w:w="28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tcPr>
          <w:p>
            <w:pPr>
              <w:ind w:left="80"/>
              <w:spacing w:after="0" w:line="201" w:lineRule="exact"/>
              <w:rPr>
                <w:sz w:val="20"/>
                <w:szCs w:val="20"/>
                <w:color w:val="auto"/>
              </w:rPr>
            </w:pPr>
            <w:r>
              <w:rPr>
                <w:rFonts w:ascii="Times New Roman" w:cs="Times New Roman" w:eastAsia="Times New Roman" w:hAnsi="Times New Roman"/>
                <w:sz w:val="18"/>
                <w:szCs w:val="18"/>
                <w:color w:val="auto"/>
                <w:w w:val="99"/>
              </w:rPr>
              <w:t>7,331,428</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3,294</w:t>
            </w:r>
          </w:p>
        </w:tc>
        <w:tc>
          <w:tcPr>
            <w:tcW w:w="26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ind w:left="460"/>
              <w:spacing w:after="0" w:line="201" w:lineRule="exact"/>
              <w:rPr>
                <w:sz w:val="20"/>
                <w:szCs w:val="20"/>
                <w:color w:val="auto"/>
              </w:rPr>
            </w:pPr>
            <w:r>
              <w:rPr>
                <w:rFonts w:ascii="Times New Roman" w:cs="Times New Roman" w:eastAsia="Times New Roman" w:hAnsi="Times New Roman"/>
                <w:sz w:val="18"/>
                <w:szCs w:val="18"/>
                <w:color w:val="auto"/>
                <w:w w:val="96"/>
              </w:rPr>
              <w:t>887</w:t>
            </w:r>
          </w:p>
        </w:tc>
        <w:tc>
          <w:tcPr>
            <w:tcW w:w="26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277</w:t>
            </w:r>
          </w:p>
        </w:tc>
        <w:tc>
          <w:tcPr>
            <w:tcW w:w="26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4,458</w:t>
            </w:r>
          </w:p>
        </w:tc>
        <w:tc>
          <w:tcPr>
            <w:tcW w:w="8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7"/>
              </w:rPr>
              <w:t>6,865,727</w:t>
            </w:r>
          </w:p>
        </w:tc>
        <w:tc>
          <w:tcPr>
            <w:tcW w:w="16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7"/>
              </w:rPr>
              <w:t>1,012,986</w:t>
            </w:r>
          </w:p>
        </w:tc>
        <w:tc>
          <w:tcPr>
            <w:tcW w:w="28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DDDDDD"/>
            </w:tcBorders>
            <w:shd w:val="clear" w:color="auto" w:fill="DDDDDD"/>
          </w:tcPr>
          <w:p>
            <w:pPr>
              <w:ind w:left="80"/>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6,537,260</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2,982</w:t>
            </w:r>
          </w:p>
        </w:tc>
        <w:tc>
          <w:tcPr>
            <w:tcW w:w="26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60"/>
              <w:spacing w:after="0" w:line="191" w:lineRule="exact"/>
              <w:rPr>
                <w:sz w:val="20"/>
                <w:szCs w:val="20"/>
                <w:color w:val="auto"/>
              </w:rPr>
            </w:pPr>
            <w:r>
              <w:rPr>
                <w:rFonts w:ascii="Times New Roman" w:cs="Times New Roman" w:eastAsia="Times New Roman" w:hAnsi="Times New Roman"/>
                <w:sz w:val="18"/>
                <w:szCs w:val="18"/>
                <w:color w:val="auto"/>
                <w:w w:val="96"/>
              </w:rPr>
              <w:t>582</w:t>
            </w:r>
          </w:p>
        </w:tc>
        <w:tc>
          <w:tcPr>
            <w:tcW w:w="260" w:type="dxa"/>
            <w:vAlign w:val="bottom"/>
            <w:tcBorders>
              <w:bottom w:val="single" w:sz="8" w:color="DDDDDD"/>
            </w:tcBorders>
            <w:shd w:val="clear" w:color="auto" w:fill="DDDDDD"/>
          </w:tcPr>
          <w:p>
            <w:pPr>
              <w:spacing w:after="0"/>
              <w:rPr>
                <w:sz w:val="16"/>
                <w:szCs w:val="16"/>
                <w:color w:val="auto"/>
              </w:rPr>
            </w:pPr>
          </w:p>
        </w:tc>
        <w:tc>
          <w:tcPr>
            <w:tcW w:w="50" w:type="dxa"/>
            <w:vAlign w:val="bottom"/>
            <w:tcBorders>
              <w:bottom w:val="single" w:sz="8" w:color="DDDDDD"/>
            </w:tcBorders>
            <w:shd w:val="clear" w:color="auto" w:fill="DDDDDD"/>
          </w:tcPr>
          <w:p>
            <w:pPr>
              <w:spacing w:after="0"/>
              <w:rPr>
                <w:sz w:val="16"/>
                <w:szCs w:val="16"/>
                <w:color w:val="auto"/>
              </w:rPr>
            </w:pPr>
          </w:p>
        </w:tc>
        <w:tc>
          <w:tcPr>
            <w:tcW w:w="10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247</w:t>
            </w:r>
          </w:p>
        </w:tc>
        <w:tc>
          <w:tcPr>
            <w:tcW w:w="2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3,811</w:t>
            </w:r>
          </w:p>
        </w:tc>
        <w:tc>
          <w:tcPr>
            <w:tcW w:w="8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2025</w:t>
            </w:r>
          </w:p>
        </w:tc>
        <w:tc>
          <w:tcPr>
            <w:tcW w:w="92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5,995,702</w:t>
            </w:r>
          </w:p>
        </w:tc>
        <w:tc>
          <w:tcPr>
            <w:tcW w:w="9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902,590</w:t>
            </w:r>
          </w:p>
        </w:tc>
        <w:tc>
          <w:tcPr>
            <w:tcW w:w="28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5,722,092</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w:t>
            </w:r>
          </w:p>
        </w:tc>
        <w:tc>
          <w:tcPr>
            <w:tcW w:w="26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ind w:left="460"/>
              <w:spacing w:after="0" w:line="203" w:lineRule="exact"/>
              <w:rPr>
                <w:sz w:val="20"/>
                <w:szCs w:val="20"/>
                <w:color w:val="auto"/>
              </w:rPr>
            </w:pPr>
            <w:r>
              <w:rPr>
                <w:rFonts w:ascii="Times New Roman" w:cs="Times New Roman" w:eastAsia="Times New Roman" w:hAnsi="Times New Roman"/>
                <w:sz w:val="18"/>
                <w:szCs w:val="18"/>
                <w:color w:val="auto"/>
                <w:w w:val="96"/>
              </w:rPr>
              <w:t>608</w:t>
            </w:r>
          </w:p>
        </w:tc>
        <w:tc>
          <w:tcPr>
            <w:tcW w:w="26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227</w:t>
            </w:r>
          </w:p>
        </w:tc>
        <w:tc>
          <w:tcPr>
            <w:tcW w:w="26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3,582</w:t>
            </w:r>
          </w:p>
        </w:tc>
        <w:tc>
          <w:tcPr>
            <w:tcW w:w="8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7"/>
              </w:rPr>
              <w:t>5,348,057</w:t>
            </w:r>
          </w:p>
        </w:tc>
        <w:tc>
          <w:tcPr>
            <w:tcW w:w="16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817,241</w:t>
            </w:r>
          </w:p>
        </w:tc>
        <w:tc>
          <w:tcPr>
            <w:tcW w:w="28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DDDDDD"/>
            </w:tcBorders>
            <w:shd w:val="clear" w:color="auto" w:fill="DDDDDD"/>
          </w:tcPr>
          <w:p>
            <w:pPr>
              <w:ind w:left="80"/>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5,128,207</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2,487</w:t>
            </w:r>
          </w:p>
        </w:tc>
        <w:tc>
          <w:tcPr>
            <w:tcW w:w="26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60"/>
              <w:spacing w:after="0" w:line="191" w:lineRule="exact"/>
              <w:rPr>
                <w:sz w:val="20"/>
                <w:szCs w:val="20"/>
                <w:color w:val="auto"/>
              </w:rPr>
            </w:pPr>
            <w:r>
              <w:rPr>
                <w:rFonts w:ascii="Times New Roman" w:cs="Times New Roman" w:eastAsia="Times New Roman" w:hAnsi="Times New Roman"/>
                <w:sz w:val="18"/>
                <w:szCs w:val="18"/>
                <w:color w:val="auto"/>
                <w:w w:val="96"/>
              </w:rPr>
              <w:t>677</w:t>
            </w:r>
          </w:p>
        </w:tc>
        <w:tc>
          <w:tcPr>
            <w:tcW w:w="260" w:type="dxa"/>
            <w:vAlign w:val="bottom"/>
            <w:tcBorders>
              <w:bottom w:val="single" w:sz="8" w:color="DDDDDD"/>
            </w:tcBorders>
            <w:shd w:val="clear" w:color="auto" w:fill="DDDDDD"/>
          </w:tcPr>
          <w:p>
            <w:pPr>
              <w:spacing w:after="0"/>
              <w:rPr>
                <w:sz w:val="16"/>
                <w:szCs w:val="16"/>
                <w:color w:val="auto"/>
              </w:rPr>
            </w:pPr>
          </w:p>
        </w:tc>
        <w:tc>
          <w:tcPr>
            <w:tcW w:w="50" w:type="dxa"/>
            <w:vAlign w:val="bottom"/>
            <w:tcBorders>
              <w:bottom w:val="single" w:sz="8" w:color="DDDDDD"/>
            </w:tcBorders>
            <w:shd w:val="clear" w:color="auto" w:fill="DDDDDD"/>
          </w:tcPr>
          <w:p>
            <w:pPr>
              <w:spacing w:after="0"/>
              <w:rPr>
                <w:sz w:val="16"/>
                <w:szCs w:val="16"/>
                <w:color w:val="auto"/>
              </w:rPr>
            </w:pPr>
          </w:p>
        </w:tc>
        <w:tc>
          <w:tcPr>
            <w:tcW w:w="10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222</w:t>
            </w:r>
          </w:p>
        </w:tc>
        <w:tc>
          <w:tcPr>
            <w:tcW w:w="2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3,386</w:t>
            </w:r>
          </w:p>
        </w:tc>
        <w:tc>
          <w:tcPr>
            <w:tcW w:w="8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2024</w:t>
            </w:r>
          </w:p>
        </w:tc>
        <w:tc>
          <w:tcPr>
            <w:tcW w:w="92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4,984,279</w:t>
            </w:r>
          </w:p>
        </w:tc>
        <w:tc>
          <w:tcPr>
            <w:tcW w:w="9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780,010</w:t>
            </w:r>
          </w:p>
        </w:tc>
        <w:tc>
          <w:tcPr>
            <w:tcW w:w="28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4,788,287</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2,449</w:t>
            </w:r>
          </w:p>
        </w:tc>
        <w:tc>
          <w:tcPr>
            <w:tcW w:w="26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ind w:left="460"/>
              <w:spacing w:after="0" w:line="203" w:lineRule="exact"/>
              <w:rPr>
                <w:sz w:val="20"/>
                <w:szCs w:val="20"/>
                <w:color w:val="auto"/>
              </w:rPr>
            </w:pPr>
            <w:r>
              <w:rPr>
                <w:rFonts w:ascii="Times New Roman" w:cs="Times New Roman" w:eastAsia="Times New Roman" w:hAnsi="Times New Roman"/>
                <w:sz w:val="18"/>
                <w:szCs w:val="18"/>
                <w:color w:val="auto"/>
                <w:w w:val="96"/>
              </w:rPr>
              <w:t>637</w:t>
            </w:r>
          </w:p>
        </w:tc>
        <w:tc>
          <w:tcPr>
            <w:tcW w:w="26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216</w:t>
            </w:r>
          </w:p>
        </w:tc>
        <w:tc>
          <w:tcPr>
            <w:tcW w:w="26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3,302</w:t>
            </w:r>
          </w:p>
        </w:tc>
        <w:tc>
          <w:tcPr>
            <w:tcW w:w="8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7"/>
              </w:rPr>
              <w:t>4,203,416</w:t>
            </w:r>
          </w:p>
        </w:tc>
        <w:tc>
          <w:tcPr>
            <w:tcW w:w="16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699,766</w:t>
            </w:r>
          </w:p>
        </w:tc>
        <w:tc>
          <w:tcPr>
            <w:tcW w:w="28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DDDDDD"/>
            </w:tcBorders>
            <w:shd w:val="clear" w:color="auto" w:fill="DDDDDD"/>
          </w:tcPr>
          <w:p>
            <w:pPr>
              <w:ind w:left="80"/>
              <w:spacing w:after="0" w:line="191" w:lineRule="exact"/>
              <w:rPr>
                <w:sz w:val="20"/>
                <w:szCs w:val="20"/>
                <w:color w:val="auto"/>
              </w:rPr>
            </w:pPr>
            <w:r>
              <w:rPr>
                <w:rFonts w:ascii="Times New Roman" w:cs="Times New Roman" w:eastAsia="Times New Roman" w:hAnsi="Times New Roman"/>
                <w:sz w:val="18"/>
                <w:szCs w:val="18"/>
                <w:color w:val="auto"/>
                <w:highlight w:val="lightGray"/>
                <w:w w:val="99"/>
              </w:rPr>
              <w:t>4,028,601</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2,257</w:t>
            </w:r>
          </w:p>
        </w:tc>
        <w:tc>
          <w:tcPr>
            <w:tcW w:w="26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60"/>
              <w:spacing w:after="0" w:line="191" w:lineRule="exact"/>
              <w:rPr>
                <w:sz w:val="20"/>
                <w:szCs w:val="20"/>
                <w:color w:val="auto"/>
              </w:rPr>
            </w:pPr>
            <w:r>
              <w:rPr>
                <w:rFonts w:ascii="Times New Roman" w:cs="Times New Roman" w:eastAsia="Times New Roman" w:hAnsi="Times New Roman"/>
                <w:sz w:val="18"/>
                <w:szCs w:val="18"/>
                <w:color w:val="auto"/>
                <w:w w:val="96"/>
              </w:rPr>
              <w:t>732</w:t>
            </w:r>
          </w:p>
        </w:tc>
        <w:tc>
          <w:tcPr>
            <w:tcW w:w="260" w:type="dxa"/>
            <w:vAlign w:val="bottom"/>
            <w:tcBorders>
              <w:bottom w:val="single" w:sz="8" w:color="DDDDDD"/>
            </w:tcBorders>
            <w:shd w:val="clear" w:color="auto" w:fill="DDDDDD"/>
          </w:tcPr>
          <w:p>
            <w:pPr>
              <w:spacing w:after="0"/>
              <w:rPr>
                <w:sz w:val="16"/>
                <w:szCs w:val="16"/>
                <w:color w:val="auto"/>
              </w:rPr>
            </w:pPr>
          </w:p>
        </w:tc>
        <w:tc>
          <w:tcPr>
            <w:tcW w:w="50" w:type="dxa"/>
            <w:vAlign w:val="bottom"/>
            <w:tcBorders>
              <w:bottom w:val="single" w:sz="8" w:color="DDDDDD"/>
            </w:tcBorders>
            <w:shd w:val="clear" w:color="auto" w:fill="DDDDDD"/>
          </w:tcPr>
          <w:p>
            <w:pPr>
              <w:spacing w:after="0"/>
              <w:rPr>
                <w:sz w:val="16"/>
                <w:szCs w:val="16"/>
                <w:color w:val="auto"/>
              </w:rPr>
            </w:pPr>
          </w:p>
        </w:tc>
        <w:tc>
          <w:tcPr>
            <w:tcW w:w="103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178</w:t>
            </w:r>
          </w:p>
        </w:tc>
        <w:tc>
          <w:tcPr>
            <w:tcW w:w="2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3,167</w:t>
            </w:r>
          </w:p>
        </w:tc>
        <w:tc>
          <w:tcPr>
            <w:tcW w:w="8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2024</w:t>
            </w:r>
          </w:p>
        </w:tc>
        <w:tc>
          <w:tcPr>
            <w:tcW w:w="92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3,887,545</w:t>
            </w:r>
          </w:p>
        </w:tc>
        <w:tc>
          <w:tcPr>
            <w:tcW w:w="9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672,057</w:t>
            </w:r>
          </w:p>
        </w:tc>
        <w:tc>
          <w:tcPr>
            <w:tcW w:w="28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tcPr>
          <w:p>
            <w:pPr>
              <w:ind w:left="80"/>
              <w:spacing w:after="0" w:line="201" w:lineRule="exact"/>
              <w:rPr>
                <w:sz w:val="20"/>
                <w:szCs w:val="20"/>
                <w:color w:val="auto"/>
              </w:rPr>
            </w:pPr>
            <w:r>
              <w:rPr>
                <w:rFonts w:ascii="Times New Roman" w:cs="Times New Roman" w:eastAsia="Times New Roman" w:hAnsi="Times New Roman"/>
                <w:sz w:val="18"/>
                <w:szCs w:val="18"/>
                <w:color w:val="auto"/>
                <w:w w:val="99"/>
              </w:rPr>
              <w:t>3,708,573</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2,161</w:t>
            </w:r>
          </w:p>
        </w:tc>
        <w:tc>
          <w:tcPr>
            <w:tcW w:w="26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ind w:left="460"/>
              <w:spacing w:after="0" w:line="201" w:lineRule="exact"/>
              <w:rPr>
                <w:sz w:val="20"/>
                <w:szCs w:val="20"/>
                <w:color w:val="auto"/>
              </w:rPr>
            </w:pPr>
            <w:r>
              <w:rPr>
                <w:rFonts w:ascii="Times New Roman" w:cs="Times New Roman" w:eastAsia="Times New Roman" w:hAnsi="Times New Roman"/>
                <w:sz w:val="18"/>
                <w:szCs w:val="18"/>
                <w:color w:val="auto"/>
                <w:w w:val="96"/>
              </w:rPr>
              <w:t>598</w:t>
            </w:r>
          </w:p>
        </w:tc>
        <w:tc>
          <w:tcPr>
            <w:tcW w:w="26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170</w:t>
            </w:r>
          </w:p>
        </w:tc>
        <w:tc>
          <w:tcPr>
            <w:tcW w:w="26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2,929</w:t>
            </w:r>
          </w:p>
        </w:tc>
        <w:tc>
          <w:tcPr>
            <w:tcW w:w="8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2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2023</w:t>
            </w:r>
          </w:p>
        </w:tc>
        <w:tc>
          <w:tcPr>
            <w:tcW w:w="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7"/>
              </w:rPr>
              <w:t>4,207,118</w:t>
            </w:r>
          </w:p>
        </w:tc>
        <w:tc>
          <w:tcPr>
            <w:tcW w:w="16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851,532</w:t>
            </w:r>
          </w:p>
        </w:tc>
        <w:tc>
          <w:tcPr>
            <w:tcW w:w="28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DDDDDD"/>
            </w:tcBorders>
            <w:shd w:val="clear" w:color="auto" w:fill="DDDDDD"/>
          </w:tcPr>
          <w:p>
            <w:pPr>
              <w:ind w:left="80"/>
              <w:spacing w:after="0" w:line="194" w:lineRule="exact"/>
              <w:rPr>
                <w:sz w:val="20"/>
                <w:szCs w:val="20"/>
                <w:color w:val="auto"/>
              </w:rPr>
            </w:pPr>
            <w:r>
              <w:rPr>
                <w:rFonts w:ascii="Times New Roman" w:cs="Times New Roman" w:eastAsia="Times New Roman" w:hAnsi="Times New Roman"/>
                <w:sz w:val="18"/>
                <w:szCs w:val="18"/>
                <w:color w:val="auto"/>
                <w:highlight w:val="lightGray"/>
                <w:w w:val="99"/>
              </w:rPr>
              <w:t>4,066,298</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2,275</w:t>
            </w:r>
          </w:p>
        </w:tc>
        <w:tc>
          <w:tcPr>
            <w:tcW w:w="26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60"/>
              <w:spacing w:after="0" w:line="194" w:lineRule="exact"/>
              <w:rPr>
                <w:sz w:val="20"/>
                <w:szCs w:val="20"/>
                <w:color w:val="auto"/>
              </w:rPr>
            </w:pPr>
            <w:r>
              <w:rPr>
                <w:rFonts w:ascii="Times New Roman" w:cs="Times New Roman" w:eastAsia="Times New Roman" w:hAnsi="Times New Roman"/>
                <w:sz w:val="18"/>
                <w:szCs w:val="18"/>
                <w:color w:val="auto"/>
                <w:w w:val="96"/>
              </w:rPr>
              <w:t>617</w:t>
            </w:r>
          </w:p>
        </w:tc>
        <w:tc>
          <w:tcPr>
            <w:tcW w:w="260" w:type="dxa"/>
            <w:vAlign w:val="bottom"/>
            <w:tcBorders>
              <w:bottom w:val="single" w:sz="8" w:color="DDDDDD"/>
            </w:tcBorders>
            <w:shd w:val="clear" w:color="auto" w:fill="DDDDDD"/>
          </w:tcPr>
          <w:p>
            <w:pPr>
              <w:spacing w:after="0"/>
              <w:rPr>
                <w:sz w:val="16"/>
                <w:szCs w:val="16"/>
                <w:color w:val="auto"/>
              </w:rPr>
            </w:pPr>
          </w:p>
        </w:tc>
        <w:tc>
          <w:tcPr>
            <w:tcW w:w="50" w:type="dxa"/>
            <w:vAlign w:val="bottom"/>
            <w:tcBorders>
              <w:bottom w:val="single" w:sz="8" w:color="DDDDDD"/>
            </w:tcBorders>
            <w:shd w:val="clear" w:color="auto" w:fill="DDDDDD"/>
          </w:tcPr>
          <w:p>
            <w:pPr>
              <w:spacing w:after="0"/>
              <w:rPr>
                <w:sz w:val="16"/>
                <w:szCs w:val="16"/>
                <w:color w:val="auto"/>
              </w:rPr>
            </w:pPr>
          </w:p>
        </w:tc>
        <w:tc>
          <w:tcPr>
            <w:tcW w:w="10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184</w:t>
            </w:r>
          </w:p>
        </w:tc>
        <w:tc>
          <w:tcPr>
            <w:tcW w:w="2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3,076</w:t>
            </w:r>
          </w:p>
        </w:tc>
        <w:tc>
          <w:tcPr>
            <w:tcW w:w="8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2023</w:t>
            </w:r>
          </w:p>
        </w:tc>
        <w:tc>
          <w:tcPr>
            <w:tcW w:w="92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4,447,098</w:t>
            </w:r>
          </w:p>
        </w:tc>
        <w:tc>
          <w:tcPr>
            <w:tcW w:w="9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964,230</w:t>
            </w:r>
          </w:p>
        </w:tc>
        <w:tc>
          <w:tcPr>
            <w:tcW w:w="280" w:type="dxa"/>
            <w:vAlign w:val="bottom"/>
            <w:tcBorders>
              <w:bottom w:val="single" w:sz="8" w:color="DDDDDD"/>
            </w:tcBorders>
          </w:tcPr>
          <w:p>
            <w:pPr>
              <w:spacing w:after="0"/>
              <w:rPr>
                <w:sz w:val="17"/>
                <w:szCs w:val="17"/>
                <w:color w:val="auto"/>
              </w:rPr>
            </w:pPr>
          </w:p>
        </w:tc>
        <w:tc>
          <w:tcPr>
            <w:tcW w:w="820" w:type="dxa"/>
            <w:vAlign w:val="bottom"/>
            <w:tcBorders>
              <w:bottom w:val="single" w:sz="8" w:color="DDDDDD"/>
            </w:tcBorders>
          </w:tcPr>
          <w:p>
            <w:pPr>
              <w:ind w:left="80"/>
              <w:spacing w:after="0" w:line="201" w:lineRule="exact"/>
              <w:rPr>
                <w:sz w:val="20"/>
                <w:szCs w:val="20"/>
                <w:color w:val="auto"/>
              </w:rPr>
            </w:pPr>
            <w:r>
              <w:rPr>
                <w:rFonts w:ascii="Times New Roman" w:cs="Times New Roman" w:eastAsia="Times New Roman" w:hAnsi="Times New Roman"/>
                <w:sz w:val="18"/>
                <w:szCs w:val="18"/>
                <w:color w:val="auto"/>
                <w:w w:val="99"/>
              </w:rPr>
              <w:t>4,314,332</w:t>
            </w:r>
          </w:p>
        </w:tc>
        <w:tc>
          <w:tcPr>
            <w:tcW w:w="16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2,870</w:t>
            </w:r>
          </w:p>
        </w:tc>
        <w:tc>
          <w:tcPr>
            <w:tcW w:w="260" w:type="dxa"/>
            <w:vAlign w:val="bottom"/>
            <w:tcBorders>
              <w:bottom w:val="single" w:sz="8" w:color="DDDDDD"/>
            </w:tcBorders>
          </w:tcPr>
          <w:p>
            <w:pPr>
              <w:spacing w:after="0"/>
              <w:rPr>
                <w:sz w:val="17"/>
                <w:szCs w:val="17"/>
                <w:color w:val="auto"/>
              </w:rPr>
            </w:pPr>
          </w:p>
        </w:tc>
        <w:tc>
          <w:tcPr>
            <w:tcW w:w="740" w:type="dxa"/>
            <w:vAlign w:val="bottom"/>
            <w:tcBorders>
              <w:bottom w:val="single" w:sz="8" w:color="DDDDDD"/>
            </w:tcBorders>
          </w:tcPr>
          <w:p>
            <w:pPr>
              <w:ind w:left="460"/>
              <w:spacing w:after="0" w:line="201" w:lineRule="exact"/>
              <w:rPr>
                <w:sz w:val="20"/>
                <w:szCs w:val="20"/>
                <w:color w:val="auto"/>
              </w:rPr>
            </w:pPr>
            <w:r>
              <w:rPr>
                <w:rFonts w:ascii="Times New Roman" w:cs="Times New Roman" w:eastAsia="Times New Roman" w:hAnsi="Times New Roman"/>
                <w:sz w:val="18"/>
                <w:szCs w:val="18"/>
                <w:color w:val="auto"/>
                <w:w w:val="96"/>
              </w:rPr>
              <w:t>557</w:t>
            </w:r>
          </w:p>
        </w:tc>
        <w:tc>
          <w:tcPr>
            <w:tcW w:w="26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193</w:t>
            </w:r>
          </w:p>
        </w:tc>
        <w:tc>
          <w:tcPr>
            <w:tcW w:w="260" w:type="dxa"/>
            <w:vAlign w:val="bottom"/>
            <w:tcBorders>
              <w:bottom w:val="single" w:sz="8" w:color="DDDDDD"/>
            </w:tcBorders>
          </w:tcPr>
          <w:p>
            <w:pPr>
              <w:spacing w:after="0"/>
              <w:rPr>
                <w:sz w:val="17"/>
                <w:szCs w:val="17"/>
                <w:color w:val="auto"/>
              </w:rPr>
            </w:pPr>
          </w:p>
        </w:tc>
        <w:tc>
          <w:tcPr>
            <w:tcW w:w="7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3,620</w:t>
            </w:r>
          </w:p>
        </w:tc>
        <w:tc>
          <w:tcPr>
            <w:tcW w:w="8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2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June 30, 2023</w:t>
            </w:r>
          </w:p>
        </w:tc>
        <w:tc>
          <w:tcPr>
            <w:tcW w:w="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7"/>
              </w:rPr>
              <w:t>4,186,939</w:t>
            </w:r>
          </w:p>
        </w:tc>
        <w:tc>
          <w:tcPr>
            <w:tcW w:w="16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899,109</w:t>
            </w:r>
          </w:p>
        </w:tc>
        <w:tc>
          <w:tcPr>
            <w:tcW w:w="28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DDDDDD"/>
            </w:tcBorders>
            <w:shd w:val="clear" w:color="auto" w:fill="DDDDDD"/>
          </w:tcPr>
          <w:p>
            <w:pPr>
              <w:ind w:left="80"/>
              <w:spacing w:after="0" w:line="194" w:lineRule="exact"/>
              <w:rPr>
                <w:sz w:val="20"/>
                <w:szCs w:val="20"/>
                <w:color w:val="auto"/>
              </w:rPr>
            </w:pPr>
            <w:r>
              <w:rPr>
                <w:rFonts w:ascii="Times New Roman" w:cs="Times New Roman" w:eastAsia="Times New Roman" w:hAnsi="Times New Roman"/>
                <w:sz w:val="18"/>
                <w:szCs w:val="18"/>
                <w:color w:val="auto"/>
                <w:highlight w:val="lightGray"/>
                <w:w w:val="99"/>
              </w:rPr>
              <w:t>3,985,577</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2,704</w:t>
            </w:r>
          </w:p>
        </w:tc>
        <w:tc>
          <w:tcPr>
            <w:tcW w:w="26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460"/>
              <w:spacing w:after="0" w:line="194" w:lineRule="exact"/>
              <w:rPr>
                <w:sz w:val="20"/>
                <w:szCs w:val="20"/>
                <w:color w:val="auto"/>
              </w:rPr>
            </w:pPr>
            <w:r>
              <w:rPr>
                <w:rFonts w:ascii="Times New Roman" w:cs="Times New Roman" w:eastAsia="Times New Roman" w:hAnsi="Times New Roman"/>
                <w:sz w:val="18"/>
                <w:szCs w:val="18"/>
                <w:color w:val="auto"/>
                <w:w w:val="96"/>
              </w:rPr>
              <w:t>639</w:t>
            </w:r>
          </w:p>
        </w:tc>
        <w:tc>
          <w:tcPr>
            <w:tcW w:w="260" w:type="dxa"/>
            <w:vAlign w:val="bottom"/>
            <w:tcBorders>
              <w:bottom w:val="single" w:sz="8" w:color="DDDDDD"/>
            </w:tcBorders>
            <w:shd w:val="clear" w:color="auto" w:fill="DDDDDD"/>
          </w:tcPr>
          <w:p>
            <w:pPr>
              <w:spacing w:after="0"/>
              <w:rPr>
                <w:sz w:val="16"/>
                <w:szCs w:val="16"/>
                <w:color w:val="auto"/>
              </w:rPr>
            </w:pPr>
          </w:p>
        </w:tc>
        <w:tc>
          <w:tcPr>
            <w:tcW w:w="50" w:type="dxa"/>
            <w:vAlign w:val="bottom"/>
            <w:tcBorders>
              <w:bottom w:val="single" w:sz="8" w:color="DDDDDD"/>
            </w:tcBorders>
            <w:shd w:val="clear" w:color="auto" w:fill="DDDDDD"/>
          </w:tcPr>
          <w:p>
            <w:pPr>
              <w:spacing w:after="0"/>
              <w:rPr>
                <w:sz w:val="16"/>
                <w:szCs w:val="16"/>
                <w:color w:val="auto"/>
              </w:rPr>
            </w:pPr>
          </w:p>
        </w:tc>
        <w:tc>
          <w:tcPr>
            <w:tcW w:w="10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173</w:t>
            </w:r>
          </w:p>
        </w:tc>
        <w:tc>
          <w:tcPr>
            <w:tcW w:w="2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3,516</w:t>
            </w:r>
          </w:p>
        </w:tc>
        <w:tc>
          <w:tcPr>
            <w:tcW w:w="8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3,769,954</w:t>
            </w: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865,722</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3,573,941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576</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730" w:type="dxa"/>
            <w:vAlign w:val="bottom"/>
            <w:tcBorders>
              <w:bottom w:val="single" w:sz="8" w:color="auto"/>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90" w:type="dxa"/>
            <w:vAlign w:val="bottom"/>
            <w:tcBorders>
              <w:bottom w:val="single" w:sz="8" w:color="auto"/>
            </w:tcBorders>
            <w:shd w:val="clear" w:color="auto" w:fill="DDDDDD"/>
          </w:tcPr>
          <w:p>
            <w:pPr>
              <w:spacing w:after="0"/>
              <w:rPr>
                <w:sz w:val="19"/>
                <w:szCs w:val="19"/>
                <w:color w:val="auto"/>
              </w:rPr>
            </w:pPr>
          </w:p>
        </w:tc>
        <w:tc>
          <w:tcPr>
            <w:tcW w:w="730" w:type="dxa"/>
            <w:vAlign w:val="bottom"/>
            <w:tcBorders>
              <w:bottom w:val="single" w:sz="8" w:color="auto"/>
            </w:tcBorders>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820" w:type="dxa"/>
            <w:vAlign w:val="bottom"/>
            <w:tcBorders>
              <w:bottom w:val="single" w:sz="8" w:color="auto"/>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740" w:type="dxa"/>
            <w:vAlign w:val="bottom"/>
            <w:tcBorders>
              <w:bottom w:val="single" w:sz="8" w:color="auto"/>
            </w:tcBorders>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50" w:type="dxa"/>
            <w:vAlign w:val="bottom"/>
            <w:tcBorders>
              <w:bottom w:val="single" w:sz="8" w:color="auto"/>
            </w:tcBorders>
            <w:shd w:val="clear" w:color="auto" w:fill="DDDDDD"/>
          </w:tcPr>
          <w:p>
            <w:pPr>
              <w:spacing w:after="0"/>
              <w:rPr>
                <w:sz w:val="19"/>
                <w:szCs w:val="19"/>
                <w:color w:val="auto"/>
              </w:rPr>
            </w:pPr>
          </w:p>
        </w:tc>
        <w:tc>
          <w:tcPr>
            <w:tcW w:w="1030" w:type="dxa"/>
            <w:vAlign w:val="bottom"/>
            <w:tcBorders>
              <w:bottom w:val="single" w:sz="8" w:color="auto"/>
            </w:tcBorders>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spacing w:after="0"/>
              <w:rPr>
                <w:sz w:val="19"/>
                <w:szCs w:val="19"/>
                <w:color w:val="auto"/>
              </w:rPr>
            </w:pPr>
          </w:p>
        </w:tc>
        <w:tc>
          <w:tcPr>
            <w:tcW w:w="80" w:type="dxa"/>
            <w:vAlign w:val="bottom"/>
            <w:tcBorders>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92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$ 7,507,130</w:t>
            </w:r>
          </w:p>
        </w:tc>
        <w:tc>
          <w:tcPr>
            <w:tcW w:w="98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$ 1,064,460</w:t>
            </w:r>
          </w:p>
        </w:tc>
        <w:tc>
          <w:tcPr>
            <w:tcW w:w="28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DDDDD"/>
            </w:tcBorders>
          </w:tcPr>
          <w:p>
            <w:pPr>
              <w:ind w:left="80"/>
              <w:spacing w:after="0"/>
              <w:rPr>
                <w:sz w:val="20"/>
                <w:szCs w:val="20"/>
                <w:color w:val="auto"/>
              </w:rPr>
            </w:pPr>
            <w:r>
              <w:rPr>
                <w:rFonts w:ascii="Times New Roman" w:cs="Times New Roman" w:eastAsia="Times New Roman" w:hAnsi="Times New Roman"/>
                <w:sz w:val="18"/>
                <w:szCs w:val="18"/>
                <w:color w:val="auto"/>
                <w:w w:val="99"/>
              </w:rPr>
              <w:t>7,163,001</w:t>
            </w:r>
          </w:p>
        </w:tc>
        <w:tc>
          <w:tcPr>
            <w:tcW w:w="16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12,723</w:t>
            </w:r>
          </w:p>
        </w:tc>
        <w:tc>
          <w:tcPr>
            <w:tcW w:w="26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DDDDDD"/>
            </w:tcBorders>
          </w:tcPr>
          <w:p>
            <w:pPr>
              <w:ind w:left="320"/>
              <w:spacing w:after="0"/>
              <w:rPr>
                <w:sz w:val="20"/>
                <w:szCs w:val="20"/>
                <w:color w:val="auto"/>
              </w:rPr>
            </w:pPr>
            <w:r>
              <w:rPr>
                <w:rFonts w:ascii="Times New Roman" w:cs="Times New Roman" w:eastAsia="Times New Roman" w:hAnsi="Times New Roman"/>
                <w:sz w:val="18"/>
                <w:szCs w:val="18"/>
                <w:color w:val="auto"/>
                <w:w w:val="98"/>
              </w:rPr>
              <w:t>2,782</w:t>
            </w:r>
          </w:p>
        </w:tc>
        <w:tc>
          <w:tcPr>
            <w:tcW w:w="26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8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2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97"/>
              </w:rPr>
              <w:t>4,605,824</w:t>
            </w:r>
          </w:p>
        </w:tc>
        <w:tc>
          <w:tcPr>
            <w:tcW w:w="160" w:type="dxa"/>
            <w:vAlign w:val="bottom"/>
            <w:tcBorders>
              <w:bottom w:val="single" w:sz="8" w:color="DDDDDD"/>
            </w:tcBorders>
            <w:shd w:val="clear" w:color="auto" w:fill="DDDDDD"/>
          </w:tcPr>
          <w:p>
            <w:pPr>
              <w:spacing w:after="0"/>
              <w:rPr>
                <w:sz w:val="16"/>
                <w:szCs w:val="16"/>
                <w:color w:val="auto"/>
              </w:rPr>
            </w:pPr>
          </w:p>
        </w:tc>
        <w:tc>
          <w:tcPr>
            <w:tcW w:w="90" w:type="dxa"/>
            <w:vAlign w:val="bottom"/>
            <w:tcBorders>
              <w:bottom w:val="single" w:sz="8" w:color="DDDDDD"/>
            </w:tcBorders>
            <w:shd w:val="clear" w:color="auto" w:fill="DDDDDD"/>
          </w:tcPr>
          <w:p>
            <w:pPr>
              <w:spacing w:after="0"/>
              <w:rPr>
                <w:sz w:val="16"/>
                <w:szCs w:val="16"/>
                <w:color w:val="auto"/>
              </w:rPr>
            </w:pPr>
          </w:p>
        </w:tc>
        <w:tc>
          <w:tcPr>
            <w:tcW w:w="7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742,269</w:t>
            </w:r>
          </w:p>
        </w:tc>
        <w:tc>
          <w:tcPr>
            <w:tcW w:w="28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DDDDDD"/>
            </w:tcBorders>
            <w:shd w:val="clear" w:color="auto" w:fill="DDDDDD"/>
          </w:tcPr>
          <w:p>
            <w:pPr>
              <w:ind w:left="80"/>
              <w:spacing w:after="0" w:line="194" w:lineRule="exact"/>
              <w:rPr>
                <w:sz w:val="20"/>
                <w:szCs w:val="20"/>
                <w:color w:val="auto"/>
              </w:rPr>
            </w:pPr>
            <w:r>
              <w:rPr>
                <w:rFonts w:ascii="Times New Roman" w:cs="Times New Roman" w:eastAsia="Times New Roman" w:hAnsi="Times New Roman"/>
                <w:sz w:val="18"/>
                <w:szCs w:val="18"/>
                <w:color w:val="auto"/>
                <w:highlight w:val="lightGray"/>
                <w:w w:val="99"/>
              </w:rPr>
              <w:t>4,413,417</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9,354</w:t>
            </w:r>
          </w:p>
        </w:tc>
        <w:tc>
          <w:tcPr>
            <w:tcW w:w="26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ind w:left="320"/>
              <w:spacing w:after="0" w:line="194" w:lineRule="exact"/>
              <w:rPr>
                <w:sz w:val="20"/>
                <w:szCs w:val="20"/>
                <w:color w:val="auto"/>
              </w:rPr>
            </w:pPr>
            <w:r>
              <w:rPr>
                <w:rFonts w:ascii="Times New Roman" w:cs="Times New Roman" w:eastAsia="Times New Roman" w:hAnsi="Times New Roman"/>
                <w:sz w:val="18"/>
                <w:szCs w:val="18"/>
                <w:color w:val="auto"/>
                <w:w w:val="98"/>
              </w:rPr>
              <w:t>2,644</w:t>
            </w:r>
          </w:p>
        </w:tc>
        <w:tc>
          <w:tcPr>
            <w:tcW w:w="260" w:type="dxa"/>
            <w:vAlign w:val="bottom"/>
            <w:tcBorders>
              <w:bottom w:val="single" w:sz="8" w:color="DDDDDD"/>
            </w:tcBorders>
            <w:shd w:val="clear" w:color="auto" w:fill="DDDDDD"/>
          </w:tcPr>
          <w:p>
            <w:pPr>
              <w:spacing w:after="0"/>
              <w:rPr>
                <w:sz w:val="16"/>
                <w:szCs w:val="16"/>
                <w:color w:val="auto"/>
              </w:rPr>
            </w:pPr>
          </w:p>
        </w:tc>
        <w:tc>
          <w:tcPr>
            <w:tcW w:w="50" w:type="dxa"/>
            <w:vAlign w:val="bottom"/>
            <w:tcBorders>
              <w:bottom w:val="single" w:sz="8" w:color="DDDDDD"/>
            </w:tcBorders>
            <w:shd w:val="clear" w:color="auto" w:fill="DDDDDD"/>
          </w:tcPr>
          <w:p>
            <w:pPr>
              <w:spacing w:after="0"/>
              <w:rPr>
                <w:sz w:val="16"/>
                <w:szCs w:val="16"/>
                <w:color w:val="auto"/>
              </w:rPr>
            </w:pPr>
          </w:p>
        </w:tc>
        <w:tc>
          <w:tcPr>
            <w:tcW w:w="103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786</w:t>
            </w:r>
          </w:p>
        </w:tc>
        <w:tc>
          <w:tcPr>
            <w:tcW w:w="2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12,784</w:t>
            </w:r>
          </w:p>
        </w:tc>
        <w:tc>
          <w:tcPr>
            <w:tcW w:w="8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4,152,777</w:t>
            </w: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895,148</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3,985,037</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8"/>
              </w:rPr>
              <w:t>2,389</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-1845310</wp:posOffset>
                </wp:positionV>
                <wp:extent cx="68580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45.2999pt" to="541.2pt,-145.2999pt" o:allowincell="f" strokecolor="#FFFFFF"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20"/>
          </w:cols>
          <w:pgMar w:left="700" w:top="788" w:right="720" w:bottom="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Financial Condition: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Mortgage-Backed Securities</w:t>
      </w:r>
    </w:p>
    <w:p>
      <w:pPr>
        <w:spacing w:after="0" w:line="231" w:lineRule="exact"/>
        <w:rPr>
          <w:sz w:val="20"/>
          <w:szCs w:val="20"/>
          <w:color w:val="auto"/>
        </w:rPr>
      </w:pPr>
    </w:p>
    <w:p>
      <w:pPr>
        <w:ind w:right="80" w:firstLine="499"/>
        <w:spacing w:after="0" w:line="252" w:lineRule="auto"/>
        <w:rPr>
          <w:sz w:val="20"/>
          <w:szCs w:val="20"/>
          <w:color w:val="auto"/>
        </w:rPr>
      </w:pPr>
      <w:r>
        <w:rPr>
          <w:rFonts w:ascii="Times New Roman" w:cs="Times New Roman" w:eastAsia="Times New Roman" w:hAnsi="Times New Roman"/>
          <w:sz w:val="20"/>
          <w:szCs w:val="20"/>
          <w:color w:val="auto"/>
        </w:rPr>
        <w:t>As of December 31, 2025, our RMBS portfolio consisted of $10,628.7 million of Agency RMBS at fair value and had a weighted average coupon on assets of 5.64%. During the year ended December 31, 2025, we received principal repayments of $903.4 million, compared to $495.3 million for the year ended December 31, 2024. The average three month prepayment speeds for the quarters ended December 31, 2025 and 2024 were 15.7% and 10.5%, respectively.</w:t>
      </w:r>
    </w:p>
    <w:p>
      <w:pPr>
        <w:spacing w:after="0" w:line="184" w:lineRule="exact"/>
        <w:rPr>
          <w:sz w:val="20"/>
          <w:szCs w:val="20"/>
          <w:color w:val="auto"/>
        </w:rPr>
      </w:pPr>
    </w:p>
    <w:p>
      <w:pPr>
        <w:ind w:right="140" w:firstLine="499"/>
        <w:spacing w:after="0" w:line="252" w:lineRule="auto"/>
        <w:rPr>
          <w:sz w:val="20"/>
          <w:szCs w:val="20"/>
          <w:color w:val="auto"/>
        </w:rPr>
      </w:pPr>
      <w:r>
        <w:rPr>
          <w:rFonts w:ascii="Times New Roman" w:cs="Times New Roman" w:eastAsia="Times New Roman" w:hAnsi="Times New Roman"/>
          <w:sz w:val="20"/>
          <w:szCs w:val="20"/>
          <w:color w:val="auto"/>
        </w:rPr>
        <w:t>The following table presents the 3-month constant prepayment rate (“CPR”) experienced on our portfolio, on an annualized basis, for the quarterly periods presented. CPR is a method of expressing the prepayment rate for a mortgage pool that assumes that a constant fraction of the remaining principal is prepaid each month or year. Specifically, the CPR in the chart below represents the three month prepayment rate of the securities.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180" w:type="dxa"/>
            <w:vAlign w:val="bottom"/>
          </w:tcPr>
          <w:p>
            <w:pPr>
              <w:spacing w:after="0"/>
              <w:rPr>
                <w:sz w:val="20"/>
                <w:szCs w:val="20"/>
                <w:color w:val="auto"/>
              </w:rPr>
            </w:pP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0"/>
        </w:trPr>
        <w:tc>
          <w:tcPr>
            <w:tcW w:w="91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20" w:type="dxa"/>
            <w:vAlign w:val="bottom"/>
            <w:tcBorders>
              <w:bottom w:val="single" w:sz="8" w:color="DDDDDD"/>
            </w:tcBorders>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06"/>
        </w:trPr>
        <w:tc>
          <w:tcPr>
            <w:tcW w:w="9180" w:type="dxa"/>
            <w:vAlign w:val="bottom"/>
            <w:tcBorders>
              <w:top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December 31, 2025</w:t>
            </w:r>
          </w:p>
        </w:tc>
        <w:tc>
          <w:tcPr>
            <w:tcW w:w="1620" w:type="dxa"/>
            <w:vAlign w:val="bottom"/>
            <w:tcBorders>
              <w:top w:val="single" w:sz="8" w:color="auto"/>
            </w:tcBorders>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15.7</w:t>
            </w:r>
          </w:p>
        </w:tc>
      </w:tr>
      <w:tr>
        <w:trPr>
          <w:trHeight w:val="218"/>
        </w:trPr>
        <w:tc>
          <w:tcPr>
            <w:tcW w:w="9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6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18"/>
        </w:trPr>
        <w:tc>
          <w:tcPr>
            <w:tcW w:w="9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6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62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18"/>
        </w:trPr>
        <w:tc>
          <w:tcPr>
            <w:tcW w:w="91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620" w:type="dxa"/>
            <w:vAlign w:val="bottom"/>
            <w:tcBorders>
              <w:bottom w:val="single" w:sz="8" w:color="DDDDDD"/>
            </w:tcBorders>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9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tables summarize certain characteristics of the Company’s PT RMBS and structured RMBS as of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9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70" w:type="dxa"/>
            <w:vAlign w:val="bottom"/>
            <w:tcBorders>
              <w:top w:val="single" w:sz="8" w:color="auto"/>
            </w:tcBorders>
          </w:tcPr>
          <w:p>
            <w:pPr>
              <w:spacing w:after="0"/>
              <w:rPr>
                <w:sz w:val="16"/>
                <w:szCs w:val="16"/>
                <w:color w:val="auto"/>
              </w:rPr>
            </w:pPr>
          </w:p>
        </w:tc>
        <w:tc>
          <w:tcPr>
            <w:tcW w:w="170" w:type="dxa"/>
            <w:vAlign w:val="bottom"/>
            <w:tcBorders>
              <w:top w:val="single" w:sz="8" w:color="auto"/>
            </w:tcBorders>
          </w:tcPr>
          <w:p>
            <w:pPr>
              <w:spacing w:after="0"/>
              <w:rPr>
                <w:sz w:val="16"/>
                <w:szCs w:val="16"/>
                <w:color w:val="auto"/>
              </w:rPr>
            </w:pPr>
          </w:p>
        </w:tc>
        <w:tc>
          <w:tcPr>
            <w:tcW w:w="19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Borders>
              <w:top w:val="single" w:sz="8" w:color="auto"/>
            </w:tcBorders>
          </w:tcPr>
          <w:p>
            <w:pPr>
              <w:spacing w:after="0"/>
              <w:rPr>
                <w:sz w:val="16"/>
                <w:szCs w:val="16"/>
                <w:color w:val="auto"/>
              </w:rPr>
            </w:pPr>
          </w:p>
        </w:tc>
        <w:tc>
          <w:tcPr>
            <w:tcW w:w="970" w:type="dxa"/>
            <w:vAlign w:val="bottom"/>
            <w:tcBorders>
              <w:top w:val="single" w:sz="8" w:color="auto"/>
            </w:tcBorders>
          </w:tcPr>
          <w:p>
            <w:pPr>
              <w:spacing w:after="0"/>
              <w:rPr>
                <w:sz w:val="16"/>
                <w:szCs w:val="16"/>
                <w:color w:val="auto"/>
              </w:rPr>
            </w:pPr>
          </w:p>
        </w:tc>
        <w:tc>
          <w:tcPr>
            <w:tcW w:w="150" w:type="dxa"/>
            <w:vAlign w:val="bottom"/>
            <w:tcBorders>
              <w:top w:val="single" w:sz="8" w:color="auto"/>
            </w:tcBorders>
          </w:tcPr>
          <w:p>
            <w:pPr>
              <w:spacing w:after="0"/>
              <w:rPr>
                <w:sz w:val="16"/>
                <w:szCs w:val="16"/>
                <w:color w:val="auto"/>
              </w:rPr>
            </w:pPr>
          </w:p>
        </w:tc>
      </w:tr>
      <w:tr>
        <w:trPr>
          <w:trHeight w:val="218"/>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3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15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9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15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380" w:type="dxa"/>
            <w:vAlign w:val="bottom"/>
          </w:tcPr>
          <w:p>
            <w:pPr>
              <w:spacing w:after="0"/>
              <w:rPr>
                <w:sz w:val="18"/>
                <w:szCs w:val="18"/>
                <w:color w:val="auto"/>
              </w:rPr>
            </w:pPr>
          </w:p>
        </w:tc>
        <w:tc>
          <w:tcPr>
            <w:tcW w:w="105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Entire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w:t>
            </w:r>
          </w:p>
        </w:tc>
        <w:tc>
          <w:tcPr>
            <w:tcW w:w="300" w:type="dxa"/>
            <w:vAlign w:val="bottom"/>
          </w:tcPr>
          <w:p>
            <w:pPr>
              <w:spacing w:after="0"/>
              <w:rPr>
                <w:sz w:val="18"/>
                <w:szCs w:val="18"/>
                <w:color w:val="auto"/>
              </w:rPr>
            </w:pP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Longest</w:t>
            </w:r>
          </w:p>
        </w:tc>
      </w:tr>
      <w:tr>
        <w:trPr>
          <w:trHeight w:val="236"/>
        </w:trPr>
        <w:tc>
          <w:tcPr>
            <w:tcW w:w="42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80" w:type="dxa"/>
            <w:vAlign w:val="bottom"/>
            <w:tcBorders>
              <w:bottom w:val="single" w:sz="8" w:color="auto"/>
            </w:tcBorders>
          </w:tcPr>
          <w:p>
            <w:pPr>
              <w:spacing w:after="0"/>
              <w:rPr>
                <w:sz w:val="20"/>
                <w:szCs w:val="20"/>
                <w:color w:val="auto"/>
              </w:rPr>
            </w:pPr>
          </w:p>
        </w:tc>
        <w:tc>
          <w:tcPr>
            <w:tcW w:w="105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19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06"/>
        </w:trPr>
        <w:tc>
          <w:tcPr>
            <w:tcW w:w="4260" w:type="dxa"/>
            <w:vAlign w:val="bottom"/>
            <w:tcBorders>
              <w:bottom w:val="single" w:sz="8" w:color="auto"/>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890" w:type="dxa"/>
            <w:vAlign w:val="bottom"/>
            <w:tcBorders>
              <w:bottom w:val="single" w:sz="8" w:color="auto"/>
            </w:tcBorders>
            <w:shd w:val="clear" w:color="auto" w:fill="DDDDDD"/>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70" w:type="dxa"/>
            <w:vAlign w:val="bottom"/>
            <w:tcBorders>
              <w:bottom w:val="single" w:sz="8" w:color="auto"/>
            </w:tcBorders>
            <w:shd w:val="clear" w:color="auto" w:fill="DDDDDD"/>
          </w:tcPr>
          <w:p>
            <w:pPr>
              <w:spacing w:after="0"/>
              <w:rPr>
                <w:sz w:val="17"/>
                <w:szCs w:val="17"/>
                <w:color w:val="auto"/>
              </w:rPr>
            </w:pPr>
          </w:p>
        </w:tc>
        <w:tc>
          <w:tcPr>
            <w:tcW w:w="170" w:type="dxa"/>
            <w:vAlign w:val="bottom"/>
            <w:tcBorders>
              <w:bottom w:val="single" w:sz="8" w:color="auto"/>
            </w:tcBorders>
            <w:shd w:val="clear" w:color="auto" w:fill="DDDDDD"/>
          </w:tcPr>
          <w:p>
            <w:pPr>
              <w:spacing w:after="0"/>
              <w:rPr>
                <w:sz w:val="17"/>
                <w:szCs w:val="17"/>
                <w:color w:val="auto"/>
              </w:rPr>
            </w:pPr>
          </w:p>
        </w:tc>
        <w:tc>
          <w:tcPr>
            <w:tcW w:w="19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970" w:type="dxa"/>
            <w:vAlign w:val="bottom"/>
            <w:tcBorders>
              <w:bottom w:val="single" w:sz="8" w:color="auto"/>
            </w:tcBorders>
            <w:shd w:val="clear" w:color="auto" w:fill="DDDDDD"/>
          </w:tcPr>
          <w:p>
            <w:pPr>
              <w:spacing w:after="0"/>
              <w:rPr>
                <w:sz w:val="17"/>
                <w:szCs w:val="17"/>
                <w:color w:val="auto"/>
              </w:rPr>
            </w:pPr>
          </w:p>
        </w:tc>
        <w:tc>
          <w:tcPr>
            <w:tcW w:w="150" w:type="dxa"/>
            <w:vAlign w:val="bottom"/>
            <w:tcBorders>
              <w:bottom w:val="single" w:sz="8" w:color="auto"/>
            </w:tcBorders>
            <w:shd w:val="clear" w:color="auto" w:fill="DDDDDD"/>
          </w:tcPr>
          <w:p>
            <w:pPr>
              <w:spacing w:after="0"/>
              <w:rPr>
                <w:sz w:val="17"/>
                <w:szCs w:val="17"/>
                <w:color w:val="auto"/>
              </w:rPr>
            </w:pPr>
          </w:p>
        </w:tc>
      </w:tr>
      <w:tr>
        <w:trPr>
          <w:trHeight w:val="210"/>
        </w:trPr>
        <w:tc>
          <w:tcPr>
            <w:tcW w:w="426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Fixed Rate RMBS</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10,615,570</w:t>
            </w:r>
          </w:p>
        </w:tc>
        <w:tc>
          <w:tcPr>
            <w:tcW w:w="380" w:type="dxa"/>
            <w:vAlign w:val="bottom"/>
            <w:tcBorders>
              <w:bottom w:val="single" w:sz="8" w:color="DDDDDD"/>
            </w:tcBorders>
          </w:tcPr>
          <w:p>
            <w:pPr>
              <w:spacing w:after="0"/>
              <w:rPr>
                <w:sz w:val="18"/>
                <w:szCs w:val="18"/>
                <w:color w:val="auto"/>
              </w:rPr>
            </w:pPr>
          </w:p>
        </w:tc>
        <w:tc>
          <w:tcPr>
            <w:tcW w:w="105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34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90" w:type="dxa"/>
            <w:vAlign w:val="bottom"/>
            <w:tcBorders>
              <w:bottom w:val="single" w:sz="8" w:color="DDDDDD"/>
            </w:tcBorders>
          </w:tcPr>
          <w:p>
            <w:pPr>
              <w:spacing w:after="0"/>
              <w:rPr>
                <w:sz w:val="18"/>
                <w:szCs w:val="18"/>
                <w:color w:val="auto"/>
              </w:rPr>
            </w:pP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tcBorders>
              <w:bottom w:val="single" w:sz="8" w:color="DDDDDD"/>
            </w:tcBorders>
          </w:tcPr>
          <w:p>
            <w:pPr>
              <w:spacing w:after="0"/>
              <w:rPr>
                <w:sz w:val="18"/>
                <w:szCs w:val="18"/>
                <w:color w:val="auto"/>
              </w:rPr>
            </w:pPr>
          </w:p>
        </w:tc>
        <w:tc>
          <w:tcPr>
            <w:tcW w:w="11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1-Jan-56</w:t>
            </w:r>
          </w:p>
        </w:tc>
      </w:tr>
      <w:tr>
        <w:trPr>
          <w:trHeight w:val="196"/>
        </w:trPr>
        <w:tc>
          <w:tcPr>
            <w:tcW w:w="426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13,088</w:t>
            </w:r>
          </w:p>
        </w:tc>
        <w:tc>
          <w:tcPr>
            <w:tcW w:w="380" w:type="dxa"/>
            <w:vAlign w:val="bottom"/>
            <w:tcBorders>
              <w:bottom w:val="single" w:sz="8" w:color="auto"/>
            </w:tcBorders>
            <w:shd w:val="clear" w:color="auto" w:fill="DDDDDD"/>
          </w:tcPr>
          <w:p>
            <w:pPr>
              <w:spacing w:after="0"/>
              <w:rPr>
                <w:sz w:val="17"/>
                <w:szCs w:val="17"/>
                <w:color w:val="auto"/>
              </w:rPr>
            </w:pPr>
          </w:p>
        </w:tc>
        <w:tc>
          <w:tcPr>
            <w:tcW w:w="89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97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3.25</w:t>
            </w:r>
          </w:p>
        </w:tc>
        <w:tc>
          <w:tcPr>
            <w:tcW w:w="17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9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210</w:t>
            </w:r>
          </w:p>
        </w:tc>
        <w:tc>
          <w:tcPr>
            <w:tcW w:w="300" w:type="dxa"/>
            <w:vAlign w:val="bottom"/>
            <w:tcBorders>
              <w:bottom w:val="single" w:sz="8" w:color="auto"/>
            </w:tcBorders>
            <w:shd w:val="clear" w:color="auto" w:fill="DDDDDD"/>
          </w:tcPr>
          <w:p>
            <w:pPr>
              <w:spacing w:after="0"/>
              <w:rPr>
                <w:sz w:val="17"/>
                <w:szCs w:val="17"/>
                <w:color w:val="auto"/>
              </w:rPr>
            </w:pPr>
          </w:p>
        </w:tc>
        <w:tc>
          <w:tcPr>
            <w:tcW w:w="1120" w:type="dxa"/>
            <w:vAlign w:val="bottom"/>
            <w:tcBorders>
              <w:bottom w:val="single" w:sz="8" w:color="auto"/>
            </w:tcBorders>
            <w:gridSpan w:val="2"/>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25-Jul-48</w:t>
            </w:r>
          </w:p>
        </w:tc>
      </w:tr>
      <w:tr>
        <w:trPr>
          <w:trHeight w:val="230"/>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Mortgage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10,628,658</w:t>
            </w:r>
          </w:p>
        </w:tc>
        <w:tc>
          <w:tcPr>
            <w:tcW w:w="380" w:type="dxa"/>
            <w:vAlign w:val="bottom"/>
            <w:tcBorders>
              <w:bottom w:val="single" w:sz="8" w:color="auto"/>
            </w:tcBorders>
          </w:tcPr>
          <w:p>
            <w:pPr>
              <w:spacing w:after="0"/>
              <w:rPr>
                <w:sz w:val="19"/>
                <w:szCs w:val="19"/>
                <w:color w:val="auto"/>
              </w:rPr>
            </w:pPr>
          </w:p>
        </w:tc>
        <w:tc>
          <w:tcPr>
            <w:tcW w:w="105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9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1-Jan-56</w:t>
            </w:r>
          </w:p>
        </w:tc>
      </w:tr>
      <w:tr>
        <w:trPr>
          <w:trHeight w:val="45"/>
        </w:trPr>
        <w:tc>
          <w:tcPr>
            <w:tcW w:w="4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9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70" w:type="dxa"/>
            <w:vAlign w:val="bottom"/>
            <w:tcBorders>
              <w:bottom w:val="single" w:sz="8" w:color="auto"/>
            </w:tcBorders>
          </w:tcPr>
          <w:p>
            <w:pPr>
              <w:spacing w:after="0"/>
              <w:rPr>
                <w:sz w:val="3"/>
                <w:szCs w:val="3"/>
                <w:color w:val="auto"/>
              </w:rPr>
            </w:pPr>
          </w:p>
        </w:tc>
        <w:tc>
          <w:tcPr>
            <w:tcW w:w="170" w:type="dxa"/>
            <w:vAlign w:val="bottom"/>
            <w:tcBorders>
              <w:bottom w:val="single" w:sz="8" w:color="auto"/>
            </w:tcBorders>
          </w:tcPr>
          <w:p>
            <w:pPr>
              <w:spacing w:after="0"/>
              <w:rPr>
                <w:sz w:val="3"/>
                <w:szCs w:val="3"/>
                <w:color w:val="auto"/>
              </w:rPr>
            </w:pPr>
          </w:p>
        </w:tc>
        <w:tc>
          <w:tcPr>
            <w:tcW w:w="19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70" w:type="dxa"/>
            <w:vAlign w:val="bottom"/>
            <w:tcBorders>
              <w:bottom w:val="single" w:sz="8" w:color="auto"/>
            </w:tcBorders>
          </w:tcPr>
          <w:p>
            <w:pPr>
              <w:spacing w:after="0"/>
              <w:rPr>
                <w:sz w:val="3"/>
                <w:szCs w:val="3"/>
                <w:color w:val="auto"/>
              </w:rPr>
            </w:pPr>
          </w:p>
        </w:tc>
        <w:tc>
          <w:tcPr>
            <w:tcW w:w="150" w:type="dxa"/>
            <w:vAlign w:val="bottom"/>
            <w:tcBorders>
              <w:bottom w:val="single" w:sz="8" w:color="auto"/>
            </w:tcBorders>
          </w:tcPr>
          <w:p>
            <w:pPr>
              <w:spacing w:after="0"/>
              <w:rPr>
                <w:sz w:val="3"/>
                <w:szCs w:val="3"/>
                <w:color w:val="auto"/>
              </w:rPr>
            </w:pPr>
          </w:p>
        </w:tc>
      </w:tr>
      <w:tr>
        <w:trPr>
          <w:trHeight w:val="174"/>
        </w:trPr>
        <w:tc>
          <w:tcPr>
            <w:tcW w:w="4260" w:type="dxa"/>
            <w:vAlign w:val="bottom"/>
            <w:tcBorders>
              <w:top w:val="single" w:sz="8" w:color="DDDDDD"/>
              <w:bottom w:val="single" w:sz="8" w:color="auto"/>
            </w:tcBorders>
            <w:shd w:val="clear" w:color="auto" w:fill="DDDDDD"/>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top w:val="single" w:sz="8" w:color="DDDDDD"/>
              <w:bottom w:val="single" w:sz="8" w:color="auto"/>
            </w:tcBorders>
            <w:shd w:val="clear" w:color="auto" w:fill="DDDDDD"/>
          </w:tcPr>
          <w:p>
            <w:pPr>
              <w:spacing w:after="0"/>
              <w:rPr>
                <w:sz w:val="15"/>
                <w:szCs w:val="15"/>
                <w:color w:val="auto"/>
              </w:rPr>
            </w:pPr>
          </w:p>
        </w:tc>
        <w:tc>
          <w:tcPr>
            <w:tcW w:w="960" w:type="dxa"/>
            <w:vAlign w:val="bottom"/>
            <w:tcBorders>
              <w:top w:val="single" w:sz="8" w:color="DDDDDD"/>
              <w:bottom w:val="single" w:sz="8" w:color="auto"/>
            </w:tcBorders>
            <w:shd w:val="clear" w:color="auto" w:fill="DDDDDD"/>
          </w:tcPr>
          <w:p>
            <w:pPr>
              <w:spacing w:after="0"/>
              <w:rPr>
                <w:sz w:val="15"/>
                <w:szCs w:val="15"/>
                <w:color w:val="auto"/>
              </w:rPr>
            </w:pPr>
          </w:p>
        </w:tc>
        <w:tc>
          <w:tcPr>
            <w:tcW w:w="380" w:type="dxa"/>
            <w:vAlign w:val="bottom"/>
            <w:tcBorders>
              <w:top w:val="single" w:sz="8" w:color="DDDDDD"/>
              <w:bottom w:val="single" w:sz="8" w:color="auto"/>
            </w:tcBorders>
            <w:shd w:val="clear" w:color="auto" w:fill="DDDDDD"/>
          </w:tcPr>
          <w:p>
            <w:pPr>
              <w:spacing w:after="0"/>
              <w:rPr>
                <w:sz w:val="15"/>
                <w:szCs w:val="15"/>
                <w:color w:val="auto"/>
              </w:rPr>
            </w:pPr>
          </w:p>
        </w:tc>
        <w:tc>
          <w:tcPr>
            <w:tcW w:w="890" w:type="dxa"/>
            <w:vAlign w:val="bottom"/>
            <w:tcBorders>
              <w:top w:val="single" w:sz="8" w:color="DDDDDD"/>
              <w:bottom w:val="single" w:sz="8" w:color="auto"/>
            </w:tcBorders>
            <w:shd w:val="clear" w:color="auto" w:fill="DDDDDD"/>
          </w:tcPr>
          <w:p>
            <w:pPr>
              <w:spacing w:after="0"/>
              <w:rPr>
                <w:sz w:val="15"/>
                <w:szCs w:val="15"/>
                <w:color w:val="auto"/>
              </w:rPr>
            </w:pPr>
          </w:p>
        </w:tc>
        <w:tc>
          <w:tcPr>
            <w:tcW w:w="160" w:type="dxa"/>
            <w:vAlign w:val="bottom"/>
            <w:tcBorders>
              <w:top w:val="single" w:sz="8" w:color="DDDDDD"/>
              <w:bottom w:val="single" w:sz="8" w:color="auto"/>
            </w:tcBorders>
            <w:shd w:val="clear" w:color="auto" w:fill="DDDDDD"/>
          </w:tcPr>
          <w:p>
            <w:pPr>
              <w:spacing w:after="0"/>
              <w:rPr>
                <w:sz w:val="15"/>
                <w:szCs w:val="15"/>
                <w:color w:val="auto"/>
              </w:rPr>
            </w:pPr>
          </w:p>
        </w:tc>
        <w:tc>
          <w:tcPr>
            <w:tcW w:w="100" w:type="dxa"/>
            <w:vAlign w:val="bottom"/>
            <w:tcBorders>
              <w:top w:val="single" w:sz="8" w:color="DDDDDD"/>
              <w:bottom w:val="single" w:sz="8" w:color="auto"/>
            </w:tcBorders>
            <w:shd w:val="clear" w:color="auto" w:fill="DDDDDD"/>
          </w:tcPr>
          <w:p>
            <w:pPr>
              <w:spacing w:after="0"/>
              <w:rPr>
                <w:sz w:val="15"/>
                <w:szCs w:val="15"/>
                <w:color w:val="auto"/>
              </w:rPr>
            </w:pPr>
          </w:p>
        </w:tc>
        <w:tc>
          <w:tcPr>
            <w:tcW w:w="100" w:type="dxa"/>
            <w:vAlign w:val="bottom"/>
            <w:tcBorders>
              <w:top w:val="single" w:sz="8" w:color="DDDDDD"/>
              <w:bottom w:val="single" w:sz="8" w:color="auto"/>
            </w:tcBorders>
            <w:shd w:val="clear" w:color="auto" w:fill="DDDDDD"/>
          </w:tcPr>
          <w:p>
            <w:pPr>
              <w:spacing w:after="0"/>
              <w:rPr>
                <w:sz w:val="15"/>
                <w:szCs w:val="15"/>
                <w:color w:val="auto"/>
              </w:rPr>
            </w:pPr>
          </w:p>
        </w:tc>
        <w:tc>
          <w:tcPr>
            <w:tcW w:w="970" w:type="dxa"/>
            <w:vAlign w:val="bottom"/>
            <w:tcBorders>
              <w:top w:val="single" w:sz="8" w:color="DDDDDD"/>
              <w:bottom w:val="single" w:sz="8" w:color="auto"/>
            </w:tcBorders>
            <w:shd w:val="clear" w:color="auto" w:fill="DDDDDD"/>
          </w:tcPr>
          <w:p>
            <w:pPr>
              <w:spacing w:after="0"/>
              <w:rPr>
                <w:sz w:val="15"/>
                <w:szCs w:val="15"/>
                <w:color w:val="auto"/>
              </w:rPr>
            </w:pPr>
          </w:p>
        </w:tc>
        <w:tc>
          <w:tcPr>
            <w:tcW w:w="170" w:type="dxa"/>
            <w:vAlign w:val="bottom"/>
            <w:tcBorders>
              <w:top w:val="single" w:sz="8" w:color="DDDDDD"/>
              <w:bottom w:val="single" w:sz="8" w:color="auto"/>
            </w:tcBorders>
            <w:shd w:val="clear" w:color="auto" w:fill="DDDDDD"/>
          </w:tcPr>
          <w:p>
            <w:pPr>
              <w:spacing w:after="0"/>
              <w:rPr>
                <w:sz w:val="15"/>
                <w:szCs w:val="15"/>
                <w:color w:val="auto"/>
              </w:rPr>
            </w:pPr>
          </w:p>
        </w:tc>
        <w:tc>
          <w:tcPr>
            <w:tcW w:w="190" w:type="dxa"/>
            <w:vAlign w:val="bottom"/>
            <w:tcBorders>
              <w:top w:val="single" w:sz="8" w:color="DDDDDD"/>
              <w:bottom w:val="single" w:sz="8" w:color="auto"/>
            </w:tcBorders>
            <w:shd w:val="clear" w:color="auto" w:fill="DDDDDD"/>
          </w:tcPr>
          <w:p>
            <w:pPr>
              <w:spacing w:after="0"/>
              <w:rPr>
                <w:sz w:val="15"/>
                <w:szCs w:val="15"/>
                <w:color w:val="auto"/>
              </w:rPr>
            </w:pPr>
          </w:p>
        </w:tc>
        <w:tc>
          <w:tcPr>
            <w:tcW w:w="980" w:type="dxa"/>
            <w:vAlign w:val="bottom"/>
            <w:tcBorders>
              <w:top w:val="single" w:sz="8" w:color="DDDDDD"/>
              <w:bottom w:val="single" w:sz="8" w:color="auto"/>
            </w:tcBorders>
            <w:shd w:val="clear" w:color="auto" w:fill="DDDDDD"/>
          </w:tcPr>
          <w:p>
            <w:pPr>
              <w:spacing w:after="0"/>
              <w:rPr>
                <w:sz w:val="15"/>
                <w:szCs w:val="15"/>
                <w:color w:val="auto"/>
              </w:rPr>
            </w:pPr>
          </w:p>
        </w:tc>
        <w:tc>
          <w:tcPr>
            <w:tcW w:w="300" w:type="dxa"/>
            <w:vAlign w:val="bottom"/>
            <w:tcBorders>
              <w:top w:val="single" w:sz="8" w:color="DDDDDD"/>
              <w:bottom w:val="single" w:sz="8" w:color="auto"/>
            </w:tcBorders>
            <w:shd w:val="clear" w:color="auto" w:fill="DDDDDD"/>
          </w:tcPr>
          <w:p>
            <w:pPr>
              <w:spacing w:after="0"/>
              <w:rPr>
                <w:sz w:val="15"/>
                <w:szCs w:val="15"/>
                <w:color w:val="auto"/>
              </w:rPr>
            </w:pPr>
          </w:p>
        </w:tc>
        <w:tc>
          <w:tcPr>
            <w:tcW w:w="970" w:type="dxa"/>
            <w:vAlign w:val="bottom"/>
            <w:tcBorders>
              <w:top w:val="single" w:sz="8" w:color="DDDDDD"/>
              <w:bottom w:val="single" w:sz="8" w:color="auto"/>
            </w:tcBorders>
            <w:shd w:val="clear" w:color="auto" w:fill="DDDDDD"/>
          </w:tcPr>
          <w:p>
            <w:pPr>
              <w:spacing w:after="0"/>
              <w:rPr>
                <w:sz w:val="15"/>
                <w:szCs w:val="15"/>
                <w:color w:val="auto"/>
              </w:rPr>
            </w:pPr>
          </w:p>
        </w:tc>
        <w:tc>
          <w:tcPr>
            <w:tcW w:w="150" w:type="dxa"/>
            <w:vAlign w:val="bottom"/>
            <w:tcBorders>
              <w:top w:val="single" w:sz="8" w:color="DDDDDD"/>
              <w:bottom w:val="single" w:sz="8" w:color="auto"/>
            </w:tcBorders>
            <w:shd w:val="clear" w:color="auto" w:fill="DDDDDD"/>
          </w:tcPr>
          <w:p>
            <w:pPr>
              <w:spacing w:after="0"/>
              <w:rPr>
                <w:sz w:val="15"/>
                <w:szCs w:val="15"/>
                <w:color w:val="auto"/>
              </w:rPr>
            </w:pPr>
          </w:p>
        </w:tc>
      </w:tr>
      <w:tr>
        <w:trPr>
          <w:trHeight w:val="213"/>
        </w:trPr>
        <w:tc>
          <w:tcPr>
            <w:tcW w:w="426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Fixed Rate RMBS</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5,237,812</w:t>
            </w:r>
          </w:p>
        </w:tc>
        <w:tc>
          <w:tcPr>
            <w:tcW w:w="380" w:type="dxa"/>
            <w:vAlign w:val="bottom"/>
            <w:tcBorders>
              <w:bottom w:val="single" w:sz="8" w:color="DDDDDD"/>
            </w:tcBorders>
          </w:tcPr>
          <w:p>
            <w:pPr>
              <w:spacing w:after="0"/>
              <w:rPr>
                <w:sz w:val="18"/>
                <w:szCs w:val="18"/>
                <w:color w:val="auto"/>
              </w:rPr>
            </w:pPr>
          </w:p>
        </w:tc>
        <w:tc>
          <w:tcPr>
            <w:tcW w:w="105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134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90" w:type="dxa"/>
            <w:vAlign w:val="bottom"/>
            <w:tcBorders>
              <w:bottom w:val="single" w:sz="8" w:color="DDDDDD"/>
            </w:tcBorders>
          </w:tcPr>
          <w:p>
            <w:pPr>
              <w:spacing w:after="0"/>
              <w:rPr>
                <w:sz w:val="18"/>
                <w:szCs w:val="18"/>
                <w:color w:val="auto"/>
              </w:rPr>
            </w:pPr>
          </w:p>
        </w:tc>
        <w:tc>
          <w:tcPr>
            <w:tcW w:w="9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tcBorders>
              <w:bottom w:val="single" w:sz="8" w:color="DDDDDD"/>
            </w:tcBorders>
          </w:tcPr>
          <w:p>
            <w:pPr>
              <w:spacing w:after="0"/>
              <w:rPr>
                <w:sz w:val="18"/>
                <w:szCs w:val="18"/>
                <w:color w:val="auto"/>
              </w:rPr>
            </w:pPr>
          </w:p>
        </w:tc>
        <w:tc>
          <w:tcPr>
            <w:tcW w:w="112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1-Nov-54</w:t>
            </w:r>
          </w:p>
        </w:tc>
      </w:tr>
      <w:tr>
        <w:trPr>
          <w:trHeight w:val="194"/>
        </w:trPr>
        <w:tc>
          <w:tcPr>
            <w:tcW w:w="4260" w:type="dxa"/>
            <w:vAlign w:val="bottom"/>
            <w:tcBorders>
              <w:bottom w:val="single" w:sz="8" w:color="auto"/>
            </w:tcBorders>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15,498</w:t>
            </w:r>
          </w:p>
        </w:tc>
        <w:tc>
          <w:tcPr>
            <w:tcW w:w="380" w:type="dxa"/>
            <w:vAlign w:val="bottom"/>
            <w:tcBorders>
              <w:bottom w:val="single" w:sz="8" w:color="auto"/>
            </w:tcBorders>
            <w:shd w:val="clear" w:color="auto" w:fill="DDDDDD"/>
          </w:tcPr>
          <w:p>
            <w:pPr>
              <w:spacing w:after="0"/>
              <w:rPr>
                <w:sz w:val="16"/>
                <w:szCs w:val="16"/>
                <w:color w:val="auto"/>
              </w:rPr>
            </w:pPr>
          </w:p>
        </w:tc>
        <w:tc>
          <w:tcPr>
            <w:tcW w:w="89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7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3.19</w:t>
            </w:r>
          </w:p>
        </w:tc>
        <w:tc>
          <w:tcPr>
            <w:tcW w:w="17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9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222</w:t>
            </w:r>
          </w:p>
        </w:tc>
        <w:tc>
          <w:tcPr>
            <w:tcW w:w="300" w:type="dxa"/>
            <w:vAlign w:val="bottom"/>
            <w:tcBorders>
              <w:bottom w:val="single" w:sz="8" w:color="auto"/>
            </w:tcBorders>
            <w:shd w:val="clear" w:color="auto" w:fill="DDDDDD"/>
          </w:tcPr>
          <w:p>
            <w:pPr>
              <w:spacing w:after="0"/>
              <w:rPr>
                <w:sz w:val="16"/>
                <w:szCs w:val="16"/>
                <w:color w:val="auto"/>
              </w:rPr>
            </w:pPr>
          </w:p>
        </w:tc>
        <w:tc>
          <w:tcPr>
            <w:tcW w:w="1120" w:type="dxa"/>
            <w:vAlign w:val="bottom"/>
            <w:tcBorders>
              <w:bottom w:val="single" w:sz="8" w:color="auto"/>
            </w:tcBorders>
            <w:gridSpan w:val="2"/>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25-Jul-48</w:t>
            </w:r>
          </w:p>
        </w:tc>
      </w:tr>
      <w:tr>
        <w:trPr>
          <w:trHeight w:val="23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Mortgage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5,253,310</w:t>
            </w:r>
          </w:p>
        </w:tc>
        <w:tc>
          <w:tcPr>
            <w:tcW w:w="380" w:type="dxa"/>
            <w:vAlign w:val="bottom"/>
            <w:tcBorders>
              <w:bottom w:val="single" w:sz="8" w:color="auto"/>
            </w:tcBorders>
          </w:tcPr>
          <w:p>
            <w:pPr>
              <w:spacing w:after="0"/>
              <w:rPr>
                <w:sz w:val="20"/>
                <w:szCs w:val="20"/>
                <w:color w:val="auto"/>
              </w:rPr>
            </w:pPr>
          </w:p>
        </w:tc>
        <w:tc>
          <w:tcPr>
            <w:tcW w:w="105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9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1-Nov-54</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9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9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r>
      <w:tr>
        <w:trPr>
          <w:trHeight w:val="43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9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70" w:type="dxa"/>
            <w:vAlign w:val="bottom"/>
            <w:tcBorders>
              <w:bottom w:val="single" w:sz="8" w:color="auto"/>
            </w:tcBorders>
          </w:tcPr>
          <w:p>
            <w:pPr>
              <w:spacing w:after="0"/>
              <w:rPr>
                <w:sz w:val="24"/>
                <w:szCs w:val="24"/>
                <w:color w:val="auto"/>
              </w:rPr>
            </w:pPr>
          </w:p>
        </w:tc>
        <w:tc>
          <w:tcPr>
            <w:tcW w:w="170" w:type="dxa"/>
            <w:vAlign w:val="bottom"/>
            <w:tcBorders>
              <w:bottom w:val="single" w:sz="8" w:color="auto"/>
            </w:tcBorders>
          </w:tcPr>
          <w:p>
            <w:pPr>
              <w:spacing w:after="0"/>
              <w:rPr>
                <w:sz w:val="24"/>
                <w:szCs w:val="24"/>
                <w:color w:val="auto"/>
              </w:rPr>
            </w:pPr>
          </w:p>
        </w:tc>
        <w:tc>
          <w:tcPr>
            <w:tcW w:w="19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r>
      <w:tr>
        <w:trPr>
          <w:trHeight w:val="210"/>
        </w:trPr>
        <w:tc>
          <w:tcPr>
            <w:tcW w:w="4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9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2"/>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50"/>
              <w:spacing w:after="0" w:line="193"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9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06"/>
        </w:trPr>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Entire</w:t>
            </w:r>
          </w:p>
        </w:tc>
        <w:tc>
          <w:tcPr>
            <w:tcW w:w="19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Entire</w:t>
            </w:r>
          </w:p>
        </w:tc>
      </w:tr>
      <w:tr>
        <w:trPr>
          <w:trHeight w:val="236"/>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5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9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Portfolio</w:t>
            </w:r>
          </w:p>
        </w:tc>
      </w:tr>
      <w:tr>
        <w:trPr>
          <w:trHeight w:val="206"/>
        </w:trPr>
        <w:tc>
          <w:tcPr>
            <w:tcW w:w="4260"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Fannie Mae</w:t>
            </w:r>
          </w:p>
        </w:tc>
        <w:tc>
          <w:tcPr>
            <w:tcW w:w="22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38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050" w:type="dxa"/>
            <w:vAlign w:val="bottom"/>
            <w:gridSpan w:val="2"/>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5,675,461</w:t>
            </w: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97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53.4</w:t>
            </w:r>
          </w:p>
        </w:tc>
        <w:tc>
          <w:tcPr>
            <w:tcW w:w="17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9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3,693,032</w:t>
            </w:r>
          </w:p>
        </w:tc>
        <w:tc>
          <w:tcPr>
            <w:tcW w:w="300" w:type="dxa"/>
            <w:vAlign w:val="bottom"/>
            <w:shd w:val="clear" w:color="auto" w:fill="DDDDDD"/>
          </w:tcPr>
          <w:p>
            <w:pPr>
              <w:spacing w:after="0"/>
              <w:rPr>
                <w:sz w:val="17"/>
                <w:szCs w:val="17"/>
                <w:color w:val="auto"/>
              </w:rPr>
            </w:pPr>
          </w:p>
        </w:tc>
        <w:tc>
          <w:tcPr>
            <w:tcW w:w="97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70.3</w:t>
            </w:r>
          </w:p>
        </w:tc>
        <w:tc>
          <w:tcPr>
            <w:tcW w:w="15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21"/>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Freddie Mac</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5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4,953,197</w:t>
            </w: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9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1,560,278</w:t>
            </w: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229"/>
        </w:trPr>
        <w:tc>
          <w:tcPr>
            <w:tcW w:w="426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Total Portfolio</w:t>
            </w:r>
          </w:p>
        </w:tc>
        <w:tc>
          <w:tcPr>
            <w:tcW w:w="220" w:type="dxa"/>
            <w:vAlign w:val="bottom"/>
            <w:tcBorders>
              <w:bottom w:val="single" w:sz="8" w:color="DDDDDD"/>
            </w:tcBorders>
            <w:shd w:val="clear" w:color="auto" w:fill="DDDDDD"/>
          </w:tcPr>
          <w:p>
            <w:pPr>
              <w:spacing w:after="0"/>
              <w:rPr>
                <w:sz w:val="19"/>
                <w:szCs w:val="19"/>
                <w:color w:val="auto"/>
              </w:rPr>
            </w:pPr>
          </w:p>
        </w:tc>
        <w:tc>
          <w:tcPr>
            <w:tcW w:w="960" w:type="dxa"/>
            <w:vAlign w:val="bottom"/>
            <w:tcBorders>
              <w:bottom w:val="single" w:sz="8" w:color="DDDDDD"/>
            </w:tcBorders>
            <w:shd w:val="clear" w:color="auto" w:fill="DDDDDD"/>
          </w:tcPr>
          <w:p>
            <w:pPr>
              <w:spacing w:after="0"/>
              <w:rPr>
                <w:sz w:val="19"/>
                <w:szCs w:val="19"/>
                <w:color w:val="auto"/>
              </w:rPr>
            </w:pPr>
          </w:p>
        </w:tc>
        <w:tc>
          <w:tcPr>
            <w:tcW w:w="3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050" w:type="dxa"/>
            <w:vAlign w:val="bottom"/>
            <w:tcBorders>
              <w:bottom w:val="single" w:sz="8" w:color="DDDDDD"/>
            </w:tcBorders>
            <w:gridSpan w:val="2"/>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10,628,658</w:t>
            </w:r>
          </w:p>
        </w:tc>
        <w:tc>
          <w:tcPr>
            <w:tcW w:w="10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9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100.0</w:t>
            </w:r>
          </w:p>
        </w:tc>
        <w:tc>
          <w:tcPr>
            <w:tcW w:w="1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93"/>
              </w:rPr>
              <w:t>%</w:t>
            </w:r>
          </w:p>
        </w:tc>
        <w:tc>
          <w:tcPr>
            <w:tcW w:w="19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5,253,310</w:t>
            </w:r>
          </w:p>
        </w:tc>
        <w:tc>
          <w:tcPr>
            <w:tcW w:w="300" w:type="dxa"/>
            <w:vAlign w:val="bottom"/>
            <w:tcBorders>
              <w:bottom w:val="single" w:sz="8" w:color="DDDDDD"/>
            </w:tcBorders>
            <w:shd w:val="clear" w:color="auto" w:fill="DDDDDD"/>
          </w:tcPr>
          <w:p>
            <w:pPr>
              <w:spacing w:after="0"/>
              <w:rPr>
                <w:sz w:val="19"/>
                <w:szCs w:val="19"/>
                <w:color w:val="auto"/>
              </w:rPr>
            </w:pPr>
          </w:p>
        </w:tc>
        <w:tc>
          <w:tcPr>
            <w:tcW w:w="9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100.0</w:t>
            </w:r>
          </w:p>
        </w:tc>
        <w:tc>
          <w:tcPr>
            <w:tcW w:w="15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
        </w:trPr>
        <w:tc>
          <w:tcPr>
            <w:tcW w:w="4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9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7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9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7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784" w:right="720" w:bottom="0" w:gutter="0" w:footer="0" w:header="0"/>
        </w:sectPr>
      </w:pPr>
    </w:p>
    <w:bookmarkStart w:id="58" w:name="page59"/>
    <w:bookmarkEnd w:id="58"/>
    <w:p>
      <w:pPr>
        <w:ind w:right="180"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2025, the Company's portfolio had an effective duration of 2.513, indicating that an interest rate increase of 1.0% would be expected to cause a 2.513% decrease in the value of the RMBS in the Company’s investment portfolio. As</w:t>
      </w:r>
    </w:p>
    <w:p>
      <w:pPr>
        <w:spacing w:after="0" w:line="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of December 31, 2024, the Company's portfolio had an effective duration of 4.200, indicating that an interest rate increase of 1.0% would be expected to cause a 4.200% decrease in the value of the RMBS in the Company’s investment portfolio. These figures do not include the effect of the Company’s funding cost hedges. Effective duration quotes for individual investments are obtained from The Yield Book, Inc.</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a summary of portfolio assets acquired during the years ended December 31, 2025 and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5" w:type="dxa"/>
            <w:vAlign w:val="bottom"/>
            <w:tcBorders>
              <w:top w:val="single" w:sz="8" w:color="auto"/>
              <w:bottom w:val="single" w:sz="8" w:color="auto"/>
            </w:tcBorders>
          </w:tcPr>
          <w:p>
            <w:pPr>
              <w:spacing w:after="0"/>
              <w:rPr>
                <w:sz w:val="18"/>
                <w:szCs w:val="18"/>
                <w:color w:val="auto"/>
              </w:rPr>
            </w:pPr>
          </w:p>
        </w:tc>
        <w:tc>
          <w:tcPr>
            <w:tcW w:w="125" w:type="dxa"/>
            <w:vAlign w:val="bottom"/>
            <w:tcBorders>
              <w:top w:val="single" w:sz="8" w:color="auto"/>
              <w:bottom w:val="single" w:sz="8" w:color="auto"/>
            </w:tcBorders>
          </w:tcPr>
          <w:p>
            <w:pPr>
              <w:spacing w:after="0"/>
              <w:rPr>
                <w:sz w:val="18"/>
                <w:szCs w:val="18"/>
                <w:color w:val="auto"/>
              </w:rPr>
            </w:pPr>
          </w:p>
        </w:tc>
        <w:tc>
          <w:tcPr>
            <w:tcW w:w="117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7" w:type="dxa"/>
            <w:vAlign w:val="bottom"/>
            <w:tcBorders>
              <w:top w:val="single" w:sz="8" w:color="auto"/>
              <w:bottom w:val="single" w:sz="8" w:color="auto"/>
            </w:tcBorders>
          </w:tcPr>
          <w:p>
            <w:pPr>
              <w:jc w:val="center"/>
              <w:ind w:right="27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3" w:type="dxa"/>
            <w:vAlign w:val="bottom"/>
            <w:tcBorders>
              <w:top w:val="single" w:sz="8" w:color="auto"/>
              <w:bottom w:val="single" w:sz="8" w:color="auto"/>
            </w:tcBorders>
          </w:tcPr>
          <w:p>
            <w:pPr>
              <w:spacing w:after="0"/>
              <w:rPr>
                <w:sz w:val="18"/>
                <w:szCs w:val="18"/>
                <w:color w:val="auto"/>
              </w:rPr>
            </w:pPr>
          </w:p>
        </w:tc>
        <w:tc>
          <w:tcPr>
            <w:tcW w:w="238" w:type="dxa"/>
            <w:vAlign w:val="bottom"/>
            <w:tcBorders>
              <w:top w:val="single" w:sz="8" w:color="auto"/>
              <w:bottom w:val="single" w:sz="8" w:color="auto"/>
            </w:tcBorders>
          </w:tcPr>
          <w:p>
            <w:pPr>
              <w:spacing w:after="0"/>
              <w:rPr>
                <w:sz w:val="18"/>
                <w:szCs w:val="18"/>
                <w:color w:val="auto"/>
              </w:rPr>
            </w:pPr>
          </w:p>
        </w:tc>
        <w:tc>
          <w:tcPr>
            <w:tcW w:w="133" w:type="dxa"/>
            <w:vAlign w:val="bottom"/>
            <w:tcBorders>
              <w:top w:val="single" w:sz="8" w:color="auto"/>
              <w:bottom w:val="single" w:sz="8" w:color="auto"/>
            </w:tcBorders>
          </w:tcPr>
          <w:p>
            <w:pPr>
              <w:spacing w:after="0"/>
              <w:rPr>
                <w:sz w:val="18"/>
                <w:szCs w:val="18"/>
                <w:color w:val="auto"/>
              </w:rPr>
            </w:pPr>
          </w:p>
        </w:tc>
        <w:tc>
          <w:tcPr>
            <w:tcW w:w="1161" w:type="dxa"/>
            <w:vAlign w:val="bottom"/>
            <w:tcBorders>
              <w:top w:val="single" w:sz="8" w:color="auto"/>
              <w:bottom w:val="single" w:sz="8" w:color="auto"/>
            </w:tcBorders>
          </w:tcPr>
          <w:p>
            <w:pPr>
              <w:spacing w:after="0"/>
              <w:rPr>
                <w:sz w:val="18"/>
                <w:szCs w:val="18"/>
                <w:color w:val="auto"/>
              </w:rPr>
            </w:pPr>
          </w:p>
        </w:tc>
        <w:tc>
          <w:tcPr>
            <w:tcW w:w="119" w:type="dxa"/>
            <w:vAlign w:val="bottom"/>
            <w:tcBorders>
              <w:top w:val="single" w:sz="8" w:color="auto"/>
              <w:bottom w:val="single" w:sz="8" w:color="auto"/>
            </w:tcBorders>
          </w:tcPr>
          <w:p>
            <w:pPr>
              <w:spacing w:after="0"/>
              <w:rPr>
                <w:sz w:val="18"/>
                <w:szCs w:val="18"/>
                <w:color w:val="auto"/>
              </w:rPr>
            </w:pPr>
          </w:p>
        </w:tc>
        <w:tc>
          <w:tcPr>
            <w:tcW w:w="1247" w:type="dxa"/>
            <w:vAlign w:val="bottom"/>
            <w:tcBorders>
              <w:top w:val="single" w:sz="8" w:color="auto"/>
              <w:bottom w:val="single" w:sz="8" w:color="auto"/>
            </w:tcBorders>
          </w:tcPr>
          <w:p>
            <w:pPr>
              <w:jc w:val="center"/>
              <w:ind w:right="31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3" w:type="dxa"/>
            <w:vAlign w:val="bottom"/>
            <w:tcBorders>
              <w:top w:val="single" w:sz="8" w:color="auto"/>
              <w:bottom w:val="single" w:sz="8" w:color="auto"/>
            </w:tcBorders>
          </w:tcPr>
          <w:p>
            <w:pPr>
              <w:spacing w:after="0"/>
              <w:rPr>
                <w:sz w:val="18"/>
                <w:szCs w:val="18"/>
                <w:color w:val="auto"/>
              </w:rPr>
            </w:pPr>
          </w:p>
        </w:tc>
        <w:tc>
          <w:tcPr>
            <w:tcW w:w="150" w:type="dxa"/>
            <w:vAlign w:val="bottom"/>
            <w:tcBorders>
              <w:top w:val="single" w:sz="8" w:color="auto"/>
              <w:bottom w:val="single" w:sz="8" w:color="auto"/>
            </w:tcBorders>
          </w:tcPr>
          <w:p>
            <w:pPr>
              <w:spacing w:after="0"/>
              <w:rPr>
                <w:sz w:val="18"/>
                <w:szCs w:val="18"/>
                <w:color w:val="auto"/>
              </w:rPr>
            </w:pPr>
          </w:p>
        </w:tc>
      </w:tr>
      <w:tr>
        <w:trPr>
          <w:trHeight w:val="180"/>
        </w:trPr>
        <w:tc>
          <w:tcPr>
            <w:tcW w:w="3105"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7" w:type="dxa"/>
            <w:vAlign w:val="bottom"/>
          </w:tcPr>
          <w:p>
            <w:pPr>
              <w:spacing w:after="0"/>
              <w:rPr>
                <w:sz w:val="15"/>
                <w:szCs w:val="15"/>
                <w:color w:val="auto"/>
              </w:rPr>
            </w:pPr>
          </w:p>
        </w:tc>
        <w:tc>
          <w:tcPr>
            <w:tcW w:w="1240" w:type="dxa"/>
            <w:vAlign w:val="bottom"/>
            <w:gridSpan w:val="2"/>
          </w:tcPr>
          <w:p>
            <w:pPr>
              <w:jc w:val="center"/>
              <w:ind w:right="225"/>
              <w:spacing w:after="0" w:line="18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33" w:type="dxa"/>
            <w:vAlign w:val="bottom"/>
          </w:tcPr>
          <w:p>
            <w:pPr>
              <w:spacing w:after="0"/>
              <w:rPr>
                <w:sz w:val="15"/>
                <w:szCs w:val="15"/>
                <w:color w:val="auto"/>
              </w:rPr>
            </w:pPr>
          </w:p>
        </w:tc>
        <w:tc>
          <w:tcPr>
            <w:tcW w:w="1161" w:type="dxa"/>
            <w:vAlign w:val="bottom"/>
          </w:tcPr>
          <w:p>
            <w:pPr>
              <w:spacing w:after="0"/>
              <w:rPr>
                <w:sz w:val="15"/>
                <w:szCs w:val="15"/>
                <w:color w:val="auto"/>
              </w:rPr>
            </w:pPr>
          </w:p>
        </w:tc>
        <w:tc>
          <w:tcPr>
            <w:tcW w:w="119" w:type="dxa"/>
            <w:vAlign w:val="bottom"/>
          </w:tcPr>
          <w:p>
            <w:pPr>
              <w:spacing w:after="0"/>
              <w:rPr>
                <w:sz w:val="15"/>
                <w:szCs w:val="15"/>
                <w:color w:val="auto"/>
              </w:rPr>
            </w:pPr>
          </w:p>
        </w:tc>
        <w:tc>
          <w:tcPr>
            <w:tcW w:w="1247" w:type="dxa"/>
            <w:vAlign w:val="bottom"/>
          </w:tcPr>
          <w:p>
            <w:pPr>
              <w:spacing w:after="0"/>
              <w:rPr>
                <w:sz w:val="15"/>
                <w:szCs w:val="15"/>
                <w:color w:val="auto"/>
              </w:rPr>
            </w:pPr>
          </w:p>
        </w:tc>
        <w:tc>
          <w:tcPr>
            <w:tcW w:w="1153" w:type="dxa"/>
            <w:vAlign w:val="bottom"/>
            <w:gridSpan w:val="2"/>
          </w:tcPr>
          <w:p>
            <w:pPr>
              <w:jc w:val="center"/>
              <w:ind w:right="137"/>
              <w:spacing w:after="0" w:line="181"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6"/>
        </w:trPr>
        <w:tc>
          <w:tcPr>
            <w:tcW w:w="3105" w:type="dxa"/>
            <w:vAlign w:val="bottom"/>
          </w:tcPr>
          <w:p>
            <w:pPr>
              <w:spacing w:after="0"/>
              <w:rPr>
                <w:sz w:val="17"/>
                <w:szCs w:val="17"/>
                <w:color w:val="auto"/>
              </w:rPr>
            </w:pPr>
          </w:p>
        </w:tc>
        <w:tc>
          <w:tcPr>
            <w:tcW w:w="125" w:type="dxa"/>
            <w:vAlign w:val="bottom"/>
          </w:tcPr>
          <w:p>
            <w:pPr>
              <w:spacing w:after="0"/>
              <w:rPr>
                <w:sz w:val="17"/>
                <w:szCs w:val="17"/>
                <w:color w:val="auto"/>
              </w:rPr>
            </w:pPr>
          </w:p>
        </w:tc>
        <w:tc>
          <w:tcPr>
            <w:tcW w:w="117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7" w:type="dxa"/>
            <w:vAlign w:val="bottom"/>
          </w:tcPr>
          <w:p>
            <w:pPr>
              <w:jc w:val="center"/>
              <w:ind w:right="277"/>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4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3" w:type="dxa"/>
            <w:vAlign w:val="bottom"/>
          </w:tcPr>
          <w:p>
            <w:pPr>
              <w:spacing w:after="0"/>
              <w:rPr>
                <w:sz w:val="17"/>
                <w:szCs w:val="17"/>
                <w:color w:val="auto"/>
              </w:rPr>
            </w:pPr>
          </w:p>
        </w:tc>
        <w:tc>
          <w:tcPr>
            <w:tcW w:w="1161" w:type="dxa"/>
            <w:vAlign w:val="bottom"/>
          </w:tcPr>
          <w:p>
            <w:pPr>
              <w:spacing w:after="0"/>
              <w:rPr>
                <w:sz w:val="17"/>
                <w:szCs w:val="17"/>
                <w:color w:val="auto"/>
              </w:rPr>
            </w:pPr>
          </w:p>
        </w:tc>
        <w:tc>
          <w:tcPr>
            <w:tcW w:w="119" w:type="dxa"/>
            <w:vAlign w:val="bottom"/>
          </w:tcPr>
          <w:p>
            <w:pPr>
              <w:spacing w:after="0"/>
              <w:rPr>
                <w:sz w:val="17"/>
                <w:szCs w:val="17"/>
                <w:color w:val="auto"/>
              </w:rPr>
            </w:pPr>
          </w:p>
        </w:tc>
        <w:tc>
          <w:tcPr>
            <w:tcW w:w="1247" w:type="dxa"/>
            <w:vAlign w:val="bottom"/>
          </w:tcPr>
          <w:p>
            <w:pPr>
              <w:jc w:val="center"/>
              <w:ind w:right="317"/>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53" w:type="dxa"/>
            <w:vAlign w:val="bottom"/>
            <w:gridSpan w:val="2"/>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36"/>
        </w:trPr>
        <w:tc>
          <w:tcPr>
            <w:tcW w:w="3105" w:type="dxa"/>
            <w:vAlign w:val="bottom"/>
            <w:tcBorders>
              <w:bottom w:val="single" w:sz="8" w:color="auto"/>
            </w:tcBorders>
          </w:tcPr>
          <w:p>
            <w:pPr>
              <w:spacing w:after="0"/>
              <w:rPr>
                <w:sz w:val="20"/>
                <w:szCs w:val="20"/>
                <w:color w:val="auto"/>
              </w:rPr>
            </w:pPr>
          </w:p>
        </w:tc>
        <w:tc>
          <w:tcPr>
            <w:tcW w:w="125" w:type="dxa"/>
            <w:vAlign w:val="bottom"/>
            <w:tcBorders>
              <w:bottom w:val="single" w:sz="8" w:color="auto"/>
            </w:tcBorders>
          </w:tcPr>
          <w:p>
            <w:pPr>
              <w:spacing w:after="0"/>
              <w:rPr>
                <w:sz w:val="20"/>
                <w:szCs w:val="20"/>
                <w:color w:val="auto"/>
              </w:rPr>
            </w:pPr>
          </w:p>
        </w:tc>
        <w:tc>
          <w:tcPr>
            <w:tcW w:w="117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Total Cost</w:t>
            </w:r>
          </w:p>
        </w:tc>
        <w:tc>
          <w:tcPr>
            <w:tcW w:w="100" w:type="dxa"/>
            <w:vAlign w:val="bottom"/>
            <w:tcBorders>
              <w:bottom w:val="single" w:sz="8" w:color="auto"/>
            </w:tcBorders>
          </w:tcPr>
          <w:p>
            <w:pPr>
              <w:spacing w:after="0"/>
              <w:rPr>
                <w:sz w:val="20"/>
                <w:szCs w:val="20"/>
                <w:color w:val="auto"/>
              </w:rPr>
            </w:pPr>
          </w:p>
        </w:tc>
        <w:tc>
          <w:tcPr>
            <w:tcW w:w="1247"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40" w:type="dxa"/>
            <w:vAlign w:val="bottom"/>
            <w:tcBorders>
              <w:bottom w:val="single" w:sz="8" w:color="auto"/>
            </w:tcBorders>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33" w:type="dxa"/>
            <w:vAlign w:val="bottom"/>
            <w:tcBorders>
              <w:bottom w:val="single" w:sz="8" w:color="auto"/>
            </w:tcBorders>
          </w:tcPr>
          <w:p>
            <w:pPr>
              <w:spacing w:after="0"/>
              <w:rPr>
                <w:sz w:val="20"/>
                <w:szCs w:val="20"/>
                <w:color w:val="auto"/>
              </w:rPr>
            </w:pPr>
          </w:p>
        </w:tc>
        <w:tc>
          <w:tcPr>
            <w:tcW w:w="1161"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Total Cost</w:t>
            </w:r>
          </w:p>
        </w:tc>
        <w:tc>
          <w:tcPr>
            <w:tcW w:w="119" w:type="dxa"/>
            <w:vAlign w:val="bottom"/>
            <w:tcBorders>
              <w:bottom w:val="single" w:sz="8" w:color="auto"/>
            </w:tcBorders>
          </w:tcPr>
          <w:p>
            <w:pPr>
              <w:spacing w:after="0"/>
              <w:rPr>
                <w:sz w:val="20"/>
                <w:szCs w:val="20"/>
                <w:color w:val="auto"/>
              </w:rPr>
            </w:pPr>
          </w:p>
        </w:tc>
        <w:tc>
          <w:tcPr>
            <w:tcW w:w="1247"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53" w:type="dxa"/>
            <w:vAlign w:val="bottom"/>
            <w:tcBorders>
              <w:bottom w:val="single" w:sz="8" w:color="auto"/>
            </w:tcBorders>
            <w:gridSpan w:val="2"/>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Yield</w:t>
            </w:r>
          </w:p>
        </w:tc>
      </w:tr>
      <w:tr>
        <w:trPr>
          <w:trHeight w:val="205"/>
        </w:trPr>
        <w:tc>
          <w:tcPr>
            <w:tcW w:w="3105" w:type="dxa"/>
            <w:vAlign w:val="bottom"/>
            <w:tcBorders>
              <w:bottom w:val="single" w:sz="8" w:color="auto"/>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PT RMBS</w:t>
            </w:r>
          </w:p>
        </w:tc>
        <w:tc>
          <w:tcPr>
            <w:tcW w:w="125" w:type="dxa"/>
            <w:vAlign w:val="bottom"/>
            <w:tcBorders>
              <w:bottom w:val="single" w:sz="8" w:color="auto"/>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170" w:type="dxa"/>
            <w:vAlign w:val="bottom"/>
            <w:tcBorders>
              <w:bottom w:val="single" w:sz="8" w:color="auto"/>
            </w:tcBorders>
            <w:shd w:val="clear" w:color="auto" w:fill="DDDDDD"/>
          </w:tcPr>
          <w:p>
            <w:pPr>
              <w:jc w:val="right"/>
              <w:ind w:right="110"/>
              <w:spacing w:after="0" w:line="201" w:lineRule="exact"/>
              <w:rPr>
                <w:sz w:val="20"/>
                <w:szCs w:val="20"/>
                <w:color w:val="auto"/>
              </w:rPr>
            </w:pPr>
            <w:r>
              <w:rPr>
                <w:rFonts w:ascii="Times New Roman" w:cs="Times New Roman" w:eastAsia="Times New Roman" w:hAnsi="Times New Roman"/>
                <w:sz w:val="18"/>
                <w:szCs w:val="18"/>
                <w:color w:val="auto"/>
              </w:rPr>
              <w:t>7,464,907</w:t>
            </w:r>
          </w:p>
        </w:tc>
        <w:tc>
          <w:tcPr>
            <w:tcW w:w="100" w:type="dxa"/>
            <w:vAlign w:val="bottom"/>
            <w:tcBorders>
              <w:bottom w:val="single" w:sz="8" w:color="auto"/>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1247" w:type="dxa"/>
            <w:vAlign w:val="bottom"/>
            <w:tcBorders>
              <w:bottom w:val="single" w:sz="8" w:color="auto"/>
            </w:tcBorders>
            <w:shd w:val="clear" w:color="auto" w:fill="DDDDDD"/>
          </w:tcPr>
          <w:p>
            <w:pPr>
              <w:jc w:val="right"/>
              <w:ind w:right="197"/>
              <w:spacing w:after="0" w:line="201" w:lineRule="exact"/>
              <w:rPr>
                <w:sz w:val="20"/>
                <w:szCs w:val="20"/>
                <w:color w:val="auto"/>
              </w:rPr>
            </w:pPr>
            <w:r>
              <w:rPr>
                <w:rFonts w:ascii="Times New Roman" w:cs="Times New Roman" w:eastAsia="Times New Roman" w:hAnsi="Times New Roman"/>
                <w:sz w:val="18"/>
                <w:szCs w:val="18"/>
                <w:color w:val="auto"/>
              </w:rPr>
              <w:t>102.00</w:t>
            </w:r>
          </w:p>
        </w:tc>
        <w:tc>
          <w:tcPr>
            <w:tcW w:w="1003" w:type="dxa"/>
            <w:vAlign w:val="bottom"/>
            <w:tcBorders>
              <w:bottom w:val="single" w:sz="8" w:color="auto"/>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5.27</w:t>
            </w:r>
          </w:p>
        </w:tc>
        <w:tc>
          <w:tcPr>
            <w:tcW w:w="238" w:type="dxa"/>
            <w:vAlign w:val="bottom"/>
            <w:tcBorders>
              <w:bottom w:val="single" w:sz="8" w:color="auto"/>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33" w:type="dxa"/>
            <w:vAlign w:val="bottom"/>
            <w:tcBorders>
              <w:bottom w:val="single" w:sz="8" w:color="auto"/>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161" w:type="dxa"/>
            <w:vAlign w:val="bottom"/>
            <w:tcBorders>
              <w:bottom w:val="single" w:sz="8" w:color="auto"/>
            </w:tcBorders>
            <w:shd w:val="clear" w:color="auto" w:fill="DDDDDD"/>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rPr>
              <w:t>2,393,320</w:t>
            </w:r>
          </w:p>
        </w:tc>
        <w:tc>
          <w:tcPr>
            <w:tcW w:w="119" w:type="dxa"/>
            <w:vAlign w:val="bottom"/>
            <w:tcBorders>
              <w:bottom w:val="single" w:sz="8" w:color="auto"/>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1247" w:type="dxa"/>
            <w:vAlign w:val="bottom"/>
            <w:tcBorders>
              <w:bottom w:val="single" w:sz="8" w:color="auto"/>
            </w:tcBorders>
            <w:shd w:val="clear" w:color="auto" w:fill="DDDDDD"/>
          </w:tcPr>
          <w:p>
            <w:pPr>
              <w:jc w:val="right"/>
              <w:ind w:right="197"/>
              <w:spacing w:after="0" w:line="201" w:lineRule="exact"/>
              <w:rPr>
                <w:sz w:val="20"/>
                <w:szCs w:val="20"/>
                <w:color w:val="auto"/>
              </w:rPr>
            </w:pPr>
            <w:r>
              <w:rPr>
                <w:rFonts w:ascii="Times New Roman" w:cs="Times New Roman" w:eastAsia="Times New Roman" w:hAnsi="Times New Roman"/>
                <w:sz w:val="18"/>
                <w:szCs w:val="18"/>
                <w:color w:val="auto"/>
              </w:rPr>
              <w:t>102.06</w:t>
            </w:r>
          </w:p>
        </w:tc>
        <w:tc>
          <w:tcPr>
            <w:tcW w:w="1003" w:type="dxa"/>
            <w:vAlign w:val="bottom"/>
            <w:tcBorders>
              <w:bottom w:val="single" w:sz="8" w:color="auto"/>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5.70</w:t>
            </w:r>
          </w:p>
        </w:tc>
        <w:tc>
          <w:tcPr>
            <w:tcW w:w="150" w:type="dxa"/>
            <w:vAlign w:val="bottom"/>
            <w:tcBorders>
              <w:bottom w:val="single" w:sz="8" w:color="auto"/>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79"/>
              </w:rPr>
              <w:t>%</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Borrowings</w:t>
      </w:r>
    </w:p>
    <w:p>
      <w:pPr>
        <w:spacing w:after="0" w:line="229"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20"/>
          <w:szCs w:val="20"/>
          <w:color w:val="auto"/>
        </w:rPr>
        <w:t>As of December 31, 2025, we had established borrowing facilities in the repurchase agreement market with a number of commercial banks and other financial institutions and had borrowings in place with 28 of these counterparties. None of these lenders are affiliated with the Company. These borrowings are secured by the Company’s RMBS and cash, and bear interest at prevailing market rates. We believe our established repurchase agreement borrowing facilities provide borrowing capacity in excess of our needs.</w:t>
      </w:r>
    </w:p>
    <w:p>
      <w:pPr>
        <w:spacing w:after="0" w:line="186" w:lineRule="exact"/>
        <w:rPr>
          <w:sz w:val="20"/>
          <w:szCs w:val="20"/>
          <w:color w:val="auto"/>
        </w:rPr>
      </w:pPr>
    </w:p>
    <w:p>
      <w:pPr>
        <w:ind w:right="200" w:firstLine="499"/>
        <w:spacing w:after="0" w:line="247" w:lineRule="auto"/>
        <w:rPr>
          <w:sz w:val="20"/>
          <w:szCs w:val="20"/>
          <w:color w:val="auto"/>
        </w:rPr>
      </w:pPr>
      <w:r>
        <w:rPr>
          <w:rFonts w:ascii="Times New Roman" w:cs="Times New Roman" w:eastAsia="Times New Roman" w:hAnsi="Times New Roman"/>
          <w:sz w:val="20"/>
          <w:szCs w:val="20"/>
          <w:color w:val="auto"/>
        </w:rPr>
        <w:t>As of December 31, 2025, we had obligations outstanding under the repurchase agreements of approximately $10,115.5 million with a net weighted average borrowing cost of 3.98%. The remaining maturity of our outstanding repurchase agreement obligations ranged from 5 to 317 days, with a weighted average remaining maturity of 39 days. Securing the repurchase agreement obligations as of December 31, 2025 are RMBS with an estimated fair value, including accrued interest, of approximately $10,551.3 million. Through February 20, 2026, we have been able to maintain our repurchase facilities with comparable terms to those that existed as of December 31, 2025 with maturities extending to various dates through November 13, 2026.</w:t>
      </w:r>
    </w:p>
    <w:p>
      <w:pPr>
        <w:spacing w:after="0" w:line="188" w:lineRule="exact"/>
        <w:rPr>
          <w:sz w:val="20"/>
          <w:szCs w:val="20"/>
          <w:color w:val="auto"/>
        </w:rPr>
      </w:pPr>
    </w:p>
    <w:p>
      <w:pPr>
        <w:ind w:right="440" w:firstLine="499"/>
        <w:spacing w:after="0" w:line="277" w:lineRule="auto"/>
        <w:rPr>
          <w:sz w:val="20"/>
          <w:szCs w:val="20"/>
          <w:color w:val="auto"/>
        </w:rPr>
      </w:pPr>
      <w:r>
        <w:rPr>
          <w:rFonts w:ascii="Times New Roman" w:cs="Times New Roman" w:eastAsia="Times New Roman" w:hAnsi="Times New Roman"/>
          <w:sz w:val="20"/>
          <w:szCs w:val="20"/>
          <w:color w:val="auto"/>
        </w:rPr>
        <w:t>The table below presents information about our period end, maximum and average balances of borrowings for each quarter in 2025 and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Borders>
              <w:top w:val="single" w:sz="8" w:color="auto"/>
            </w:tcBorders>
          </w:tcPr>
          <w:p>
            <w:pPr>
              <w:spacing w:after="0"/>
              <w:rPr>
                <w:sz w:val="16"/>
                <w:szCs w:val="16"/>
                <w:color w:val="auto"/>
              </w:rPr>
            </w:pPr>
          </w:p>
        </w:tc>
        <w:tc>
          <w:tcPr>
            <w:tcW w:w="210" w:type="dxa"/>
            <w:vAlign w:val="bottom"/>
            <w:tcBorders>
              <w:top w:val="single" w:sz="8" w:color="auto"/>
            </w:tcBorders>
          </w:tcPr>
          <w:p>
            <w:pPr>
              <w:spacing w:after="0"/>
              <w:rPr>
                <w:sz w:val="16"/>
                <w:szCs w:val="16"/>
                <w:color w:val="auto"/>
              </w:rPr>
            </w:pPr>
          </w:p>
        </w:tc>
        <w:tc>
          <w:tcPr>
            <w:tcW w:w="950" w:type="dxa"/>
            <w:vAlign w:val="bottom"/>
            <w:tcBorders>
              <w:top w:val="single" w:sz="8" w:color="auto"/>
            </w:tcBorders>
          </w:tcPr>
          <w:p>
            <w:pPr>
              <w:spacing w:after="0"/>
              <w:rPr>
                <w:sz w:val="16"/>
                <w:szCs w:val="16"/>
                <w:color w:val="auto"/>
              </w:rPr>
            </w:pPr>
          </w:p>
        </w:tc>
        <w:tc>
          <w:tcPr>
            <w:tcW w:w="310" w:type="dxa"/>
            <w:vAlign w:val="bottom"/>
            <w:tcBorders>
              <w:top w:val="single" w:sz="8" w:color="auto"/>
            </w:tcBorders>
          </w:tcPr>
          <w:p>
            <w:pPr>
              <w:spacing w:after="0"/>
              <w:rPr>
                <w:sz w:val="16"/>
                <w:szCs w:val="16"/>
                <w:color w:val="auto"/>
              </w:rPr>
            </w:pPr>
          </w:p>
        </w:tc>
        <w:tc>
          <w:tcPr>
            <w:tcW w:w="101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10" w:type="dxa"/>
            <w:vAlign w:val="bottom"/>
            <w:tcBorders>
              <w:top w:val="single" w:sz="8" w:color="auto"/>
            </w:tcBorders>
          </w:tcPr>
          <w:p>
            <w:pPr>
              <w:spacing w:after="0"/>
              <w:rPr>
                <w:sz w:val="16"/>
                <w:szCs w:val="16"/>
                <w:color w:val="auto"/>
              </w:rPr>
            </w:pPr>
          </w:p>
        </w:tc>
        <w:tc>
          <w:tcPr>
            <w:tcW w:w="19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5"/>
          </w:tcPr>
          <w:p>
            <w:pPr>
              <w:jc w:val="center"/>
              <w:ind w:right="230"/>
              <w:spacing w:after="0" w:line="190" w:lineRule="exact"/>
              <w:rPr>
                <w:sz w:val="20"/>
                <w:szCs w:val="20"/>
                <w:color w:val="auto"/>
              </w:rPr>
            </w:pPr>
            <w:r>
              <w:rPr>
                <w:rFonts w:ascii="Times New Roman" w:cs="Times New Roman" w:eastAsia="Times New Roman" w:hAnsi="Times New Roman"/>
                <w:sz w:val="18"/>
                <w:szCs w:val="18"/>
                <w:b w:val="1"/>
                <w:bCs w:val="1"/>
                <w:color w:val="auto"/>
                <w:w w:val="99"/>
              </w:rPr>
              <w:t>Difference Between Ending</w:t>
            </w:r>
          </w:p>
        </w:tc>
      </w:tr>
      <w:tr>
        <w:trPr>
          <w:trHeight w:val="218"/>
        </w:trPr>
        <w:tc>
          <w:tcPr>
            <w:tcW w:w="430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95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310" w:type="dxa"/>
            <w:vAlign w:val="bottom"/>
          </w:tcPr>
          <w:p>
            <w:pPr>
              <w:spacing w:after="0"/>
              <w:rPr>
                <w:sz w:val="18"/>
                <w:szCs w:val="18"/>
                <w:color w:val="auto"/>
              </w:rPr>
            </w:pPr>
          </w:p>
        </w:tc>
        <w:tc>
          <w:tcPr>
            <w:tcW w:w="101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3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242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Borrowings and</w:t>
            </w:r>
          </w:p>
        </w:tc>
      </w:tr>
      <w:tr>
        <w:trPr>
          <w:trHeight w:val="234"/>
        </w:trPr>
        <w:tc>
          <w:tcPr>
            <w:tcW w:w="4300" w:type="dxa"/>
            <w:vAlign w:val="bottom"/>
          </w:tcPr>
          <w:p>
            <w:pPr>
              <w:spacing w:after="0"/>
              <w:rPr>
                <w:sz w:val="20"/>
                <w:szCs w:val="20"/>
                <w:color w:val="auto"/>
              </w:rPr>
            </w:pPr>
          </w:p>
        </w:tc>
        <w:tc>
          <w:tcPr>
            <w:tcW w:w="210" w:type="dxa"/>
            <w:vAlign w:val="bottom"/>
          </w:tcPr>
          <w:p>
            <w:pPr>
              <w:spacing w:after="0"/>
              <w:rPr>
                <w:sz w:val="20"/>
                <w:szCs w:val="20"/>
                <w:color w:val="auto"/>
              </w:rPr>
            </w:pPr>
          </w:p>
        </w:tc>
        <w:tc>
          <w:tcPr>
            <w:tcW w:w="95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of</w:t>
            </w:r>
          </w:p>
        </w:tc>
        <w:tc>
          <w:tcPr>
            <w:tcW w:w="310" w:type="dxa"/>
            <w:vAlign w:val="bottom"/>
          </w:tcPr>
          <w:p>
            <w:pPr>
              <w:spacing w:after="0"/>
              <w:rPr>
                <w:sz w:val="20"/>
                <w:szCs w:val="20"/>
                <w:color w:val="auto"/>
              </w:rPr>
            </w:pPr>
          </w:p>
        </w:tc>
        <w:tc>
          <w:tcPr>
            <w:tcW w:w="101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 of</w:t>
            </w:r>
          </w:p>
        </w:tc>
        <w:tc>
          <w:tcPr>
            <w:tcW w:w="3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of</w:t>
            </w: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Average Borrowings</w:t>
            </w:r>
          </w:p>
        </w:tc>
      </w:tr>
      <w:tr>
        <w:trPr>
          <w:trHeight w:val="210"/>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Borrowings(1)</w:t>
            </w: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Borrowings(2)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03"/>
        </w:trPr>
        <w:tc>
          <w:tcPr>
            <w:tcW w:w="430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December 31, 2025</w:t>
            </w:r>
          </w:p>
        </w:tc>
        <w:tc>
          <w:tcPr>
            <w:tcW w:w="21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5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10,115,466</w:t>
            </w:r>
          </w:p>
        </w:tc>
        <w:tc>
          <w:tcPr>
            <w:tcW w:w="31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101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10,119,839</w:t>
            </w:r>
          </w:p>
        </w:tc>
        <w:tc>
          <w:tcPr>
            <w:tcW w:w="3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101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9,061,222</w:t>
            </w:r>
          </w:p>
        </w:tc>
        <w:tc>
          <w:tcPr>
            <w:tcW w:w="19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1,054,244</w:t>
            </w:r>
          </w:p>
        </w:tc>
        <w:tc>
          <w:tcPr>
            <w:tcW w:w="8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5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w:t>
            </w:r>
          </w:p>
        </w:tc>
        <w:tc>
          <w:tcPr>
            <w:tcW w:w="210" w:type="dxa"/>
            <w:vAlign w:val="bottom"/>
            <w:tcBorders>
              <w:bottom w:val="single" w:sz="8" w:color="DDDDDD"/>
            </w:tcBorders>
            <w:shd w:val="clear" w:color="auto" w:fill="DDDDDD"/>
          </w:tcPr>
          <w:p>
            <w:pPr>
              <w:ind w:left="10"/>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r>
      <w:tr>
        <w:trPr>
          <w:trHeight w:val="201"/>
        </w:trPr>
        <w:tc>
          <w:tcPr>
            <w:tcW w:w="4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2025</w:t>
            </w:r>
          </w:p>
        </w:tc>
        <w:tc>
          <w:tcPr>
            <w:tcW w:w="116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8,006,978</w:t>
            </w:r>
          </w:p>
        </w:tc>
        <w:tc>
          <w:tcPr>
            <w:tcW w:w="13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8,024,512</w:t>
            </w:r>
          </w:p>
        </w:tc>
        <w:tc>
          <w:tcPr>
            <w:tcW w:w="300" w:type="dxa"/>
            <w:vAlign w:val="bottom"/>
            <w:tcBorders>
              <w:bottom w:val="single" w:sz="8" w:color="DDDDDD"/>
            </w:tcBorders>
          </w:tcPr>
          <w:p>
            <w:pPr>
              <w:spacing w:after="0"/>
              <w:rPr>
                <w:sz w:val="17"/>
                <w:szCs w:val="17"/>
                <w:color w:val="auto"/>
              </w:rPr>
            </w:pPr>
          </w:p>
        </w:tc>
        <w:tc>
          <w:tcPr>
            <w:tcW w:w="101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7,331,428</w:t>
            </w:r>
          </w:p>
        </w:tc>
        <w:tc>
          <w:tcPr>
            <w:tcW w:w="190" w:type="dxa"/>
            <w:vAlign w:val="bottom"/>
            <w:tcBorders>
              <w:bottom w:val="single" w:sz="8" w:color="DDDDDD"/>
            </w:tcBorders>
          </w:tcPr>
          <w:p>
            <w:pPr>
              <w:spacing w:after="0"/>
              <w:rPr>
                <w:sz w:val="17"/>
                <w:szCs w:val="17"/>
                <w:color w:val="auto"/>
              </w:rPr>
            </w:pPr>
          </w:p>
        </w:tc>
        <w:tc>
          <w:tcPr>
            <w:tcW w:w="106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675,550</w:t>
            </w:r>
          </w:p>
        </w:tc>
        <w:tc>
          <w:tcPr>
            <w:tcW w:w="80" w:type="dxa"/>
            <w:vAlign w:val="bottom"/>
            <w:tcBorders>
              <w:bottom w:val="single" w:sz="8" w:color="DDDDDD"/>
            </w:tcBorders>
          </w:tcPr>
          <w:p>
            <w:pPr>
              <w:spacing w:after="0"/>
              <w:rPr>
                <w:sz w:val="17"/>
                <w:szCs w:val="17"/>
                <w:color w:val="auto"/>
              </w:rPr>
            </w:pPr>
          </w:p>
        </w:tc>
        <w:tc>
          <w:tcPr>
            <w:tcW w:w="138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9.21 %</w:t>
            </w:r>
          </w:p>
        </w:tc>
      </w:tr>
      <w:tr>
        <w:trPr>
          <w:trHeight w:val="191"/>
        </w:trPr>
        <w:tc>
          <w:tcPr>
            <w:tcW w:w="4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21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6,655,879</w:t>
            </w:r>
          </w:p>
        </w:tc>
        <w:tc>
          <w:tcPr>
            <w:tcW w:w="310" w:type="dxa"/>
            <w:vAlign w:val="bottom"/>
            <w:tcBorders>
              <w:bottom w:val="single" w:sz="8" w:color="DDDDDD"/>
            </w:tcBorders>
            <w:shd w:val="clear" w:color="auto" w:fill="DDDDDD"/>
          </w:tcPr>
          <w:p>
            <w:pPr>
              <w:spacing w:after="0"/>
              <w:rPr>
                <w:sz w:val="16"/>
                <w:szCs w:val="16"/>
                <w:color w:val="auto"/>
              </w:rPr>
            </w:pPr>
          </w:p>
        </w:tc>
        <w:tc>
          <w:tcPr>
            <w:tcW w:w="101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6,655,879</w:t>
            </w:r>
          </w:p>
        </w:tc>
        <w:tc>
          <w:tcPr>
            <w:tcW w:w="300" w:type="dxa"/>
            <w:vAlign w:val="bottom"/>
            <w:tcBorders>
              <w:bottom w:val="single" w:sz="8" w:color="DDDDDD"/>
            </w:tcBorders>
            <w:shd w:val="clear" w:color="auto" w:fill="DDDDDD"/>
          </w:tcPr>
          <w:p>
            <w:pPr>
              <w:spacing w:after="0"/>
              <w:rPr>
                <w:sz w:val="16"/>
                <w:szCs w:val="16"/>
                <w:color w:val="auto"/>
              </w:rPr>
            </w:pPr>
          </w:p>
        </w:tc>
        <w:tc>
          <w:tcPr>
            <w:tcW w:w="101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6,537,260</w:t>
            </w:r>
          </w:p>
        </w:tc>
        <w:tc>
          <w:tcPr>
            <w:tcW w:w="1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118,619</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1.81</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r>
      <w:tr>
        <w:trPr>
          <w:trHeight w:val="203"/>
        </w:trPr>
        <w:tc>
          <w:tcPr>
            <w:tcW w:w="430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2025</w:t>
            </w:r>
          </w:p>
        </w:tc>
        <w:tc>
          <w:tcPr>
            <w:tcW w:w="116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6,418,641</w:t>
            </w:r>
          </w:p>
        </w:tc>
        <w:tc>
          <w:tcPr>
            <w:tcW w:w="13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6,453,905</w:t>
            </w:r>
          </w:p>
        </w:tc>
        <w:tc>
          <w:tcPr>
            <w:tcW w:w="300" w:type="dxa"/>
            <w:vAlign w:val="bottom"/>
            <w:tcBorders>
              <w:bottom w:val="single" w:sz="8" w:color="DDDDDD"/>
            </w:tcBorders>
          </w:tcPr>
          <w:p>
            <w:pPr>
              <w:spacing w:after="0"/>
              <w:rPr>
                <w:sz w:val="17"/>
                <w:szCs w:val="17"/>
                <w:color w:val="auto"/>
              </w:rPr>
            </w:pPr>
          </w:p>
        </w:tc>
        <w:tc>
          <w:tcPr>
            <w:tcW w:w="101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5,722,092</w:t>
            </w:r>
          </w:p>
        </w:tc>
        <w:tc>
          <w:tcPr>
            <w:tcW w:w="190" w:type="dxa"/>
            <w:vAlign w:val="bottom"/>
            <w:tcBorders>
              <w:bottom w:val="single" w:sz="8" w:color="DDDDDD"/>
            </w:tcBorders>
          </w:tcPr>
          <w:p>
            <w:pPr>
              <w:spacing w:after="0"/>
              <w:rPr>
                <w:sz w:val="17"/>
                <w:szCs w:val="17"/>
                <w:color w:val="auto"/>
              </w:rPr>
            </w:pPr>
          </w:p>
        </w:tc>
        <w:tc>
          <w:tcPr>
            <w:tcW w:w="106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696,549</w:t>
            </w:r>
          </w:p>
        </w:tc>
        <w:tc>
          <w:tcPr>
            <w:tcW w:w="80" w:type="dxa"/>
            <w:vAlign w:val="bottom"/>
            <w:tcBorders>
              <w:bottom w:val="single" w:sz="8" w:color="DDDDDD"/>
            </w:tcBorders>
          </w:tcPr>
          <w:p>
            <w:pPr>
              <w:spacing w:after="0"/>
              <w:rPr>
                <w:sz w:val="17"/>
                <w:szCs w:val="17"/>
                <w:color w:val="auto"/>
              </w:rPr>
            </w:pPr>
          </w:p>
        </w:tc>
        <w:tc>
          <w:tcPr>
            <w:tcW w:w="13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12.17 %</w:t>
            </w:r>
          </w:p>
        </w:tc>
      </w:tr>
      <w:tr>
        <w:trPr>
          <w:trHeight w:val="191"/>
        </w:trPr>
        <w:tc>
          <w:tcPr>
            <w:tcW w:w="4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21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5,025,543</w:t>
            </w:r>
          </w:p>
        </w:tc>
        <w:tc>
          <w:tcPr>
            <w:tcW w:w="310" w:type="dxa"/>
            <w:vAlign w:val="bottom"/>
            <w:tcBorders>
              <w:bottom w:val="single" w:sz="8" w:color="DDDDDD"/>
            </w:tcBorders>
            <w:shd w:val="clear" w:color="auto" w:fill="DDDDDD"/>
          </w:tcPr>
          <w:p>
            <w:pPr>
              <w:spacing w:after="0"/>
              <w:rPr>
                <w:sz w:val="16"/>
                <w:szCs w:val="16"/>
                <w:color w:val="auto"/>
              </w:rPr>
            </w:pPr>
          </w:p>
        </w:tc>
        <w:tc>
          <w:tcPr>
            <w:tcW w:w="101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5,230,871</w:t>
            </w:r>
          </w:p>
        </w:tc>
        <w:tc>
          <w:tcPr>
            <w:tcW w:w="300" w:type="dxa"/>
            <w:vAlign w:val="bottom"/>
            <w:tcBorders>
              <w:bottom w:val="single" w:sz="8" w:color="DDDDDD"/>
            </w:tcBorders>
            <w:shd w:val="clear" w:color="auto" w:fill="DDDDDD"/>
          </w:tcPr>
          <w:p>
            <w:pPr>
              <w:spacing w:after="0"/>
              <w:rPr>
                <w:sz w:val="16"/>
                <w:szCs w:val="16"/>
                <w:color w:val="auto"/>
              </w:rPr>
            </w:pPr>
          </w:p>
        </w:tc>
        <w:tc>
          <w:tcPr>
            <w:tcW w:w="101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5,128,207</w:t>
            </w:r>
          </w:p>
        </w:tc>
        <w:tc>
          <w:tcPr>
            <w:tcW w:w="1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(102,664</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(2.00</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w w:val="85"/>
              </w:rPr>
              <w:t>)%</w:t>
            </w:r>
          </w:p>
        </w:tc>
      </w:tr>
      <w:tr>
        <w:trPr>
          <w:trHeight w:val="203"/>
        </w:trPr>
        <w:tc>
          <w:tcPr>
            <w:tcW w:w="430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2024</w:t>
            </w:r>
          </w:p>
        </w:tc>
        <w:tc>
          <w:tcPr>
            <w:tcW w:w="116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5,230,871</w:t>
            </w:r>
          </w:p>
        </w:tc>
        <w:tc>
          <w:tcPr>
            <w:tcW w:w="13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5,252,365</w:t>
            </w:r>
          </w:p>
        </w:tc>
        <w:tc>
          <w:tcPr>
            <w:tcW w:w="300" w:type="dxa"/>
            <w:vAlign w:val="bottom"/>
            <w:tcBorders>
              <w:bottom w:val="single" w:sz="8" w:color="DDDDDD"/>
            </w:tcBorders>
          </w:tcPr>
          <w:p>
            <w:pPr>
              <w:spacing w:after="0"/>
              <w:rPr>
                <w:sz w:val="17"/>
                <w:szCs w:val="17"/>
                <w:color w:val="auto"/>
              </w:rPr>
            </w:pPr>
          </w:p>
        </w:tc>
        <w:tc>
          <w:tcPr>
            <w:tcW w:w="101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4,788,287</w:t>
            </w:r>
          </w:p>
        </w:tc>
        <w:tc>
          <w:tcPr>
            <w:tcW w:w="190" w:type="dxa"/>
            <w:vAlign w:val="bottom"/>
            <w:tcBorders>
              <w:bottom w:val="single" w:sz="8" w:color="DDDDDD"/>
            </w:tcBorders>
          </w:tcPr>
          <w:p>
            <w:pPr>
              <w:spacing w:after="0"/>
              <w:rPr>
                <w:sz w:val="17"/>
                <w:szCs w:val="17"/>
                <w:color w:val="auto"/>
              </w:rPr>
            </w:pPr>
          </w:p>
        </w:tc>
        <w:tc>
          <w:tcPr>
            <w:tcW w:w="106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442,584</w:t>
            </w:r>
          </w:p>
        </w:tc>
        <w:tc>
          <w:tcPr>
            <w:tcW w:w="80" w:type="dxa"/>
            <w:vAlign w:val="bottom"/>
            <w:tcBorders>
              <w:bottom w:val="single" w:sz="8" w:color="DDDDDD"/>
            </w:tcBorders>
          </w:tcPr>
          <w:p>
            <w:pPr>
              <w:spacing w:after="0"/>
              <w:rPr>
                <w:sz w:val="17"/>
                <w:szCs w:val="17"/>
                <w:color w:val="auto"/>
              </w:rPr>
            </w:pPr>
          </w:p>
        </w:tc>
        <w:tc>
          <w:tcPr>
            <w:tcW w:w="138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9.24 %</w:t>
            </w:r>
          </w:p>
        </w:tc>
      </w:tr>
      <w:tr>
        <w:trPr>
          <w:trHeight w:val="191"/>
        </w:trPr>
        <w:tc>
          <w:tcPr>
            <w:tcW w:w="4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21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4,345,704</w:t>
            </w:r>
          </w:p>
        </w:tc>
        <w:tc>
          <w:tcPr>
            <w:tcW w:w="310" w:type="dxa"/>
            <w:vAlign w:val="bottom"/>
            <w:tcBorders>
              <w:bottom w:val="single" w:sz="8" w:color="DDDDDD"/>
            </w:tcBorders>
            <w:shd w:val="clear" w:color="auto" w:fill="DDDDDD"/>
          </w:tcPr>
          <w:p>
            <w:pPr>
              <w:spacing w:after="0"/>
              <w:rPr>
                <w:sz w:val="16"/>
                <w:szCs w:val="16"/>
                <w:color w:val="auto"/>
              </w:rPr>
            </w:pPr>
          </w:p>
        </w:tc>
        <w:tc>
          <w:tcPr>
            <w:tcW w:w="101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4,354,704</w:t>
            </w:r>
          </w:p>
        </w:tc>
        <w:tc>
          <w:tcPr>
            <w:tcW w:w="300" w:type="dxa"/>
            <w:vAlign w:val="bottom"/>
            <w:tcBorders>
              <w:bottom w:val="single" w:sz="8" w:color="DDDDDD"/>
            </w:tcBorders>
            <w:shd w:val="clear" w:color="auto" w:fill="DDDDDD"/>
          </w:tcPr>
          <w:p>
            <w:pPr>
              <w:spacing w:after="0"/>
              <w:rPr>
                <w:sz w:val="16"/>
                <w:szCs w:val="16"/>
                <w:color w:val="auto"/>
              </w:rPr>
            </w:pPr>
          </w:p>
        </w:tc>
        <w:tc>
          <w:tcPr>
            <w:tcW w:w="101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4,028,601</w:t>
            </w:r>
          </w:p>
        </w:tc>
        <w:tc>
          <w:tcPr>
            <w:tcW w:w="19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317,103</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9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7.87</w:t>
            </w:r>
          </w:p>
        </w:tc>
        <w:tc>
          <w:tcPr>
            <w:tcW w:w="210" w:type="dxa"/>
            <w:vAlign w:val="bottom"/>
            <w:tcBorders>
              <w:bottom w:val="single" w:sz="8" w:color="DDDDDD"/>
            </w:tcBorders>
            <w:shd w:val="clear" w:color="auto" w:fill="DDDDDD"/>
          </w:tcPr>
          <w:p>
            <w:pPr>
              <w:ind w:left="10"/>
              <w:spacing w:after="0" w:line="191" w:lineRule="exact"/>
              <w:rPr>
                <w:sz w:val="20"/>
                <w:szCs w:val="20"/>
                <w:color w:val="auto"/>
              </w:rPr>
            </w:pPr>
            <w:r>
              <w:rPr>
                <w:rFonts w:ascii="Times New Roman" w:cs="Times New Roman" w:eastAsia="Times New Roman" w:hAnsi="Times New Roman"/>
                <w:sz w:val="18"/>
                <w:szCs w:val="18"/>
                <w:color w:val="auto"/>
                <w:highlight w:val="lightGray"/>
              </w:rPr>
              <w:t>%</w:t>
            </w:r>
          </w:p>
        </w:tc>
      </w:tr>
      <w:tr>
        <w:trPr>
          <w:trHeight w:val="206"/>
        </w:trPr>
        <w:tc>
          <w:tcPr>
            <w:tcW w:w="430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March 31, 2024</w:t>
            </w:r>
          </w:p>
        </w:tc>
        <w:tc>
          <w:tcPr>
            <w:tcW w:w="116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3,711,498</w:t>
            </w:r>
          </w:p>
        </w:tc>
        <w:tc>
          <w:tcPr>
            <w:tcW w:w="132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3,774,739</w:t>
            </w:r>
          </w:p>
        </w:tc>
        <w:tc>
          <w:tcPr>
            <w:tcW w:w="300" w:type="dxa"/>
            <w:vAlign w:val="bottom"/>
            <w:tcBorders>
              <w:bottom w:val="single" w:sz="8" w:color="auto"/>
            </w:tcBorders>
          </w:tcPr>
          <w:p>
            <w:pPr>
              <w:spacing w:after="0"/>
              <w:rPr>
                <w:sz w:val="17"/>
                <w:szCs w:val="17"/>
                <w:color w:val="auto"/>
              </w:rPr>
            </w:pPr>
          </w:p>
        </w:tc>
        <w:tc>
          <w:tcPr>
            <w:tcW w:w="101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3,708,573</w:t>
            </w:r>
          </w:p>
        </w:tc>
        <w:tc>
          <w:tcPr>
            <w:tcW w:w="19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2,925</w:t>
            </w: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0.08 %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-423545</wp:posOffset>
                </wp:positionV>
                <wp:extent cx="68580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3.3499pt" to="540.2pt,-33.3499pt" o:allowincell="f" strokecolor="#FFFFFF" strokeweight="0.24pt"/>
            </w:pict>
          </mc:Fallback>
        </mc:AlternateContent>
      </w:r>
    </w:p>
    <w:p>
      <w:pPr>
        <w:spacing w:after="0" w:line="197" w:lineRule="exact"/>
        <w:rPr>
          <w:sz w:val="20"/>
          <w:szCs w:val="20"/>
          <w:color w:val="auto"/>
        </w:rPr>
      </w:pPr>
    </w:p>
    <w:p>
      <w:pPr>
        <w:ind w:left="360" w:right="500" w:hanging="350"/>
        <w:spacing w:after="0" w:line="259" w:lineRule="auto"/>
        <w:tabs>
          <w:tab w:leader="none" w:pos="3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balance during the quarter reflects the highest daily close-of-business balance outstanding under repurchase agreements for the period.</w:t>
      </w:r>
    </w:p>
    <w:p>
      <w:pPr>
        <w:ind w:left="360" w:hanging="350"/>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for quarterly periods are calculated using two data points, the beginning and ending balances for the period.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Leverage</w:t>
      </w:r>
    </w:p>
    <w:p>
      <w:pPr>
        <w:spacing w:after="0" w:line="229" w:lineRule="exact"/>
        <w:rPr>
          <w:sz w:val="20"/>
          <w:szCs w:val="20"/>
          <w:color w:val="auto"/>
        </w:rPr>
      </w:pPr>
    </w:p>
    <w:p>
      <w:pPr>
        <w:ind w:right="80" w:firstLine="499"/>
        <w:spacing w:after="0" w:line="246" w:lineRule="auto"/>
        <w:rPr>
          <w:sz w:val="20"/>
          <w:szCs w:val="20"/>
          <w:color w:val="auto"/>
        </w:rPr>
      </w:pPr>
      <w:r>
        <w:rPr>
          <w:rFonts w:ascii="Times New Roman" w:cs="Times New Roman" w:eastAsia="Times New Roman" w:hAnsi="Times New Roman"/>
          <w:sz w:val="20"/>
          <w:szCs w:val="20"/>
          <w:color w:val="auto"/>
        </w:rPr>
        <w:t>We use two primary measures of leverage. Economic leverage is calculated by dividing the sum of total liabilities and our net notional TBA position, by stockholders' equity. We include our net TBA position in our calculation of economic leverage because a forward contract to purchase or sell an Agency RMBS in the TBA market carries similar risks to an Agency RMBS purchased or sold in the cash market and funded with repurchase agreement liabilities. Adjusted leverage is calculated by dividing our repurchase agreements by stockholders' equity. Our economic leverage as of December 31, 2025 was 7.4 to 1, compared to 7.3 to 1 as of December 31, 2024. Our adjusted leverage as of December 31, 2025 was 7.4 to 1, compared to 7.5 to 1 as of December 31, 2024. The following table presents information related to our historical leverage.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788" w:right="720"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17780</wp:posOffset>
                </wp:positionV>
                <wp:extent cx="68580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2">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pt" to="540.2pt,1.4pt" o:allowincell="f" strokecolor="#000000" strokeweight="0.7198pt"/>
            </w:pict>
          </mc:Fallback>
        </mc:AlternateConten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2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31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1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110" w:type="dxa"/>
            <w:vAlign w:val="bottom"/>
          </w:tcPr>
          <w:p>
            <w:pPr>
              <w:spacing w:after="0"/>
              <w:rPr>
                <w:sz w:val="18"/>
                <w:szCs w:val="18"/>
                <w:color w:val="auto"/>
              </w:rPr>
            </w:pPr>
          </w:p>
        </w:tc>
        <w:tc>
          <w:tcPr>
            <w:tcW w:w="145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9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w:t>
            </w:r>
          </w:p>
        </w:tc>
        <w:tc>
          <w:tcPr>
            <w:tcW w:w="21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Net TBA</w:t>
            </w:r>
          </w:p>
        </w:tc>
        <w:tc>
          <w:tcPr>
            <w:tcW w:w="1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110" w:type="dxa"/>
            <w:vAlign w:val="bottom"/>
          </w:tcPr>
          <w:p>
            <w:pPr>
              <w:spacing w:after="0"/>
              <w:rPr>
                <w:sz w:val="18"/>
                <w:szCs w:val="18"/>
                <w:color w:val="auto"/>
              </w:rPr>
            </w:pPr>
          </w:p>
        </w:tc>
        <w:tc>
          <w:tcPr>
            <w:tcW w:w="1450" w:type="dxa"/>
            <w:vAlign w:val="bottom"/>
          </w:tcPr>
          <w:p>
            <w:pPr>
              <w:ind w:left="37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Economic</w:t>
            </w:r>
          </w:p>
        </w:tc>
      </w:tr>
      <w:tr>
        <w:trPr>
          <w:trHeight w:val="236"/>
        </w:trPr>
        <w:tc>
          <w:tcPr>
            <w:tcW w:w="2680" w:type="dxa"/>
            <w:vAlign w:val="bottom"/>
            <w:tcBorders>
              <w:bottom w:val="single" w:sz="8" w:color="auto"/>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09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10" w:type="dxa"/>
            <w:vAlign w:val="bottom"/>
            <w:tcBorders>
              <w:bottom w:val="single" w:sz="8" w:color="auto"/>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97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1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20" w:type="dxa"/>
            <w:vAlign w:val="bottom"/>
            <w:tcBorders>
              <w:bottom w:val="single" w:sz="8" w:color="auto"/>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97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 w:type="dxa"/>
            <w:vAlign w:val="bottom"/>
            <w:tcBorders>
              <w:bottom w:val="single" w:sz="8" w:color="auto"/>
            </w:tcBorders>
          </w:tcPr>
          <w:p>
            <w:pPr>
              <w:spacing w:after="0"/>
              <w:rPr>
                <w:sz w:val="20"/>
                <w:szCs w:val="20"/>
                <w:color w:val="auto"/>
              </w:rPr>
            </w:pPr>
          </w:p>
        </w:tc>
        <w:tc>
          <w:tcPr>
            <w:tcW w:w="1450" w:type="dxa"/>
            <w:vAlign w:val="bottom"/>
            <w:tcBorders>
              <w:bottom w:val="single" w:sz="8" w:color="auto"/>
            </w:tcBorders>
          </w:tcPr>
          <w:p>
            <w:pPr>
              <w:ind w:left="370"/>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Leverage</w:t>
            </w:r>
          </w:p>
        </w:tc>
      </w:tr>
      <w:tr>
        <w:trPr>
          <w:trHeight w:val="201"/>
        </w:trPr>
        <w:tc>
          <w:tcPr>
            <w:tcW w:w="268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December 31, 2025</w:t>
            </w:r>
          </w:p>
        </w:tc>
        <w:tc>
          <w:tcPr>
            <w:tcW w:w="110" w:type="dxa"/>
            <w:vAlign w:val="bottom"/>
            <w:tcBorders>
              <w:bottom w:val="single" w:sz="8" w:color="DDDDDD"/>
            </w:tcBorders>
            <w:shd w:val="clear" w:color="auto" w:fill="DDDDDD"/>
          </w:tcPr>
          <w:p>
            <w:pPr>
              <w:spacing w:after="0"/>
              <w:rPr>
                <w:sz w:val="17"/>
                <w:szCs w:val="17"/>
                <w:color w:val="auto"/>
              </w:rPr>
            </w:pPr>
          </w:p>
        </w:tc>
        <w:tc>
          <w:tcPr>
            <w:tcW w:w="11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10,115,466</w:t>
            </w:r>
          </w:p>
        </w:tc>
        <w:tc>
          <w:tcPr>
            <w:tcW w:w="210" w:type="dxa"/>
            <w:vAlign w:val="bottom"/>
            <w:tcBorders>
              <w:bottom w:val="single" w:sz="8" w:color="DDDDDD"/>
            </w:tcBorders>
            <w:shd w:val="clear" w:color="auto" w:fill="DDDDDD"/>
          </w:tcPr>
          <w:p>
            <w:pPr>
              <w:spacing w:after="0"/>
              <w:rPr>
                <w:sz w:val="17"/>
                <w:szCs w:val="17"/>
                <w:color w:val="auto"/>
              </w:rPr>
            </w:pPr>
          </w:p>
        </w:tc>
        <w:tc>
          <w:tcPr>
            <w:tcW w:w="11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10,304,045</w:t>
            </w:r>
          </w:p>
        </w:tc>
        <w:tc>
          <w:tcPr>
            <w:tcW w:w="31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(180,000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7"/>
                <w:szCs w:val="17"/>
                <w:color w:val="auto"/>
              </w:rPr>
            </w:pPr>
          </w:p>
        </w:tc>
        <w:tc>
          <w:tcPr>
            <w:tcW w:w="11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7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1,371,948</w:t>
            </w:r>
          </w:p>
        </w:tc>
        <w:tc>
          <w:tcPr>
            <w:tcW w:w="110" w:type="dxa"/>
            <w:vAlign w:val="bottom"/>
            <w:tcBorders>
              <w:bottom w:val="single" w:sz="8" w:color="DDDDDD"/>
            </w:tcBorders>
            <w:shd w:val="clear" w:color="auto" w:fill="DDDDDD"/>
          </w:tcPr>
          <w:p>
            <w:pPr>
              <w:spacing w:after="0"/>
              <w:rPr>
                <w:sz w:val="17"/>
                <w:szCs w:val="17"/>
                <w:color w:val="auto"/>
              </w:rPr>
            </w:pPr>
          </w:p>
        </w:tc>
        <w:tc>
          <w:tcPr>
            <w:tcW w:w="1450" w:type="dxa"/>
            <w:vAlign w:val="bottom"/>
            <w:tcBorders>
              <w:bottom w:val="single" w:sz="8" w:color="DDDDDD"/>
            </w:tcBorders>
            <w:shd w:val="clear" w:color="auto" w:fill="DDDDDD"/>
          </w:tcPr>
          <w:p>
            <w:pPr>
              <w:ind w:left="1070"/>
              <w:spacing w:after="0" w:line="201" w:lineRule="exact"/>
              <w:rPr>
                <w:sz w:val="20"/>
                <w:szCs w:val="20"/>
                <w:color w:val="auto"/>
              </w:rPr>
            </w:pPr>
            <w:r>
              <w:rPr>
                <w:rFonts w:ascii="Times New Roman" w:cs="Times New Roman" w:eastAsia="Times New Roman" w:hAnsi="Times New Roman"/>
                <w:sz w:val="18"/>
                <w:szCs w:val="18"/>
                <w:color w:val="auto"/>
                <w:w w:val="98"/>
              </w:rPr>
              <w:t>7.4:1</w:t>
            </w:r>
          </w:p>
        </w:tc>
        <w:tc>
          <w:tcPr>
            <w:tcW w:w="14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7.4:1</w:t>
            </w:r>
          </w:p>
        </w:tc>
      </w:tr>
      <w:tr>
        <w:trPr>
          <w:trHeight w:val="203"/>
        </w:trPr>
        <w:tc>
          <w:tcPr>
            <w:tcW w:w="268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September 30, 2025</w:t>
            </w:r>
          </w:p>
        </w:tc>
        <w:tc>
          <w:tcPr>
            <w:tcW w:w="1200" w:type="dxa"/>
            <w:vAlign w:val="bottom"/>
            <w:tcBorders>
              <w:bottom w:val="single" w:sz="8" w:color="DDDDDD"/>
            </w:tcBorders>
            <w:gridSpan w:val="3"/>
          </w:tcPr>
          <w:p>
            <w:pPr>
              <w:ind w:left="460"/>
              <w:spacing w:after="0" w:line="203" w:lineRule="exact"/>
              <w:rPr>
                <w:sz w:val="20"/>
                <w:szCs w:val="20"/>
                <w:color w:val="auto"/>
              </w:rPr>
            </w:pPr>
            <w:r>
              <w:rPr>
                <w:rFonts w:ascii="Times New Roman" w:cs="Times New Roman" w:eastAsia="Times New Roman" w:hAnsi="Times New Roman"/>
                <w:sz w:val="18"/>
                <w:szCs w:val="18"/>
                <w:color w:val="auto"/>
                <w:w w:val="99"/>
              </w:rPr>
              <w:t>8,006,978</w:t>
            </w:r>
          </w:p>
        </w:tc>
        <w:tc>
          <w:tcPr>
            <w:tcW w:w="129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8,052,945</w:t>
            </w:r>
          </w:p>
        </w:tc>
        <w:tc>
          <w:tcPr>
            <w:tcW w:w="31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(32,000 )</w:t>
            </w:r>
          </w:p>
        </w:tc>
        <w:tc>
          <w:tcPr>
            <w:tcW w:w="1200" w:type="dxa"/>
            <w:vAlign w:val="bottom"/>
            <w:tcBorders>
              <w:bottom w:val="single" w:sz="8" w:color="DDDDDD"/>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1,086,091</w:t>
            </w:r>
          </w:p>
        </w:tc>
        <w:tc>
          <w:tcPr>
            <w:tcW w:w="1560" w:type="dxa"/>
            <w:vAlign w:val="bottom"/>
            <w:tcBorders>
              <w:bottom w:val="single" w:sz="8" w:color="DDDDDD"/>
            </w:tcBorders>
            <w:gridSpan w:val="2"/>
          </w:tcPr>
          <w:p>
            <w:pPr>
              <w:ind w:left="1180"/>
              <w:spacing w:after="0" w:line="203" w:lineRule="exact"/>
              <w:rPr>
                <w:sz w:val="20"/>
                <w:szCs w:val="20"/>
                <w:color w:val="auto"/>
              </w:rPr>
            </w:pPr>
            <w:r>
              <w:rPr>
                <w:rFonts w:ascii="Times New Roman" w:cs="Times New Roman" w:eastAsia="Times New Roman" w:hAnsi="Times New Roman"/>
                <w:sz w:val="18"/>
                <w:szCs w:val="18"/>
                <w:color w:val="auto"/>
                <w:w w:val="98"/>
              </w:rPr>
              <w:t>7.4:1</w:t>
            </w:r>
          </w:p>
        </w:tc>
        <w:tc>
          <w:tcPr>
            <w:tcW w:w="14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7.4:1</w:t>
            </w:r>
          </w:p>
        </w:tc>
      </w:tr>
      <w:tr>
        <w:trPr>
          <w:trHeight w:val="191"/>
        </w:trPr>
        <w:tc>
          <w:tcPr>
            <w:tcW w:w="268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2025</w:t>
            </w:r>
          </w:p>
        </w:tc>
        <w:tc>
          <w:tcPr>
            <w:tcW w:w="11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240"/>
              <w:spacing w:after="0" w:line="191" w:lineRule="exact"/>
              <w:rPr>
                <w:sz w:val="20"/>
                <w:szCs w:val="20"/>
                <w:color w:val="auto"/>
              </w:rPr>
            </w:pPr>
            <w:r>
              <w:rPr>
                <w:rFonts w:ascii="Times New Roman" w:cs="Times New Roman" w:eastAsia="Times New Roman" w:hAnsi="Times New Roman"/>
                <w:sz w:val="18"/>
                <w:szCs w:val="18"/>
                <w:color w:val="auto"/>
                <w:w w:val="99"/>
              </w:rPr>
              <w:t>6,655,879</w:t>
            </w:r>
          </w:p>
        </w:tc>
        <w:tc>
          <w:tcPr>
            <w:tcW w:w="21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6,698,673</w:t>
            </w:r>
          </w:p>
        </w:tc>
        <w:tc>
          <w:tcPr>
            <w:tcW w:w="31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911,959</w:t>
            </w:r>
          </w:p>
        </w:tc>
        <w:tc>
          <w:tcPr>
            <w:tcW w:w="110" w:type="dxa"/>
            <w:vAlign w:val="bottom"/>
            <w:tcBorders>
              <w:bottom w:val="single" w:sz="8" w:color="DDDDDD"/>
            </w:tcBorders>
            <w:shd w:val="clear" w:color="auto" w:fill="DDDDDD"/>
          </w:tcPr>
          <w:p>
            <w:pPr>
              <w:spacing w:after="0"/>
              <w:rPr>
                <w:sz w:val="16"/>
                <w:szCs w:val="16"/>
                <w:color w:val="auto"/>
              </w:rPr>
            </w:pPr>
          </w:p>
        </w:tc>
        <w:tc>
          <w:tcPr>
            <w:tcW w:w="1450" w:type="dxa"/>
            <w:vAlign w:val="bottom"/>
            <w:tcBorders>
              <w:bottom w:val="single" w:sz="8" w:color="DDDDDD"/>
            </w:tcBorders>
            <w:shd w:val="clear" w:color="auto" w:fill="DDDDDD"/>
          </w:tcPr>
          <w:p>
            <w:pPr>
              <w:ind w:left="1070"/>
              <w:spacing w:after="0" w:line="191" w:lineRule="exact"/>
              <w:rPr>
                <w:sz w:val="20"/>
                <w:szCs w:val="20"/>
                <w:color w:val="auto"/>
              </w:rPr>
            </w:pPr>
            <w:r>
              <w:rPr>
                <w:rFonts w:ascii="Times New Roman" w:cs="Times New Roman" w:eastAsia="Times New Roman" w:hAnsi="Times New Roman"/>
                <w:sz w:val="18"/>
                <w:szCs w:val="18"/>
                <w:color w:val="auto"/>
                <w:w w:val="98"/>
              </w:rPr>
              <w:t>7.3:1</w:t>
            </w:r>
          </w:p>
        </w:tc>
        <w:tc>
          <w:tcPr>
            <w:tcW w:w="14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7.3:1</w:t>
            </w:r>
          </w:p>
        </w:tc>
      </w:tr>
      <w:tr>
        <w:trPr>
          <w:trHeight w:val="201"/>
        </w:trPr>
        <w:tc>
          <w:tcPr>
            <w:tcW w:w="268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March 31, 2025</w:t>
            </w:r>
          </w:p>
        </w:tc>
        <w:tc>
          <w:tcPr>
            <w:tcW w:w="1200" w:type="dxa"/>
            <w:vAlign w:val="bottom"/>
            <w:tcBorders>
              <w:bottom w:val="single" w:sz="8" w:color="DDDDDD"/>
            </w:tcBorders>
            <w:gridSpan w:val="3"/>
          </w:tcPr>
          <w:p>
            <w:pPr>
              <w:ind w:left="460"/>
              <w:spacing w:after="0" w:line="201" w:lineRule="exact"/>
              <w:rPr>
                <w:sz w:val="20"/>
                <w:szCs w:val="20"/>
                <w:color w:val="auto"/>
              </w:rPr>
            </w:pPr>
            <w:r>
              <w:rPr>
                <w:rFonts w:ascii="Times New Roman" w:cs="Times New Roman" w:eastAsia="Times New Roman" w:hAnsi="Times New Roman"/>
                <w:sz w:val="18"/>
                <w:szCs w:val="18"/>
                <w:color w:val="auto"/>
                <w:w w:val="99"/>
              </w:rPr>
              <w:t>6,418,641</w:t>
            </w:r>
          </w:p>
        </w:tc>
        <w:tc>
          <w:tcPr>
            <w:tcW w:w="129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6,448,407</w:t>
            </w:r>
          </w:p>
        </w:tc>
        <w:tc>
          <w:tcPr>
            <w:tcW w:w="31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DDDDDD"/>
            </w:tcBorders>
          </w:tcPr>
          <w:p>
            <w:pPr>
              <w:spacing w:after="0"/>
              <w:rPr>
                <w:sz w:val="17"/>
                <w:szCs w:val="17"/>
                <w:color w:val="auto"/>
              </w:rPr>
            </w:pPr>
          </w:p>
        </w:tc>
        <w:tc>
          <w:tcPr>
            <w:tcW w:w="120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855,879</w:t>
            </w:r>
          </w:p>
        </w:tc>
        <w:tc>
          <w:tcPr>
            <w:tcW w:w="1560" w:type="dxa"/>
            <w:vAlign w:val="bottom"/>
            <w:tcBorders>
              <w:bottom w:val="single" w:sz="8" w:color="DDDDDD"/>
            </w:tcBorders>
            <w:gridSpan w:val="2"/>
          </w:tcPr>
          <w:p>
            <w:pPr>
              <w:ind w:left="1180"/>
              <w:spacing w:after="0" w:line="201" w:lineRule="exact"/>
              <w:rPr>
                <w:sz w:val="20"/>
                <w:szCs w:val="20"/>
                <w:color w:val="auto"/>
              </w:rPr>
            </w:pPr>
            <w:r>
              <w:rPr>
                <w:rFonts w:ascii="Times New Roman" w:cs="Times New Roman" w:eastAsia="Times New Roman" w:hAnsi="Times New Roman"/>
                <w:sz w:val="18"/>
                <w:szCs w:val="18"/>
                <w:color w:val="auto"/>
                <w:w w:val="98"/>
              </w:rPr>
              <w:t>7.5:1</w:t>
            </w:r>
          </w:p>
        </w:tc>
        <w:tc>
          <w:tcPr>
            <w:tcW w:w="14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7.8:1</w:t>
            </w:r>
          </w:p>
        </w:tc>
      </w:tr>
      <w:tr>
        <w:trPr>
          <w:trHeight w:val="194"/>
        </w:trPr>
        <w:tc>
          <w:tcPr>
            <w:tcW w:w="268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11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240"/>
              <w:spacing w:after="0" w:line="194" w:lineRule="exact"/>
              <w:rPr>
                <w:sz w:val="20"/>
                <w:szCs w:val="20"/>
                <w:color w:val="auto"/>
              </w:rPr>
            </w:pPr>
            <w:r>
              <w:rPr>
                <w:rFonts w:ascii="Times New Roman" w:cs="Times New Roman" w:eastAsia="Times New Roman" w:hAnsi="Times New Roman"/>
                <w:sz w:val="18"/>
                <w:szCs w:val="18"/>
                <w:color w:val="auto"/>
                <w:w w:val="99"/>
              </w:rPr>
              <w:t>5,025,543</w:t>
            </w:r>
          </w:p>
        </w:tc>
        <w:tc>
          <w:tcPr>
            <w:tcW w:w="21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5,053,127</w:t>
            </w:r>
          </w:p>
        </w:tc>
        <w:tc>
          <w:tcPr>
            <w:tcW w:w="31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668,500</w:t>
            </w:r>
          </w:p>
        </w:tc>
        <w:tc>
          <w:tcPr>
            <w:tcW w:w="110" w:type="dxa"/>
            <w:vAlign w:val="bottom"/>
            <w:tcBorders>
              <w:bottom w:val="single" w:sz="8" w:color="DDDDDD"/>
            </w:tcBorders>
            <w:shd w:val="clear" w:color="auto" w:fill="DDDDDD"/>
          </w:tcPr>
          <w:p>
            <w:pPr>
              <w:spacing w:after="0"/>
              <w:rPr>
                <w:sz w:val="16"/>
                <w:szCs w:val="16"/>
                <w:color w:val="auto"/>
              </w:rPr>
            </w:pPr>
          </w:p>
        </w:tc>
        <w:tc>
          <w:tcPr>
            <w:tcW w:w="1450" w:type="dxa"/>
            <w:vAlign w:val="bottom"/>
            <w:tcBorders>
              <w:bottom w:val="single" w:sz="8" w:color="DDDDDD"/>
            </w:tcBorders>
            <w:shd w:val="clear" w:color="auto" w:fill="DDDDDD"/>
          </w:tcPr>
          <w:p>
            <w:pPr>
              <w:ind w:left="1070"/>
              <w:spacing w:after="0" w:line="194" w:lineRule="exact"/>
              <w:rPr>
                <w:sz w:val="20"/>
                <w:szCs w:val="20"/>
                <w:color w:val="auto"/>
              </w:rPr>
            </w:pPr>
            <w:r>
              <w:rPr>
                <w:rFonts w:ascii="Times New Roman" w:cs="Times New Roman" w:eastAsia="Times New Roman" w:hAnsi="Times New Roman"/>
                <w:sz w:val="18"/>
                <w:szCs w:val="18"/>
                <w:color w:val="auto"/>
                <w:w w:val="98"/>
              </w:rPr>
              <w:t>7.5:1</w:t>
            </w:r>
          </w:p>
        </w:tc>
        <w:tc>
          <w:tcPr>
            <w:tcW w:w="14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7.3:1</w:t>
            </w:r>
          </w:p>
        </w:tc>
      </w:tr>
      <w:tr>
        <w:trPr>
          <w:trHeight w:val="201"/>
        </w:trPr>
        <w:tc>
          <w:tcPr>
            <w:tcW w:w="268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September 30, 2024</w:t>
            </w:r>
          </w:p>
        </w:tc>
        <w:tc>
          <w:tcPr>
            <w:tcW w:w="1200" w:type="dxa"/>
            <w:vAlign w:val="bottom"/>
            <w:tcBorders>
              <w:bottom w:val="single" w:sz="8" w:color="DDDDDD"/>
            </w:tcBorders>
            <w:gridSpan w:val="3"/>
          </w:tcPr>
          <w:p>
            <w:pPr>
              <w:ind w:left="460"/>
              <w:spacing w:after="0" w:line="201" w:lineRule="exact"/>
              <w:rPr>
                <w:sz w:val="20"/>
                <w:szCs w:val="20"/>
                <w:color w:val="auto"/>
              </w:rPr>
            </w:pPr>
            <w:r>
              <w:rPr>
                <w:rFonts w:ascii="Times New Roman" w:cs="Times New Roman" w:eastAsia="Times New Roman" w:hAnsi="Times New Roman"/>
                <w:sz w:val="18"/>
                <w:szCs w:val="18"/>
                <w:color w:val="auto"/>
                <w:w w:val="99"/>
              </w:rPr>
              <w:t>5,230,871</w:t>
            </w:r>
          </w:p>
        </w:tc>
        <w:tc>
          <w:tcPr>
            <w:tcW w:w="129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5,260,469</w:t>
            </w:r>
          </w:p>
        </w:tc>
        <w:tc>
          <w:tcPr>
            <w:tcW w:w="31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(300,000 )</w:t>
            </w:r>
          </w:p>
        </w:tc>
        <w:tc>
          <w:tcPr>
            <w:tcW w:w="1200" w:type="dxa"/>
            <w:vAlign w:val="bottom"/>
            <w:tcBorders>
              <w:bottom w:val="single" w:sz="8" w:color="DDDDDD"/>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656,024</w:t>
            </w:r>
          </w:p>
        </w:tc>
        <w:tc>
          <w:tcPr>
            <w:tcW w:w="1560" w:type="dxa"/>
            <w:vAlign w:val="bottom"/>
            <w:tcBorders>
              <w:bottom w:val="single" w:sz="8" w:color="DDDDDD"/>
            </w:tcBorders>
            <w:gridSpan w:val="2"/>
          </w:tcPr>
          <w:p>
            <w:pPr>
              <w:ind w:left="1180"/>
              <w:spacing w:after="0" w:line="201" w:lineRule="exact"/>
              <w:rPr>
                <w:sz w:val="20"/>
                <w:szCs w:val="20"/>
                <w:color w:val="auto"/>
              </w:rPr>
            </w:pPr>
            <w:r>
              <w:rPr>
                <w:rFonts w:ascii="Times New Roman" w:cs="Times New Roman" w:eastAsia="Times New Roman" w:hAnsi="Times New Roman"/>
                <w:sz w:val="18"/>
                <w:szCs w:val="18"/>
                <w:color w:val="auto"/>
                <w:w w:val="98"/>
              </w:rPr>
              <w:t>8.0:1</w:t>
            </w:r>
          </w:p>
        </w:tc>
        <w:tc>
          <w:tcPr>
            <w:tcW w:w="14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7.6:1</w:t>
            </w:r>
          </w:p>
        </w:tc>
      </w:tr>
      <w:tr>
        <w:trPr>
          <w:trHeight w:val="192"/>
        </w:trPr>
        <w:tc>
          <w:tcPr>
            <w:tcW w:w="268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June 30, 2024</w:t>
            </w:r>
          </w:p>
        </w:tc>
        <w:tc>
          <w:tcPr>
            <w:tcW w:w="11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ind w:left="240"/>
              <w:spacing w:after="0" w:line="191" w:lineRule="exact"/>
              <w:rPr>
                <w:sz w:val="20"/>
                <w:szCs w:val="20"/>
                <w:color w:val="auto"/>
              </w:rPr>
            </w:pPr>
            <w:r>
              <w:rPr>
                <w:rFonts w:ascii="Times New Roman" w:cs="Times New Roman" w:eastAsia="Times New Roman" w:hAnsi="Times New Roman"/>
                <w:sz w:val="18"/>
                <w:szCs w:val="18"/>
                <w:color w:val="auto"/>
                <w:w w:val="99"/>
              </w:rPr>
              <w:t>4,345,704</w:t>
            </w:r>
          </w:p>
        </w:tc>
        <w:tc>
          <w:tcPr>
            <w:tcW w:w="21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4,373,973</w:t>
            </w:r>
          </w:p>
        </w:tc>
        <w:tc>
          <w:tcPr>
            <w:tcW w:w="31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10" w:type="dxa"/>
            <w:vAlign w:val="bottom"/>
            <w:tcBorders>
              <w:bottom w:val="single" w:sz="8" w:color="DDDDDD"/>
            </w:tcBorders>
            <w:shd w:val="clear" w:color="auto" w:fill="DDDDDD"/>
          </w:tcPr>
          <w:p>
            <w:pPr>
              <w:spacing w:after="0"/>
              <w:rPr>
                <w:sz w:val="16"/>
                <w:szCs w:val="16"/>
                <w:color w:val="auto"/>
              </w:rPr>
            </w:pPr>
          </w:p>
        </w:tc>
        <w:tc>
          <w:tcPr>
            <w:tcW w:w="97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555,932</w:t>
            </w:r>
          </w:p>
        </w:tc>
        <w:tc>
          <w:tcPr>
            <w:tcW w:w="110" w:type="dxa"/>
            <w:vAlign w:val="bottom"/>
            <w:tcBorders>
              <w:bottom w:val="single" w:sz="8" w:color="DDDDDD"/>
            </w:tcBorders>
            <w:shd w:val="clear" w:color="auto" w:fill="DDDDDD"/>
          </w:tcPr>
          <w:p>
            <w:pPr>
              <w:spacing w:after="0"/>
              <w:rPr>
                <w:sz w:val="16"/>
                <w:szCs w:val="16"/>
                <w:color w:val="auto"/>
              </w:rPr>
            </w:pPr>
          </w:p>
        </w:tc>
        <w:tc>
          <w:tcPr>
            <w:tcW w:w="1450" w:type="dxa"/>
            <w:vAlign w:val="bottom"/>
            <w:tcBorders>
              <w:bottom w:val="single" w:sz="8" w:color="DDDDDD"/>
            </w:tcBorders>
            <w:shd w:val="clear" w:color="auto" w:fill="DDDDDD"/>
          </w:tcPr>
          <w:p>
            <w:pPr>
              <w:ind w:left="1070"/>
              <w:spacing w:after="0" w:line="191" w:lineRule="exact"/>
              <w:rPr>
                <w:sz w:val="20"/>
                <w:szCs w:val="20"/>
                <w:color w:val="auto"/>
              </w:rPr>
            </w:pPr>
            <w:r>
              <w:rPr>
                <w:rFonts w:ascii="Times New Roman" w:cs="Times New Roman" w:eastAsia="Times New Roman" w:hAnsi="Times New Roman"/>
                <w:sz w:val="18"/>
                <w:szCs w:val="18"/>
                <w:color w:val="auto"/>
                <w:w w:val="98"/>
              </w:rPr>
              <w:t>7.8:1</w:t>
            </w:r>
          </w:p>
        </w:tc>
        <w:tc>
          <w:tcPr>
            <w:tcW w:w="14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7.1:1</w:t>
            </w:r>
          </w:p>
        </w:tc>
      </w:tr>
      <w:tr>
        <w:trPr>
          <w:trHeight w:val="204"/>
        </w:trPr>
        <w:tc>
          <w:tcPr>
            <w:tcW w:w="268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March 31, 2024</w:t>
            </w:r>
          </w:p>
        </w:tc>
        <w:tc>
          <w:tcPr>
            <w:tcW w:w="1200" w:type="dxa"/>
            <w:vAlign w:val="bottom"/>
            <w:tcBorders>
              <w:bottom w:val="single" w:sz="8" w:color="auto"/>
            </w:tcBorders>
            <w:gridSpan w:val="3"/>
          </w:tcPr>
          <w:p>
            <w:pPr>
              <w:ind w:left="460"/>
              <w:spacing w:after="0" w:line="204" w:lineRule="exact"/>
              <w:rPr>
                <w:sz w:val="20"/>
                <w:szCs w:val="20"/>
                <w:color w:val="auto"/>
              </w:rPr>
            </w:pPr>
            <w:r>
              <w:rPr>
                <w:rFonts w:ascii="Times New Roman" w:cs="Times New Roman" w:eastAsia="Times New Roman" w:hAnsi="Times New Roman"/>
                <w:sz w:val="18"/>
                <w:szCs w:val="18"/>
                <w:color w:val="auto"/>
                <w:w w:val="99"/>
              </w:rPr>
              <w:t>3,711,498</w:t>
            </w:r>
          </w:p>
        </w:tc>
        <w:tc>
          <w:tcPr>
            <w:tcW w:w="1290" w:type="dxa"/>
            <w:vAlign w:val="bottom"/>
            <w:tcBorders>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3,733,030</w:t>
            </w:r>
          </w:p>
        </w:tc>
        <w:tc>
          <w:tcPr>
            <w:tcW w:w="31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(370,700 )</w:t>
            </w:r>
          </w:p>
        </w:tc>
        <w:tc>
          <w:tcPr>
            <w:tcW w:w="1200" w:type="dxa"/>
            <w:vAlign w:val="bottom"/>
            <w:tcBorders>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481,632</w:t>
            </w:r>
          </w:p>
        </w:tc>
        <w:tc>
          <w:tcPr>
            <w:tcW w:w="1560" w:type="dxa"/>
            <w:vAlign w:val="bottom"/>
            <w:tcBorders>
              <w:bottom w:val="single" w:sz="8" w:color="auto"/>
            </w:tcBorders>
            <w:gridSpan w:val="2"/>
          </w:tcPr>
          <w:p>
            <w:pPr>
              <w:ind w:left="1180"/>
              <w:spacing w:after="0" w:line="204" w:lineRule="exact"/>
              <w:rPr>
                <w:sz w:val="20"/>
                <w:szCs w:val="20"/>
                <w:color w:val="auto"/>
              </w:rPr>
            </w:pPr>
            <w:r>
              <w:rPr>
                <w:rFonts w:ascii="Times New Roman" w:cs="Times New Roman" w:eastAsia="Times New Roman" w:hAnsi="Times New Roman"/>
                <w:sz w:val="18"/>
                <w:szCs w:val="18"/>
                <w:color w:val="auto"/>
                <w:w w:val="98"/>
              </w:rPr>
              <w:t>7.7:1</w:t>
            </w:r>
          </w:p>
        </w:tc>
        <w:tc>
          <w:tcPr>
            <w:tcW w:w="14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7.0:1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-421640</wp:posOffset>
                </wp:positionV>
                <wp:extent cx="68580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3.1999pt" to="540.2pt,-33.1999pt" o:allowincell="f" strokecolor="#FFFFFF" strokeweight="0.24pt"/>
            </w:pict>
          </mc:Fallback>
        </mc:AlternateConten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Liquidity is our ability to turn non-cash assets into cash, purchase additional investments, repay principal and interest on</w:t>
      </w:r>
    </w:p>
    <w:p>
      <w:pPr>
        <w:spacing w:after="0" w:line="2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borrowings, fund overhead, fulfill margin calls and pay dividends. We have both internal and external sources of liquidity. However, our material unused sources of liquidity include cash balances, unencumbered assets and our ability to sell encumbered assets to raise cash. Our balance sheet also generates liquidity on an on- going basis through payments of principal and interest we receive on our RMBS portfolio. Management believes that we currently have sufficient short-term and long -term liquidity and capital resources available for (a) the acquisition of additional investments consistent with the size and nature of our existing RMBS portfolio, (b) the repayments on borrowings and (c) the payment of dividends to the extent required for our continued qualification as a REIT. We may also generate liquidity from time to time by selling our equity or debt securities in public offerings or private placements.</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Internal Sources of Liquidity</w:t>
      </w:r>
    </w:p>
    <w:p>
      <w:pPr>
        <w:spacing w:after="0" w:line="229" w:lineRule="exact"/>
        <w:rPr>
          <w:sz w:val="20"/>
          <w:szCs w:val="20"/>
          <w:color w:val="auto"/>
        </w:rPr>
      </w:pPr>
    </w:p>
    <w:p>
      <w:pPr>
        <w:ind w:right="140" w:firstLine="499"/>
        <w:spacing w:after="0" w:line="244" w:lineRule="auto"/>
        <w:rPr>
          <w:sz w:val="20"/>
          <w:szCs w:val="20"/>
          <w:color w:val="auto"/>
        </w:rPr>
      </w:pPr>
      <w:r>
        <w:rPr>
          <w:rFonts w:ascii="Times New Roman" w:cs="Times New Roman" w:eastAsia="Times New Roman" w:hAnsi="Times New Roman"/>
          <w:sz w:val="20"/>
          <w:szCs w:val="20"/>
          <w:color w:val="auto"/>
        </w:rPr>
        <w:t>Our internal sources of liquidity include our cash balances, unencumbered assets and our ability to liquidate our encumbered security holdings. Our balance sheet also generates liquidity on an on-going basis through payments of principal and interest we receive on our RMBS portfolio. Because our PT RMBS portfolio consists entirely of government and agency securities, we do not anticipate having difficulty converting our assets to cash should our liquidity needs ever exceed our immediately available sources of cash. Our structured RMBS portfolio also consists entirely of governmental agency securities, although they typically do not trade with comparable bid / ask spreads as PT RMBS. However, we anticipate that we would be able to liquidate such securities readily, even in distressed markets, although we would likely do so at prices below where such securities could be sold in a more stable market. To enhance our liquidity even further, we may pledge a portion of our structured RMBS as part of a repurchase agreement funding, but retain the cash in lieu of acquiring additional assets. In this way we can, at a modest cost, retain higher levels of cash on hand and decrease the likelihood we will have to sell assets in a distressed market in order to raise cash.</w:t>
      </w:r>
    </w:p>
    <w:p>
      <w:pPr>
        <w:spacing w:after="0" w:line="192" w:lineRule="exact"/>
        <w:rPr>
          <w:sz w:val="20"/>
          <w:szCs w:val="20"/>
          <w:color w:val="auto"/>
        </w:rPr>
      </w:pPr>
    </w:p>
    <w:p>
      <w:pPr>
        <w:ind w:right="20" w:firstLine="499"/>
        <w:spacing w:after="0" w:line="247" w:lineRule="auto"/>
        <w:rPr>
          <w:sz w:val="20"/>
          <w:szCs w:val="20"/>
          <w:color w:val="auto"/>
        </w:rPr>
      </w:pPr>
      <w:r>
        <w:rPr>
          <w:rFonts w:ascii="Times New Roman" w:cs="Times New Roman" w:eastAsia="Times New Roman" w:hAnsi="Times New Roman"/>
          <w:sz w:val="20"/>
          <w:szCs w:val="20"/>
          <w:color w:val="auto"/>
        </w:rPr>
        <w:t>Our strategy for hedging our funding costs typically involves taking short positions in interest rate futures, interest rate swaps, interest rate swaptions or other instruments. When the market causes these short positions to decline in value we are required to meet margin calls with cash. This can reduce our liquidity position to the extent other securities in our portfolio move in price in such a way that we do not receive enough cash via margin calls to offset the derivative related margin calls. If this were to occur in sufficient magnitude, the loss of liquidity might force us to reduce the size of the levered portfolio, pledge additional structured securities to raise funds or risk operating the portfolio with less liquidity.</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External Sources of Liquidity</w:t>
      </w:r>
    </w:p>
    <w:p>
      <w:pPr>
        <w:spacing w:after="0" w:line="227" w:lineRule="exact"/>
        <w:rPr>
          <w:sz w:val="20"/>
          <w:szCs w:val="20"/>
          <w:color w:val="auto"/>
        </w:rPr>
      </w:pPr>
    </w:p>
    <w:p>
      <w:pPr>
        <w:ind w:right="180" w:firstLine="499"/>
        <w:spacing w:after="0" w:line="247" w:lineRule="auto"/>
        <w:rPr>
          <w:sz w:val="20"/>
          <w:szCs w:val="20"/>
          <w:color w:val="auto"/>
        </w:rPr>
      </w:pPr>
      <w:r>
        <w:rPr>
          <w:rFonts w:ascii="Times New Roman" w:cs="Times New Roman" w:eastAsia="Times New Roman" w:hAnsi="Times New Roman"/>
          <w:sz w:val="20"/>
          <w:szCs w:val="20"/>
          <w:color w:val="auto"/>
        </w:rPr>
        <w:t>Our primary external sources of liquidity are our ability to (i) borrow under master repurchase agreements, (ii) use the TBA security market and (iii) sell our equity or debt securities in public offerings or private placements. Our borrowing capacity will vary over time as the market value of our interest earning assets varies. Our master repurchase agreements have no stated expiration, but can be terminated at any time at our option or at the option of the counterparty. However, once a definitive repurchase agreement under a master repurchase agreement has been entered into, it generally may not be terminated by either party. A negotiated termination can occur, but may involve a fee to be paid by the party seeking to terminate the repurchase agreement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796" w:right="720" w:bottom="0" w:gutter="0" w:footer="0" w:header="0"/>
        </w:sectPr>
      </w:pPr>
    </w:p>
    <w:bookmarkStart w:id="60" w:name="page61"/>
    <w:bookmarkEnd w:id="60"/>
    <w:p>
      <w:pPr>
        <w:ind w:right="20" w:firstLine="499"/>
        <w:spacing w:after="0" w:line="244" w:lineRule="auto"/>
        <w:rPr>
          <w:sz w:val="20"/>
          <w:szCs w:val="20"/>
          <w:color w:val="auto"/>
        </w:rPr>
      </w:pPr>
      <w:r>
        <w:rPr>
          <w:rFonts w:ascii="Times New Roman" w:cs="Times New Roman" w:eastAsia="Times New Roman" w:hAnsi="Times New Roman"/>
          <w:sz w:val="20"/>
          <w:szCs w:val="20"/>
          <w:color w:val="auto"/>
        </w:rPr>
        <w:t>Under our repurchase agreement funding arrangements, we are required to post margin at the initiation of the borrowing. The margin posted represents the haircut, which is a percentage of the market value of the collateral pledged. To the extent the market value of the asset collateralizing the financing transaction declines, the market value of our posted margin will be insufficient and we will be required to post additional collateral. Conversely, if the market value of the asset pledged increases in value, we would be over collateralized and we would be entitled to have excess margin returned to us by the counterparty. Our lenders typically value our pledged securities daily to ensure the adequacy of our margin and make margin calls as needed, as do we. Typically, but not always, the parties agree to a minimum threshold amount for margin calls so as to avoid the need for nuisance margin calls on a daily basis. Our master repurchase agreements do not specify the haircut; rather haircuts are determined on an individual repo transaction basis. Throughout the year ended December 31, 2025, haircuts on our pledged collateral remained stable and as of December 31, 2025, our weighted average haircut was approximately 4.1% of the value of our collateral.</w:t>
      </w:r>
    </w:p>
    <w:p>
      <w:pPr>
        <w:spacing w:after="0" w:line="192" w:lineRule="exact"/>
        <w:rPr>
          <w:sz w:val="20"/>
          <w:szCs w:val="20"/>
          <w:color w:val="auto"/>
        </w:rPr>
      </w:pPr>
    </w:p>
    <w:p>
      <w:pPr>
        <w:ind w:right="200" w:firstLine="499"/>
        <w:spacing w:after="0" w:line="249" w:lineRule="auto"/>
        <w:rPr>
          <w:sz w:val="20"/>
          <w:szCs w:val="20"/>
          <w:color w:val="auto"/>
        </w:rPr>
      </w:pPr>
      <w:r>
        <w:rPr>
          <w:rFonts w:ascii="Times New Roman" w:cs="Times New Roman" w:eastAsia="Times New Roman" w:hAnsi="Times New Roman"/>
          <w:sz w:val="20"/>
          <w:szCs w:val="20"/>
          <w:color w:val="auto"/>
        </w:rPr>
        <w:t>TBAs represent a form of off-balance sheet financing and are accounted for as derivative instruments. (See Note 5 to our Financial Statements in this Form 10- K for additional details on of our TBAs). Under certain market conditions, it may be uneconomical for us to roll our TBAs into future months and we may need to take or make physical delivery of the underlying securities. If we were required to take physical delivery to settle a long TBA, we would have to fund our total purchase commitment with cash or other financing sources and our liquidity position could be negatively impacted.</w:t>
      </w:r>
    </w:p>
    <w:p>
      <w:pPr>
        <w:spacing w:after="0" w:line="187" w:lineRule="exact"/>
        <w:rPr>
          <w:sz w:val="20"/>
          <w:szCs w:val="20"/>
          <w:color w:val="auto"/>
        </w:rPr>
      </w:pPr>
    </w:p>
    <w:p>
      <w:pPr>
        <w:ind w:firstLine="499"/>
        <w:spacing w:after="0" w:line="247" w:lineRule="auto"/>
        <w:rPr>
          <w:sz w:val="20"/>
          <w:szCs w:val="20"/>
          <w:color w:val="auto"/>
        </w:rPr>
      </w:pPr>
      <w:r>
        <w:rPr>
          <w:rFonts w:ascii="Times New Roman" w:cs="Times New Roman" w:eastAsia="Times New Roman" w:hAnsi="Times New Roman"/>
          <w:sz w:val="20"/>
          <w:szCs w:val="20"/>
          <w:color w:val="auto"/>
        </w:rPr>
        <w:t>Our TBAs are also subject to margin requirements governed by the Mortgage-Backed Securities Division ("MBSD") of the FICC and by our Master Securities Forward Transaction Agreements ("MSFTAs"), which may establish margin levels in excess of the MBSD. Such provisions require that we establish an initial margin based on the notional value of the TBA, which is subject to increase if the estimated fair value of our TBAs or the estimated fair value of our pledged collateral declines. The MBSD has the sole discretion to determine the value of our TBAs and of the pledged collateral securing such contracts. In the event of a margin call, we must generally provide additional collateral on the same business day.</w:t>
      </w:r>
    </w:p>
    <w:p>
      <w:pPr>
        <w:spacing w:after="0" w:line="188" w:lineRule="exact"/>
        <w:rPr>
          <w:sz w:val="20"/>
          <w:szCs w:val="20"/>
          <w:color w:val="auto"/>
        </w:rPr>
      </w:pPr>
    </w:p>
    <w:p>
      <w:pPr>
        <w:jc w:val="both"/>
        <w:ind w:right="300" w:firstLine="499"/>
        <w:spacing w:after="0" w:line="259" w:lineRule="auto"/>
        <w:rPr>
          <w:sz w:val="20"/>
          <w:szCs w:val="20"/>
          <w:color w:val="auto"/>
        </w:rPr>
      </w:pPr>
      <w:r>
        <w:rPr>
          <w:rFonts w:ascii="Times New Roman" w:cs="Times New Roman" w:eastAsia="Times New Roman" w:hAnsi="Times New Roman"/>
          <w:sz w:val="20"/>
          <w:szCs w:val="20"/>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77"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20"/>
          <w:szCs w:val="20"/>
          <w:color w:val="auto"/>
        </w:rPr>
        <w:t>We invest a portion of our capital in structured Agency RMBS. We generally do not apply leverage to this portion of our portfolio. The leverage inherent in structured securities replaces the leverage obtained by acquiring PT securities and funding them in the repo market. However, we have and may continue to pledge a portion of our structured RMBS in order to raise our cash levels, but generally will not pledge these securities in order to acquire additional assets.</w:t>
      </w:r>
    </w:p>
    <w:p>
      <w:pPr>
        <w:spacing w:after="0" w:line="184" w:lineRule="exact"/>
        <w:rPr>
          <w:sz w:val="20"/>
          <w:szCs w:val="20"/>
          <w:color w:val="auto"/>
        </w:rPr>
      </w:pPr>
    </w:p>
    <w:p>
      <w:pPr>
        <w:ind w:right="140" w:firstLine="499"/>
        <w:spacing w:after="0" w:line="252" w:lineRule="auto"/>
        <w:rPr>
          <w:sz w:val="20"/>
          <w:szCs w:val="20"/>
          <w:color w:val="auto"/>
        </w:rPr>
      </w:pPr>
      <w:r>
        <w:rPr>
          <w:rFonts w:ascii="Times New Roman" w:cs="Times New Roman" w:eastAsia="Times New Roman" w:hAnsi="Times New Roman"/>
          <w:sz w:val="20"/>
          <w:szCs w:val="20"/>
          <w:color w:val="auto"/>
        </w:rPr>
        <w:t>In future periods, we expect to continue to finance our activities in a manner that is consistent with our current operations through repurchase agreements. As of December 31, 2025, we had cash and cash equivalents of $665.9 million. We generated cash flows of $1,267.2 million from principal and interest payments on our RMBS and had average repurchase agreements outstanding of $7,163.0 million during the year ended December 31, 2025.</w:t>
      </w:r>
    </w:p>
    <w:p>
      <w:pPr>
        <w:spacing w:after="0" w:line="184" w:lineRule="exact"/>
        <w:rPr>
          <w:sz w:val="20"/>
          <w:szCs w:val="20"/>
          <w:color w:val="auto"/>
        </w:rPr>
      </w:pPr>
    </w:p>
    <w:p>
      <w:pPr>
        <w:ind w:right="560" w:firstLine="499"/>
        <w:spacing w:after="0" w:line="277" w:lineRule="auto"/>
        <w:rPr>
          <w:sz w:val="20"/>
          <w:szCs w:val="20"/>
          <w:color w:val="auto"/>
        </w:rPr>
      </w:pPr>
      <w:r>
        <w:rPr>
          <w:rFonts w:ascii="Times New Roman" w:cs="Times New Roman" w:eastAsia="Times New Roman" w:hAnsi="Times New Roman"/>
          <w:sz w:val="20"/>
          <w:szCs w:val="20"/>
          <w:color w:val="auto"/>
        </w:rPr>
        <w:t>As described more fully below, we may also access liquidity by selling our equity or debt securities in public offerings or private placements.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As of December 31, 2025, we had no material commitments for capital expenditures.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233" w:lineRule="exact"/>
        <w:rPr>
          <w:sz w:val="20"/>
          <w:szCs w:val="20"/>
          <w:color w:val="auto"/>
        </w:rPr>
      </w:pPr>
    </w:p>
    <w:p>
      <w:pPr>
        <w:ind w:right="120" w:firstLine="499"/>
        <w:spacing w:after="0" w:line="247" w:lineRule="auto"/>
        <w:rPr>
          <w:sz w:val="20"/>
          <w:szCs w:val="20"/>
          <w:color w:val="auto"/>
        </w:rPr>
      </w:pPr>
      <w:r>
        <w:rPr>
          <w:rFonts w:ascii="Times New Roman" w:cs="Times New Roman" w:eastAsia="Times New Roman" w:hAnsi="Times New Roman"/>
          <w:sz w:val="20"/>
          <w:szCs w:val="20"/>
          <w:color w:val="auto"/>
        </w:rPr>
        <w:t>On October 29, 2021, we entered into an equity distribution agreement (the “October 2021 Equity Distribution Agreement”) with four sales agents pursuant to which we could offer and sell, from time to time, up to an aggregate amount of $250,000,000 of shares of our common stock in transactions that were deemed to be “at the market” offerings and privately negotiated transactions. We issued a total of 9,742,188 shares under the October 2021 Equity Distribution Agreement for aggregate gross proceeds of approximately $151.8 million, and net proceeds of approximately $149.3 million, after commissions and fees, prior to its termination in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780"/>
          </w:cols>
          <w:pgMar w:left="720" w:top="788" w:right="740" w:bottom="0" w:gutter="0" w:footer="0" w:header="0"/>
        </w:sectPr>
      </w:pPr>
    </w:p>
    <w:bookmarkStart w:id="61" w:name="page62"/>
    <w:bookmarkEnd w:id="61"/>
    <w:p>
      <w:pPr>
        <w:ind w:firstLine="499"/>
        <w:spacing w:after="0" w:line="247" w:lineRule="auto"/>
        <w:rPr>
          <w:sz w:val="20"/>
          <w:szCs w:val="20"/>
          <w:color w:val="auto"/>
        </w:rPr>
      </w:pPr>
      <w:r>
        <w:rPr>
          <w:rFonts w:ascii="Times New Roman" w:cs="Times New Roman" w:eastAsia="Times New Roman" w:hAnsi="Times New Roman"/>
          <w:sz w:val="20"/>
          <w:szCs w:val="20"/>
          <w:color w:val="auto"/>
        </w:rPr>
        <w:t>On March 7, 2023, we entered into an equity distribution agreement (the “March 2023 Equity Distribution Agreement”) with three sales agents pursuant to which we could offer and sell, from time to time, up to an aggregate amount of $250,000,000 of shares of our common stock in transactions that were deemed to be “at the market” offerings and privately negotiated transactions. We issued a total of 24,675,497 shares under the March 2023 Equity Distribution Agreement for aggregate gross proceeds of approximately $228.8 million and net proceeds of approximately $225.0 million, after commissions and fees, prior to its termination in June 2024.</w:t>
      </w:r>
    </w:p>
    <w:p>
      <w:pPr>
        <w:spacing w:after="0" w:line="188" w:lineRule="exact"/>
        <w:rPr>
          <w:sz w:val="20"/>
          <w:szCs w:val="20"/>
          <w:color w:val="auto"/>
        </w:rPr>
      </w:pPr>
    </w:p>
    <w:p>
      <w:pPr>
        <w:ind w:right="20" w:firstLine="499"/>
        <w:spacing w:after="0" w:line="247" w:lineRule="auto"/>
        <w:rPr>
          <w:sz w:val="20"/>
          <w:szCs w:val="20"/>
          <w:color w:val="auto"/>
        </w:rPr>
      </w:pPr>
      <w:r>
        <w:rPr>
          <w:rFonts w:ascii="Times New Roman" w:cs="Times New Roman" w:eastAsia="Times New Roman" w:hAnsi="Times New Roman"/>
          <w:sz w:val="20"/>
          <w:szCs w:val="20"/>
          <w:color w:val="auto"/>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spacing w:after="0" w:line="191" w:lineRule="exact"/>
        <w:rPr>
          <w:sz w:val="20"/>
          <w:szCs w:val="20"/>
          <w:color w:val="auto"/>
        </w:rPr>
      </w:pPr>
    </w:p>
    <w:p>
      <w:pPr>
        <w:ind w:right="160" w:firstLine="499"/>
        <w:spacing w:after="0" w:line="245" w:lineRule="auto"/>
        <w:rPr>
          <w:sz w:val="20"/>
          <w:szCs w:val="20"/>
          <w:color w:val="auto"/>
        </w:rPr>
      </w:pPr>
      <w:r>
        <w:rPr>
          <w:rFonts w:ascii="Times New Roman" w:cs="Times New Roman" w:eastAsia="Times New Roman" w:hAnsi="Times New Roman"/>
          <w:sz w:val="20"/>
          <w:szCs w:val="20"/>
          <w:color w:val="auto"/>
        </w:rPr>
        <w:t>On February 24, 2025, we entered into an equity distribution agreement (the “February 2025 Equity Distribution Agreement”) with four sales agents pursuant to which we could offer and sell, from time to time, up to an aggregate amount of $350,000,000 of gross proceeds from the sales of shares of our common stock in transactions that are deemed to be “at the market” offerings and privately negotiated transactions. On July 28, 2025, the February 2025 Equity Distribution Agreement was amended to increase the aggregate amount of gross proceeds from the sales of shares that may be offered by $150,000,000 to a total of $ 500,000,000. We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spacing w:after="0" w:line="194" w:lineRule="exact"/>
        <w:rPr>
          <w:sz w:val="20"/>
          <w:szCs w:val="20"/>
          <w:color w:val="auto"/>
        </w:rPr>
      </w:pPr>
    </w:p>
    <w:p>
      <w:pPr>
        <w:ind w:right="40" w:firstLine="500"/>
        <w:spacing w:after="0" w:line="245" w:lineRule="auto"/>
        <w:rPr>
          <w:sz w:val="20"/>
          <w:szCs w:val="20"/>
          <w:color w:val="auto"/>
        </w:rPr>
      </w:pPr>
      <w:r>
        <w:rPr>
          <w:rFonts w:ascii="Times New Roman" w:cs="Times New Roman" w:eastAsia="Times New Roman" w:hAnsi="Times New Roman"/>
          <w:sz w:val="20"/>
          <w:szCs w:val="20"/>
          <w:color w:val="auto"/>
        </w:rPr>
        <w:t>On October 27, 2025, we entered into an equity distribution agreement (the “October 2025 Equity Distribution Agreement”) with four sales agents pursuant to which we may offer and sell, from time to time, up to an aggregate amount of $500,000,000 of shares of our common stock in transactions that are deemed to be “at the market” offerings and privately negotiated transactions. Through December 31, 2025, we issued a total of 30,265,963 shares under the October 2025 Equity Distribution Agreement for aggregate gross proceeds of approximately $223.1 million, and net proceeds of approximately $219.7 million, after commissions and fees. Subsequent to December 31, 2025, we issued a total of 8,707,492 shares under the October 2025 Equity Distribution Agreement for aggregate gross proceeds of approximately $66.2 million, and net proceeds of approximately $65.2 million, after commissions and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Summary</w:t>
      </w:r>
    </w:p>
    <w:p>
      <w:pPr>
        <w:spacing w:after="0" w:line="227" w:lineRule="exact"/>
        <w:rPr>
          <w:sz w:val="20"/>
          <w:szCs w:val="20"/>
          <w:color w:val="auto"/>
        </w:rPr>
      </w:pPr>
    </w:p>
    <w:p>
      <w:pPr>
        <w:ind w:firstLine="500"/>
        <w:spacing w:after="0" w:line="243" w:lineRule="auto"/>
        <w:rPr>
          <w:sz w:val="20"/>
          <w:szCs w:val="20"/>
          <w:color w:val="auto"/>
        </w:rPr>
      </w:pPr>
      <w:r>
        <w:rPr>
          <w:rFonts w:ascii="Times New Roman" w:cs="Times New Roman" w:eastAsia="Times New Roman" w:hAnsi="Times New Roman"/>
          <w:sz w:val="20"/>
          <w:szCs w:val="20"/>
          <w:color w:val="auto"/>
        </w:rPr>
        <w:t>As the year 2025 came to a close market conditions were relatively calm. The government shutdown that commenced October 1, 2025 and lasted for six weeks indirectly contributed to the calm. As a result of the government shutdown, many entities that provide economic data to the markets were unable to do so and it took several weeks after the government reopened before they were able to resume. The lack of economic data deprived both the markets and Fed policy makers of the ability to gauge the performance of the economy and its many components, such as the labor market, consumer spending and price data. As a result, market participants and the Fed were left with limited data from private sources. The result of the data vacuum for the markets was a continuation of the status quo, as the market awaited further clarification on growth and inflation. Interest rates were stable and traded in a rather tight range. Interest rate implied volatility continued its long decline that started in early April 2025, after the Trump administration imposed broad tariffs. The FOMC opted to continue on their path of policy normalization by lowering the Fed Funds rate twice in the fourth quarter of 2025, in each case by 25 basis points. In doing so the Fed believed they had reached the upper end of neutral – implying the neutral policy rate was in fact a range versus a specific rate level.</w:t>
      </w:r>
    </w:p>
    <w:p>
      <w:pPr>
        <w:spacing w:after="0" w:line="200" w:lineRule="exact"/>
        <w:rPr>
          <w:sz w:val="20"/>
          <w:szCs w:val="20"/>
          <w:color w:val="auto"/>
        </w:rPr>
      </w:pPr>
    </w:p>
    <w:p>
      <w:pPr>
        <w:ind w:right="180" w:firstLine="499"/>
        <w:spacing w:after="0" w:line="246" w:lineRule="auto"/>
        <w:rPr>
          <w:sz w:val="20"/>
          <w:szCs w:val="20"/>
          <w:color w:val="auto"/>
        </w:rPr>
      </w:pPr>
      <w:r>
        <w:rPr>
          <w:rFonts w:ascii="Times New Roman" w:cs="Times New Roman" w:eastAsia="Times New Roman" w:hAnsi="Times New Roman"/>
          <w:sz w:val="20"/>
          <w:szCs w:val="20"/>
          <w:color w:val="auto"/>
        </w:rPr>
        <w:t>As with prior quarters the economy continues to operate with elevated inflation relative to the Fed’s 2% target, and with evidence of a fragile labor market. There is ample data to support either thesis regarding the outlook for the economy, and market participants and FOMC members are split on how monetary policy should be managed to address the Fed’s dual mandates. The two rate cuts that occurred during the fourth quarter of 2025 were the result of split votes whereby some members dissented in both the direction of more cuts and fewer, or no cuts. As we enter the first quarter of 2026 the dilemma persists, although the FOMC opted to hold policy steady at their January 2026 meeting, claiming they had time to monitor the incoming data for now as monetary policy was deemed near neutral and there was no pressing need to increase accommodation.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780"/>
          </w:cols>
          <w:pgMar w:left="720" w:top="788" w:right="740" w:bottom="0" w:gutter="0" w:footer="0" w:header="0"/>
        </w:sectPr>
      </w:pPr>
    </w:p>
    <w:bookmarkStart w:id="62" w:name="page63"/>
    <w:bookmarkEnd w:id="62"/>
    <w:p>
      <w:pPr>
        <w:ind w:firstLine="499"/>
        <w:spacing w:after="0" w:line="249" w:lineRule="auto"/>
        <w:rPr>
          <w:sz w:val="20"/>
          <w:szCs w:val="20"/>
          <w:color w:val="auto"/>
        </w:rPr>
      </w:pPr>
      <w:r>
        <w:rPr>
          <w:rFonts w:ascii="Times New Roman" w:cs="Times New Roman" w:eastAsia="Times New Roman" w:hAnsi="Times New Roman"/>
          <w:sz w:val="20"/>
          <w:szCs w:val="20"/>
          <w:color w:val="auto"/>
        </w:rPr>
        <w:t>One additional development that will likely impact monetary policy going forward was the decision by President Trump to nominate Kevin Warsh as the next chairman of the Fed in late January. The term of the current chairman, Jerome Powell, ends in May of 2026. While President Trump has been highly critical of Chairman Powell and openly stated his desire for lower interest rates, the market does not appear to anticipate incoming Chairman Warsh will aggressively lower the Fed Funds rate. In fact Chairman Warsh is expected to be more of a proponent of fighting inflation and shrinking the Fed’s balance sheet.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Interest Rates</w:t>
      </w:r>
    </w:p>
    <w:p>
      <w:pPr>
        <w:spacing w:after="0" w:line="227"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As alluded to above, interest rates were quite stable over the course of the fourth quarter of 2025 and into the first quarter of 2026. All indicators of economic activity, while often of suspect quality and not always available or timely, did not indicate much changed during the fourth quarter. Inflation data remained above the Fed’s target, although there did not appear to be material flow-through from the tariffs implemented during the year, and the labor market, while not robust, did not appear to be deteriorating. The Fed lowered the Fed Funds rate two times in the fourth quarter – a continuation of their plan to bring monetary policy towards neutral – and signaled they had done so. Additional cuts may come if needed, but are not anticipated in the near term. Longer maturity U.S. Treasury rates remained in a tight range throughout the fourth quarter and remained so into the first quarter of 2026. As a result of the two 25 basis point rate cuts by the Fed in the fourth quarter, the spread between the Fed Funds rate and the two-year U.S. Treasury is less inverted than was the case at September 30, 2025, reflecting both the cuts and the market pricing in fewer cuts in the future. Accordingly, the U.S. Treasury curve is slightly steeper, as evidenced by the spread between the 2-year and 10-year U.S. Treasury notes increasing from approximately 54 basis points to approximately 70 basis points at year-end.</w:t>
      </w:r>
    </w:p>
    <w:p>
      <w:pPr>
        <w:spacing w:after="0" w:line="199"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The Federal Reserve ended their quantitative tightening program, which reduced their balance sheet via the maturation of their holdings, and began reinvesting them into additional U.S. Treasury holdings on December 1, 2025. Run-off from the Agency RMBS holdings is now directed towards purchasing U.S. Treasury bills. The Fed also announced their intention, via Reserve Management Purchases ( “RMPs”), to grow their balance sheet over time to maintain a stable relationship between the size of their balance sheet and the economy. These steps will result in increased purchases of U.S. Treasury securities by the Fed going forward, and interest rate swap spreads have widened – or become less negative – as a result. The widening of swap spreads, particularly longer-dated spreads, caused the swap curve to steepen more than the cash U.S. Treasury curve. Longer-dated swap spreads had become progressively more negative over the previous years, reflecting the market’s concern with increasing government issuance of U.S. Treasury</w:t>
      </w:r>
    </w:p>
    <w:p>
      <w:pPr>
        <w:spacing w:after="0" w:line="7"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securities. The increased purchases by the Fed offset some of the impact of the deficit induced growth in issuance anticipated in the future.</w:t>
      </w:r>
    </w:p>
    <w:p>
      <w:pPr>
        <w:spacing w:after="0" w:line="186" w:lineRule="exact"/>
        <w:rPr>
          <w:sz w:val="20"/>
          <w:szCs w:val="20"/>
          <w:color w:val="auto"/>
        </w:rPr>
      </w:pPr>
    </w:p>
    <w:p>
      <w:pPr>
        <w:ind w:right="320" w:firstLine="360"/>
        <w:spacing w:after="0" w:line="277" w:lineRule="auto"/>
        <w:rPr>
          <w:sz w:val="20"/>
          <w:szCs w:val="20"/>
          <w:color w:val="auto"/>
        </w:rPr>
      </w:pPr>
      <w:r>
        <w:rPr>
          <w:rFonts w:ascii="Times New Roman" w:cs="Times New Roman" w:eastAsia="Times New Roman" w:hAnsi="Times New Roman"/>
          <w:sz w:val="20"/>
          <w:szCs w:val="20"/>
          <w:color w:val="auto"/>
        </w:rPr>
        <w:t>As realized interest rate volatility was very low during the quarter, implied rate volatility in the swaptions market continued to decline and has reached multi-year lows in early 2026.</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The Agency RMBS Market</w:t>
      </w:r>
    </w:p>
    <w:p>
      <w:pPr>
        <w:spacing w:after="0" w:line="227" w:lineRule="exact"/>
        <w:rPr>
          <w:sz w:val="20"/>
          <w:szCs w:val="20"/>
          <w:color w:val="auto"/>
        </w:rPr>
      </w:pPr>
    </w:p>
    <w:p>
      <w:pPr>
        <w:ind w:left="20" w:firstLine="499"/>
        <w:spacing w:after="0" w:line="244" w:lineRule="auto"/>
        <w:rPr>
          <w:sz w:val="20"/>
          <w:szCs w:val="20"/>
          <w:color w:val="auto"/>
        </w:rPr>
      </w:pPr>
      <w:r>
        <w:rPr>
          <w:rFonts w:ascii="Times New Roman" w:cs="Times New Roman" w:eastAsia="Times New Roman" w:hAnsi="Times New Roman"/>
          <w:sz w:val="20"/>
          <w:szCs w:val="20"/>
          <w:color w:val="auto"/>
        </w:rPr>
        <w:t>As a proxy for the performance of the Agency RMBS market during 2025, the spread of the 30-year, fixed rate current coupon to the 10-year U.S. Treasury Note peaked at approximately 142 basis points in April 2025, not long after the market turmoil surrounding the various tariff measures introduced by the Trump administration on April 2, 2025. Since then, the spread has steadily declined, closely mirroring the performance of implied interest rate volatility, an important driver of Agency RMBS performance. The current coupon spread to the 10-year U.S. Treasury was at approximately 105 basis points at the beginning of the fourth quarter of 2025, and approximately 88 basis points at the end of the fourth quarter. On January 8 2, 2026, President Trump announced plans for the Enterprises to purchase up to $ 200 billion of Agency RMBS in 2026 in an effort to drive mortgage rates down and improve housing affordability. The market reacted strongly to the news, and the current coupon spread tightened to approximately 74 basis points, the tightest level since early 2022 when the Fed was still buying Agency RMBS under its quantitative easing program. Since the announcement, spreads have widened slightly but are still lower than the level at the end of 2025.</w:t>
      </w:r>
    </w:p>
    <w:p>
      <w:pPr>
        <w:spacing w:after="0" w:line="192" w:lineRule="exact"/>
        <w:rPr>
          <w:sz w:val="20"/>
          <w:szCs w:val="20"/>
          <w:color w:val="auto"/>
        </w:rPr>
      </w:pPr>
    </w:p>
    <w:p>
      <w:pPr>
        <w:ind w:left="20" w:right="60" w:firstLine="499"/>
        <w:spacing w:after="0" w:line="244" w:lineRule="auto"/>
        <w:rPr>
          <w:sz w:val="20"/>
          <w:szCs w:val="20"/>
          <w:color w:val="auto"/>
        </w:rPr>
      </w:pPr>
      <w:r>
        <w:rPr>
          <w:rFonts w:ascii="Times New Roman" w:cs="Times New Roman" w:eastAsia="Times New Roman" w:hAnsi="Times New Roman"/>
          <w:sz w:val="20"/>
          <w:szCs w:val="20"/>
          <w:color w:val="auto"/>
        </w:rPr>
        <w:t>Within Agency RMBS for the fourth quarter of 2025, conventional 30-year mortgages generated a total return of 1.7%, 15-year mortgages generated a total return of 1.5% and Ginnie Mae 30-year mortgages generated a total return of 1.5%. Versus comparable duration swaps, the returns were 1.4%, 0.8% and 1.1% for 30-year conventional, 15-year conventional and Ginnie Mae 30-year mortgages, respectively. The Company invests predominantly in 30-year conventional mortgages. Returns with the 30-year stack of coupons were very consistent across the various coupons: the 2.0% coupon generated a return of 1.3%, the 3.5% coupon generated a return of 2.2% and all other coupons were between 1.6% and 1.8%. Excess returns versus comparable duration swaps were in the range of - 0.5% to 2.1%, with the 3.5% coupon again being the outlier to the upside. The highest coupons – 6.0% and higher – all generated excess returns below 1.0%. Excess returns for the balance of the coupons were between 1.1% and 1.7%, similar to absolute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780"/>
          </w:cols>
          <w:pgMar w:left="700" w:top="788" w:right="760" w:bottom="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w:t>Recent Legislative and Regulatory Developments</w:t>
      </w:r>
    </w:p>
    <w:p>
      <w:pPr>
        <w:spacing w:after="0" w:line="227" w:lineRule="exact"/>
        <w:rPr>
          <w:sz w:val="20"/>
          <w:szCs w:val="20"/>
          <w:color w:val="auto"/>
        </w:rPr>
      </w:pPr>
    </w:p>
    <w:p>
      <w:pPr>
        <w:ind w:firstLine="500"/>
        <w:spacing w:after="0" w:line="242" w:lineRule="auto"/>
        <w:rPr>
          <w:sz w:val="20"/>
          <w:szCs w:val="20"/>
          <w:color w:val="auto"/>
        </w:rPr>
      </w:pPr>
      <w:r>
        <w:rPr>
          <w:rFonts w:ascii="Times New Roman" w:cs="Times New Roman" w:eastAsia="Times New Roman" w:hAnsi="Times New Roman"/>
          <w:sz w:val="20"/>
          <w:szCs w:val="20"/>
          <w:color w:val="auto"/>
        </w:rPr>
        <w:t>In response to the deterioration in the markets for U.S. Treasuries, Agency RMBS and other mortgage and fixed income markets resulting from the impacts of the COVID-19 pandemic, the Fed implemented a program of quantitative easing. Through November of 2021, the Fed was committed to purchasing $80 billion of U.S. Treasuries and $40 billion of Agency RMBS each month. In November of 2021, it began tapering its net asset purchases each month, ended net asset purchases by early March of 2022, and ended asset purchases entirely in September of 2022. On May 4, 2022, the FOMC announced a plan for reducing the Fed’s balance sheet. In June of 2022, in accordance with this plan, the Fed began reducing its balance sheet by a maximum of $30 billion of U.S. Treasuries and $17.5 billion of Agency RMBS each month. On September 21, 2022, the FOMC announced the Fed’s decision to continue reducing its balance sheet by a maximum of $60 billion of U.S. Treasuries and $35 billion of Agency RMBS per month. On May 1, 2024, the FOMC announced the Fed’s decision to reduce its balance sheet by a maximum of $25 billion of U.S. Treasury securities and remove the cap on Agency RMBS reduction, with any amounts in excess of $35 billion per month being reinvested in U.S. Treasury securities. On March 19, 2025, the FOMC announced the Fed's decision to reduce its balance sheet by a maximum of $5 billion of U.S. Treasury securities beginning April 1, 2025. Relatively high interest rates and slow prepayment speeds have kept the balance sheet reduction for Agency RMBS below $20 billion per month throughout 2024 and 2025. As of December 31, 2025, the Fed had reduced its balance sheet for Agency RMBS by approximately $741 billion from the peak to $ 2.0 trillion, shedding approximately 54% of the Agency RMBS added during pandemic quantitative easing and representing the lowest level since December 2020. On December 1, 2025, the Fed ended quantitative tightening and began reinvesting all proceeds from maturing Agency RMBS up to a $35 billion per month cap in U.S. Treasuries and announced that it would begin buying an additional $40 billion per month of U.S. Treasuries via RMPs in order to maintain an ample level of reserves on an ongoing basis.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On September 14, 2021, the U.S. Treasury and the FHFA suspended certain policy provisions in the Enterprise capital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framework established in December 2020, including limits on loans acquired for cash consideration, multifamily loans, loans with</w:t>
      </w:r>
    </w:p>
    <w:p>
      <w:pPr>
        <w:spacing w:after="0" w:line="238" w:lineRule="auto"/>
        <w:rPr>
          <w:sz w:val="20"/>
          <w:szCs w:val="20"/>
          <w:color w:val="auto"/>
        </w:rPr>
      </w:pPr>
      <w:r>
        <w:rPr>
          <w:rFonts w:ascii="Times New Roman" w:cs="Times New Roman" w:eastAsia="Times New Roman" w:hAnsi="Times New Roman"/>
          <w:sz w:val="20"/>
          <w:szCs w:val="20"/>
          <w:color w:val="auto"/>
        </w:rPr>
        <w:t>higher risk characteristics and second homes and investment properties (the "September 2021 Provisions"). Effective April 26,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FHFA further amended this framework by, among other things, replacing the fixed leverage buffer equal to 1.5% of an</w:t>
      </w:r>
    </w:p>
    <w:p>
      <w:pPr>
        <w:spacing w:after="0"/>
        <w:rPr>
          <w:sz w:val="20"/>
          <w:szCs w:val="20"/>
          <w:color w:val="auto"/>
        </w:rPr>
      </w:pPr>
      <w:r>
        <w:rPr>
          <w:rFonts w:ascii="Times New Roman" w:cs="Times New Roman" w:eastAsia="Times New Roman" w:hAnsi="Times New Roman"/>
          <w:sz w:val="20"/>
          <w:szCs w:val="20"/>
          <w:color w:val="auto"/>
        </w:rPr>
        <w:t>Enterprise’s adjusted total assets with a dynamic leverage buffer equal to 50% of an Enterprise’s stability capital buffer, reducing the</w:t>
      </w:r>
    </w:p>
    <w:p>
      <w:pPr>
        <w:spacing w:after="0"/>
        <w:rPr>
          <w:sz w:val="20"/>
          <w:szCs w:val="20"/>
          <w:color w:val="auto"/>
        </w:rPr>
      </w:pPr>
      <w:r>
        <w:rPr>
          <w:rFonts w:ascii="Times New Roman" w:cs="Times New Roman" w:eastAsia="Times New Roman" w:hAnsi="Times New Roman"/>
          <w:sz w:val="20"/>
          <w:szCs w:val="20"/>
          <w:color w:val="auto"/>
        </w:rPr>
        <w:t>risk weight floor from 10% to 5%, and removing the requirement that the Enterprises must apply an overall effectiveness adjustment</w:t>
      </w:r>
    </w:p>
    <w:p>
      <w:pPr>
        <w:spacing w:after="0"/>
        <w:rPr>
          <w:sz w:val="20"/>
          <w:szCs w:val="20"/>
          <w:color w:val="auto"/>
        </w:rPr>
      </w:pPr>
      <w:r>
        <w:rPr>
          <w:rFonts w:ascii="Times New Roman" w:cs="Times New Roman" w:eastAsia="Times New Roman" w:hAnsi="Times New Roman"/>
          <w:sz w:val="20"/>
          <w:szCs w:val="20"/>
          <w:color w:val="auto"/>
        </w:rPr>
        <w:t>to their credit risk transfer exposures. On June 14, 2022, the Enterprises announced that they would each charge a 50 bps fee for</w:t>
      </w:r>
    </w:p>
    <w:p>
      <w:pPr>
        <w:spacing w:after="0"/>
        <w:rPr>
          <w:sz w:val="20"/>
          <w:szCs w:val="20"/>
          <w:color w:val="auto"/>
        </w:rPr>
      </w:pPr>
      <w:r>
        <w:rPr>
          <w:rFonts w:ascii="Times New Roman" w:cs="Times New Roman" w:eastAsia="Times New Roman" w:hAnsi="Times New Roman"/>
          <w:sz w:val="20"/>
          <w:szCs w:val="20"/>
          <w:color w:val="auto"/>
        </w:rPr>
        <w:t>commingled securities issued on or after July 1, 2022 to cover the additional capital required for such securities under the Enterprise</w:t>
      </w:r>
    </w:p>
    <w:p>
      <w:pPr>
        <w:spacing w:after="0" w:line="238" w:lineRule="auto"/>
        <w:rPr>
          <w:sz w:val="20"/>
          <w:szCs w:val="20"/>
          <w:color w:val="auto"/>
        </w:rPr>
      </w:pPr>
      <w:r>
        <w:rPr>
          <w:rFonts w:ascii="Times New Roman" w:cs="Times New Roman" w:eastAsia="Times New Roman" w:hAnsi="Times New Roman"/>
          <w:sz w:val="20"/>
          <w:szCs w:val="20"/>
          <w:color w:val="auto"/>
        </w:rPr>
        <w:t>capital framework, which was subsequently reduced on January 19, 2023 to 9.375 bps for commingled securities issued on or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 2023 to address industry concern that the fee posed a risk to the fungibility of the Uniform Mortgage-Backed Security and</w:t>
      </w:r>
    </w:p>
    <w:p>
      <w:pPr>
        <w:spacing w:after="0"/>
        <w:rPr>
          <w:sz w:val="20"/>
          <w:szCs w:val="20"/>
          <w:color w:val="auto"/>
        </w:rPr>
      </w:pPr>
      <w:r>
        <w:rPr>
          <w:rFonts w:ascii="Times New Roman" w:cs="Times New Roman" w:eastAsia="Times New Roman" w:hAnsi="Times New Roman"/>
          <w:sz w:val="20"/>
          <w:szCs w:val="20"/>
          <w:color w:val="auto"/>
        </w:rPr>
        <w:t>negatively impacted liquidity and pricing in the market for TBA securities. On November 30, 2023, the FHFA published a final rule,</w:t>
      </w:r>
    </w:p>
    <w:p>
      <w:pPr>
        <w:spacing w:after="0"/>
        <w:rPr>
          <w:sz w:val="20"/>
          <w:szCs w:val="20"/>
          <w:color w:val="auto"/>
        </w:rPr>
      </w:pPr>
      <w:r>
        <w:rPr>
          <w:rFonts w:ascii="Times New Roman" w:cs="Times New Roman" w:eastAsia="Times New Roman" w:hAnsi="Times New Roman"/>
          <w:sz w:val="20"/>
          <w:szCs w:val="20"/>
          <w:color w:val="auto"/>
        </w:rPr>
        <w:t>which became effective April 1, 2024, which reduced the risk weight and credit conversion factor for guarantees on commingled</w:t>
      </w:r>
    </w:p>
    <w:p>
      <w:pPr>
        <w:spacing w:after="0"/>
        <w:rPr>
          <w:sz w:val="20"/>
          <w:szCs w:val="20"/>
          <w:color w:val="auto"/>
        </w:rPr>
      </w:pPr>
      <w:r>
        <w:rPr>
          <w:rFonts w:ascii="Times New Roman" w:cs="Times New Roman" w:eastAsia="Times New Roman" w:hAnsi="Times New Roman"/>
          <w:sz w:val="20"/>
          <w:szCs w:val="20"/>
          <w:color w:val="auto"/>
        </w:rPr>
        <w:t>securities to 5% and 50%, respectively; replaced the current exposure methodology with the standardized approach for counterparty</w:t>
      </w:r>
    </w:p>
    <w:p>
      <w:pPr>
        <w:spacing w:after="0"/>
        <w:rPr>
          <w:sz w:val="20"/>
          <w:szCs w:val="20"/>
          <w:color w:val="auto"/>
        </w:rPr>
      </w:pPr>
      <w:r>
        <w:rPr>
          <w:rFonts w:ascii="Times New Roman" w:cs="Times New Roman" w:eastAsia="Times New Roman" w:hAnsi="Times New Roman"/>
          <w:sz w:val="20"/>
          <w:szCs w:val="20"/>
          <w:color w:val="auto"/>
        </w:rPr>
        <w:t>credit risk as the method for computing exposure and risk-weighted asset amounts for derivatives and cleared transactions; updated the</w:t>
      </w:r>
    </w:p>
    <w:p>
      <w:pPr>
        <w:spacing w:after="0" w:line="238" w:lineRule="auto"/>
        <w:rPr>
          <w:sz w:val="20"/>
          <w:szCs w:val="20"/>
          <w:color w:val="auto"/>
        </w:rPr>
      </w:pPr>
      <w:r>
        <w:rPr>
          <w:rFonts w:ascii="Times New Roman" w:cs="Times New Roman" w:eastAsia="Times New Roman" w:hAnsi="Times New Roman"/>
          <w:sz w:val="20"/>
          <w:szCs w:val="20"/>
          <w:color w:val="auto"/>
        </w:rPr>
        <w:t>credit score assumption to 680 for single-family mortgage exposures originated without a representative credit score; and introduced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 weight of 20% for guarantee assets. On January 2, 2025, the U.S. Treasury and FHFA entered into a letter agreement deleting the</w:t>
      </w:r>
    </w:p>
    <w:p>
      <w:pPr>
        <w:spacing w:after="0"/>
        <w:rPr>
          <w:sz w:val="20"/>
          <w:szCs w:val="20"/>
          <w:color w:val="auto"/>
        </w:rPr>
      </w:pPr>
      <w:r>
        <w:rPr>
          <w:rFonts w:ascii="Times New Roman" w:cs="Times New Roman" w:eastAsia="Times New Roman" w:hAnsi="Times New Roman"/>
          <w:sz w:val="20"/>
          <w:szCs w:val="20"/>
          <w:color w:val="auto"/>
        </w:rPr>
        <w:t>September 2021 Provisions entirely, as well as providing additional guidance on the process for a potential end to the conservatorship</w:t>
      </w:r>
    </w:p>
    <w:p>
      <w:pPr>
        <w:spacing w:after="0"/>
        <w:rPr>
          <w:sz w:val="20"/>
          <w:szCs w:val="20"/>
          <w:color w:val="auto"/>
        </w:rPr>
      </w:pPr>
      <w:r>
        <w:rPr>
          <w:rFonts w:ascii="Times New Roman" w:cs="Times New Roman" w:eastAsia="Times New Roman" w:hAnsi="Times New Roman"/>
          <w:sz w:val="20"/>
          <w:szCs w:val="20"/>
          <w:color w:val="auto"/>
        </w:rPr>
        <w:t>of the Enterprises. Throughout 2025, there was some speculation in the market regarding progress towards an end to the</w:t>
      </w:r>
    </w:p>
    <w:p>
      <w:pPr>
        <w:spacing w:after="0"/>
        <w:rPr>
          <w:sz w:val="20"/>
          <w:szCs w:val="20"/>
          <w:color w:val="auto"/>
        </w:rPr>
      </w:pPr>
      <w:r>
        <w:rPr>
          <w:rFonts w:ascii="Times New Roman" w:cs="Times New Roman" w:eastAsia="Times New Roman" w:hAnsi="Times New Roman"/>
          <w:sz w:val="20"/>
          <w:szCs w:val="20"/>
          <w:color w:val="auto"/>
        </w:rPr>
        <w:t>conservatorship, including through an initial public offering, but a directive by the Trump administration in January 2026 that the</w:t>
      </w:r>
    </w:p>
    <w:p>
      <w:pPr>
        <w:spacing w:after="0" w:line="238" w:lineRule="auto"/>
        <w:rPr>
          <w:sz w:val="20"/>
          <w:szCs w:val="20"/>
          <w:color w:val="auto"/>
        </w:rPr>
      </w:pPr>
      <w:r>
        <w:rPr>
          <w:rFonts w:ascii="Times New Roman" w:cs="Times New Roman" w:eastAsia="Times New Roman" w:hAnsi="Times New Roman"/>
          <w:sz w:val="20"/>
          <w:szCs w:val="20"/>
          <w:color w:val="auto"/>
        </w:rPr>
        <w:t>Enterprises purchase up to $200 billion of Agency RMBS from their accumulated cash reserves will increase the Enterprises’ balance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sheets and exposure to mortgage risk and could make a near-term end to the conservatorship unlikely. The announcement of the</w:t>
      </w:r>
    </w:p>
    <w:p>
      <w:pPr>
        <w:spacing w:after="0"/>
        <w:rPr>
          <w:sz w:val="20"/>
          <w:szCs w:val="20"/>
          <w:color w:val="auto"/>
        </w:rPr>
      </w:pPr>
      <w:r>
        <w:rPr>
          <w:rFonts w:ascii="Times New Roman" w:cs="Times New Roman" w:eastAsia="Times New Roman" w:hAnsi="Times New Roman"/>
          <w:sz w:val="20"/>
          <w:szCs w:val="20"/>
          <w:color w:val="auto"/>
        </w:rPr>
        <w:t>directive, designed to increase liquidity and compress the spread between mortgage interest rates and the 10-year U.S. Treasury, had</w:t>
      </w:r>
    </w:p>
    <w:p>
      <w:pPr>
        <w:spacing w:after="0"/>
        <w:rPr>
          <w:sz w:val="20"/>
          <w:szCs w:val="20"/>
          <w:color w:val="auto"/>
        </w:rPr>
      </w:pPr>
      <w:r>
        <w:rPr>
          <w:rFonts w:ascii="Times New Roman" w:cs="Times New Roman" w:eastAsia="Times New Roman" w:hAnsi="Times New Roman"/>
          <w:sz w:val="20"/>
          <w:szCs w:val="20"/>
          <w:color w:val="auto"/>
        </w:rPr>
        <w:t>the intended effect immediately and significantly increased mortgage application volumes. The longer-term implications of this</w:t>
      </w:r>
    </w:p>
    <w:p>
      <w:pPr>
        <w:spacing w:after="0"/>
        <w:rPr>
          <w:sz w:val="20"/>
          <w:szCs w:val="20"/>
          <w:color w:val="auto"/>
        </w:rPr>
      </w:pPr>
      <w:r>
        <w:rPr>
          <w:rFonts w:ascii="Times New Roman" w:cs="Times New Roman" w:eastAsia="Times New Roman" w:hAnsi="Times New Roman"/>
          <w:sz w:val="20"/>
          <w:szCs w:val="20"/>
          <w:color w:val="auto"/>
        </w:rPr>
        <w:t>directive remain to be seen, with some analysts fearing a demand surge in home prices negating any affordability gains, systemic</w:t>
      </w:r>
    </w:p>
    <w:p>
      <w:pPr>
        <w:spacing w:after="0"/>
        <w:rPr>
          <w:sz w:val="20"/>
          <w:szCs w:val="20"/>
          <w:color w:val="auto"/>
        </w:rPr>
      </w:pPr>
      <w:r>
        <w:rPr>
          <w:rFonts w:ascii="Times New Roman" w:cs="Times New Roman" w:eastAsia="Times New Roman" w:hAnsi="Times New Roman"/>
          <w:sz w:val="20"/>
          <w:szCs w:val="20"/>
          <w:color w:val="auto"/>
        </w:rPr>
        <w:t>instability due to increased exposure to mortgage risk by the Enterprises, and volatility in the 10-year U.S. Treasury and mortgage</w:t>
      </w:r>
    </w:p>
    <w:p>
      <w:pPr>
        <w:spacing w:after="0" w:line="238" w:lineRule="auto"/>
        <w:rPr>
          <w:sz w:val="20"/>
          <w:szCs w:val="20"/>
          <w:color w:val="auto"/>
        </w:rPr>
      </w:pPr>
      <w:r>
        <w:rPr>
          <w:rFonts w:ascii="Times New Roman" w:cs="Times New Roman" w:eastAsia="Times New Roman" w:hAnsi="Times New Roman"/>
          <w:sz w:val="20"/>
          <w:szCs w:val="20"/>
          <w:color w:val="auto"/>
        </w:rPr>
        <w:t>interest spreads if the Fed decides to tighten monetary policy while the Trump administration is loosening it through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Enterprises. Further, the Enterprises are quickly approaching their regulatory asset caps, and it is unclear whether the FHFA will raise</w:t>
      </w:r>
    </w:p>
    <w:p>
      <w:pPr>
        <w:spacing w:after="0"/>
        <w:rPr>
          <w:sz w:val="20"/>
          <w:szCs w:val="20"/>
          <w:color w:val="auto"/>
        </w:rPr>
      </w:pPr>
      <w:r>
        <w:rPr>
          <w:rFonts w:ascii="Times New Roman" w:cs="Times New Roman" w:eastAsia="Times New Roman" w:hAnsi="Times New Roman"/>
          <w:sz w:val="20"/>
          <w:szCs w:val="20"/>
          <w:color w:val="auto"/>
        </w:rPr>
        <w:t>these caps to signal a long-term commitment to this directive or whether this is a limited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790" w:right="720" w:bottom="0" w:gutter="0" w:footer="0" w:header="0"/>
        </w:sectPr>
      </w:pPr>
    </w:p>
    <w:bookmarkStart w:id="64" w:name="page65"/>
    <w:bookmarkEnd w:id="64"/>
    <w:p>
      <w:pPr>
        <w:ind w:left="20" w:firstLine="499"/>
        <w:spacing w:after="0" w:line="242" w:lineRule="auto"/>
        <w:rPr>
          <w:sz w:val="20"/>
          <w:szCs w:val="20"/>
          <w:color w:val="auto"/>
        </w:rPr>
      </w:pPr>
      <w:r>
        <w:rPr>
          <w:rFonts w:ascii="Times New Roman" w:cs="Times New Roman" w:eastAsia="Times New Roman" w:hAnsi="Times New Roman"/>
          <w:sz w:val="20"/>
          <w:szCs w:val="20"/>
          <w:color w:val="auto"/>
        </w:rPr>
        <w:t>On July 27, 2023, the federal banking regulators, including the Office of the Comptroller of the Currency, (the "OCC") the FDIC and the Fed, jointly issued a proposed rule that would revise large bank capital requirements (the "Basel III Endgame"). The Basel III Endgame, if implemented as originally proposed, would significantly increase the credit weight risk for balance-sheet mortgages and for Agency RMBS sold to the GSEs, which could disincentivize banks from originating mortgages for sale to the GSEs and impact pricing in the Agency RMBS markets. The comment period for the Basel III Endgame closed on January 16, 2024, and the proposed rule was met with strong objections from the banking industry. While implementation of the Basel III Endgame has since stalled, Fed Vice Chair for Supervision Michelle Bowman commented in August 2025 that a revised Basel III Endgame is expected to be issued for public comment in early 2026, which the market expects to be more capital-neutral than the original proposal. On November 25, 2025, the Fed, OCC and FDIC jointly adopted a final rule to revise the enhanced supplementary leverage ratio for globally systemically important bank holding companies (“GSIBs”). The rule, which becomes effective April 1, 2026 and may be adopted by banks subject to the rule as early as January 1, 2026, seeks to promote effective GSIB capital management and remove disincentives for banks to engage in low-risk activities, particularly in the U.S. Treasury market. This shift is expected to free up significant capital, allowing GSIBs greater discretion in asset allocation and potentially fostering increased lending and economic activity.</w:t>
      </w:r>
    </w:p>
    <w:p>
      <w:pPr>
        <w:spacing w:after="0" w:line="203" w:lineRule="exact"/>
        <w:rPr>
          <w:sz w:val="20"/>
          <w:szCs w:val="20"/>
          <w:color w:val="auto"/>
        </w:rPr>
      </w:pPr>
    </w:p>
    <w:p>
      <w:pPr>
        <w:ind w:left="20" w:right="100" w:firstLine="499"/>
        <w:spacing w:after="0" w:line="277" w:lineRule="auto"/>
        <w:rPr>
          <w:sz w:val="20"/>
          <w:szCs w:val="20"/>
          <w:color w:val="auto"/>
        </w:rPr>
      </w:pPr>
      <w:r>
        <w:rPr>
          <w:rFonts w:ascii="Times New Roman" w:cs="Times New Roman" w:eastAsia="Times New Roman" w:hAnsi="Times New Roman"/>
          <w:sz w:val="20"/>
          <w:szCs w:val="20"/>
          <w:color w:val="auto"/>
        </w:rPr>
        <w:t>The scope and nature of the actions the U.S. government or the Fed will ultimately undertake are unknown and will continue to evolve.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 on Us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Regulatory developments, movements in interest rates and prepayment rates affect us in many ways, including the following: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Effects on our Assets</w:t>
      </w:r>
    </w:p>
    <w:p>
      <w:pPr>
        <w:spacing w:after="0" w:line="227" w:lineRule="exact"/>
        <w:rPr>
          <w:sz w:val="20"/>
          <w:szCs w:val="20"/>
          <w:color w:val="auto"/>
        </w:rPr>
      </w:pPr>
    </w:p>
    <w:p>
      <w:pPr>
        <w:ind w:left="20" w:right="20" w:firstLine="499"/>
        <w:spacing w:after="0" w:line="252" w:lineRule="auto"/>
        <w:rPr>
          <w:sz w:val="20"/>
          <w:szCs w:val="20"/>
          <w:color w:val="auto"/>
        </w:rPr>
      </w:pPr>
      <w:r>
        <w:rPr>
          <w:rFonts w:ascii="Times New Roman" w:cs="Times New Roman" w:eastAsia="Times New Roman" w:hAnsi="Times New Roman"/>
          <w:sz w:val="20"/>
          <w:szCs w:val="20"/>
          <w:color w:val="auto"/>
        </w:rPr>
        <w:t>A change in or elimination of the guarantee structure of Agency RMBS may increase our costs (if, for example, guarantee fees increase) or require us to change our investment strategy altogether. For example, the elimination of the guarantee structure of Agency RMBS may cause us to change our investment strategy to focus on non-Agency RMBS, which in turn would require us to significantly increase our monitoring of the credit risks of our investments in addition to interest rate and prepayment risks.</w:t>
      </w:r>
    </w:p>
    <w:p>
      <w:pPr>
        <w:spacing w:after="0" w:line="186" w:lineRule="exact"/>
        <w:rPr>
          <w:sz w:val="20"/>
          <w:szCs w:val="20"/>
          <w:color w:val="auto"/>
        </w:rPr>
      </w:pPr>
    </w:p>
    <w:p>
      <w:pPr>
        <w:ind w:left="20" w:right="20" w:firstLine="499"/>
        <w:spacing w:after="0" w:line="249" w:lineRule="auto"/>
        <w:rPr>
          <w:sz w:val="20"/>
          <w:szCs w:val="20"/>
          <w:color w:val="auto"/>
        </w:rPr>
      </w:pPr>
      <w:r>
        <w:rPr>
          <w:rFonts w:ascii="Times New Roman" w:cs="Times New Roman" w:eastAsia="Times New Roman" w:hAnsi="Times New Roman"/>
          <w:sz w:val="20"/>
          <w:szCs w:val="20"/>
          <w:color w:val="auto"/>
        </w:rPr>
        <w:t>If prepayment rates are relatively low (due, in part, to the refinancing problems described above), lower long-term interest rates can increase the value of our Agency RMBS. This is because investors typically place a premium on assets with coupon/yields that are higher than coupon/yields available in the market. To the extent such securities pre-pay slower than would otherwise be the case, we benefit from an above market coupon/yield for longer, enhancing the return from the security. Although lower long-term interest rates may increase asset values in our portfolio, we may not be able to invest new funds in similarly yielding assets.</w:t>
      </w:r>
    </w:p>
    <w:p>
      <w:pPr>
        <w:spacing w:after="0" w:line="187" w:lineRule="exact"/>
        <w:rPr>
          <w:sz w:val="20"/>
          <w:szCs w:val="20"/>
          <w:color w:val="auto"/>
        </w:rPr>
      </w:pPr>
    </w:p>
    <w:p>
      <w:pPr>
        <w:ind w:left="20" w:right="40" w:firstLine="500"/>
        <w:spacing w:after="0" w:line="242" w:lineRule="auto"/>
        <w:rPr>
          <w:sz w:val="20"/>
          <w:szCs w:val="20"/>
          <w:color w:val="auto"/>
        </w:rPr>
      </w:pPr>
      <w:r>
        <w:rPr>
          <w:rFonts w:ascii="Times New Roman" w:cs="Times New Roman" w:eastAsia="Times New Roman" w:hAnsi="Times New Roman"/>
          <w:sz w:val="20"/>
          <w:szCs w:val="20"/>
          <w:color w:val="auto"/>
        </w:rPr>
        <w:t>If prepayment levels increase, the value of any of our Agency RMBS that are carried at a premium to par that are affected by such prepayments may decline. This is because a principal prepayment accelerates the effective term of an Agency RMBS, which would shorten the period during which an investor would receive above-market returns (assuming the yield on the prepaid asset is higher than market yields) . Also, prepayment proceeds may not be able to be reinvested in similar-yielding assets. Agency RMBS backed by mortgages with high interest rates are more susceptible to prepayment risk because holders of those mortgages are most likely to refinance to a lower rate. If prepayment levels decrease, the value of any of our Agency RMBS that are carried at a discount to par that are affected by such prepayments may increase. This is because a principal prepayment accelerates the effective term of an Agency RMBS, which would shorten the timeframe over which an investor would receive the principal of the underlying loans. Agency RMBS backed by mortgages with low interest rates are less susceptible to prepayment risk because holders of those mortgages are less likely to refinance to a higher rate. IOs and IIOs, however, may be the types of Agency RMBS most sensitive to increased prepayment rates. Because the holder of an IO or IIO receives no principal payments, the values of IOs and IIOs are entirely dependent on the existence of a principal balance on the underlying mortgages. If the principal balance is eliminated due to prepayment, IOs and IIOs essentially become worthless. Although increased prepayment rates can negatively affect the value of our IOs and IIOs, they have the opposite effect on POs. Because POs act like zero-coupon bonds, meaning they are purchased at a discount to their par value and have an effective interest rate based on the discount and the term of the underlying loan, an increase in prepayment rates would reduce the effective term of our POs and accelerate the yields earned on those assets, which would increase our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20"/>
          </w:cols>
          <w:pgMar w:left="700" w:top="788" w:right="720" w:bottom="0" w:gutter="0" w:footer="0" w:header="0"/>
        </w:sectPr>
      </w:pPr>
    </w:p>
    <w:bookmarkStart w:id="65" w:name="page66"/>
    <w:bookmarkEnd w:id="65"/>
    <w:p>
      <w:pPr>
        <w:ind w:right="20" w:firstLine="500"/>
        <w:spacing w:after="0" w:line="244" w:lineRule="auto"/>
        <w:rPr>
          <w:sz w:val="20"/>
          <w:szCs w:val="20"/>
          <w:color w:val="auto"/>
        </w:rPr>
      </w:pPr>
      <w:r>
        <w:rPr>
          <w:rFonts w:ascii="Times New Roman" w:cs="Times New Roman" w:eastAsia="Times New Roman" w:hAnsi="Times New Roman"/>
          <w:sz w:val="20"/>
          <w:szCs w:val="20"/>
          <w:color w:val="auto"/>
        </w:rPr>
        <w:t>Higher long-term rates can also affect the value of our Agency RMBS. As long-term rates rise, rates available to borrowers also rise. This tends to cause prepayment activity to slow and extend the expected average life of mortgage cash flows. As the expected average life of the mortgage cash flows increases, coupled with higher discount rates, the value of Agency RMBS declines. Some of the instruments we use to hedge our Agency RMBS assets, such as interest rate futures, swaps and swaptions, are stable average life instruments. This means that to the extent we use such instruments to hedge our Agency RMBS assets, our hedges may not adequately protect us from price declines, and therefore may negatively impact our book value. It is for this reason we use interest only securities in our portfolio. As interest rates rise, the expected average life of these securities increases, causing generally positive price movements as the number and size of the cash flows increase the longer the underlying mortgages remain outstanding. This makes interest only securities desirable hedge instruments for PT Agency RMBS.</w:t>
      </w:r>
    </w:p>
    <w:p>
      <w:pPr>
        <w:spacing w:after="0" w:line="196" w:lineRule="exact"/>
        <w:rPr>
          <w:sz w:val="20"/>
          <w:szCs w:val="20"/>
          <w:color w:val="auto"/>
        </w:rPr>
      </w:pPr>
    </w:p>
    <w:p>
      <w:pPr>
        <w:ind w:right="20" w:firstLine="499"/>
        <w:spacing w:after="0" w:line="249" w:lineRule="auto"/>
        <w:rPr>
          <w:sz w:val="20"/>
          <w:szCs w:val="20"/>
          <w:color w:val="auto"/>
        </w:rPr>
      </w:pPr>
      <w:r>
        <w:rPr>
          <w:rFonts w:ascii="Times New Roman" w:cs="Times New Roman" w:eastAsia="Times New Roman" w:hAnsi="Times New Roman"/>
          <w:sz w:val="20"/>
          <w:szCs w:val="20"/>
          <w:color w:val="auto"/>
        </w:rPr>
        <w:t>Because we base our investment decisions on risk management principles rather than anticipated movements in interest rates, in a volatile interest rate environment we may allocate more capital to structured Agency RMBS with shorter durations. We believe these securities have a lower sensitivity to changes in long-term interest rates than other asset classes. We may attempt to mitigate our exposure to changes in long- term interest rates by investing in IOs and IIOs, which typically have different sensitivities to changes in long-term interest rates than PT RMBS, particularly PT RMBS backed by fixed-rate mortgages.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Effects on our borrowing costs</w:t>
      </w:r>
    </w:p>
    <w:p>
      <w:pPr>
        <w:spacing w:after="0" w:line="229" w:lineRule="exact"/>
        <w:rPr>
          <w:sz w:val="20"/>
          <w:szCs w:val="20"/>
          <w:color w:val="auto"/>
        </w:rPr>
      </w:pPr>
    </w:p>
    <w:p>
      <w:pPr>
        <w:ind w:right="80" w:firstLine="499"/>
        <w:spacing w:after="0" w:line="247" w:lineRule="auto"/>
        <w:rPr>
          <w:sz w:val="20"/>
          <w:szCs w:val="20"/>
          <w:color w:val="auto"/>
        </w:rPr>
      </w:pPr>
      <w:r>
        <w:rPr>
          <w:rFonts w:ascii="Times New Roman" w:cs="Times New Roman" w:eastAsia="Times New Roman" w:hAnsi="Times New Roman"/>
          <w:sz w:val="20"/>
          <w:szCs w:val="20"/>
          <w:color w:val="auto"/>
        </w:rPr>
        <w:t>We leverage our PT RMBS portfolio and a portion of our structured Agency RMBS with principal balances through the use of short-term repurchase agreement transactions. The interest rates on our debt are determined by the short term interest rate markets. Increases in the Fed Funds rate or SOFR typically increase our borrowing costs, which could affect our interest rate spread if there is no corresponding increase in the interest we earn on our assets. The impact of these increases would be most prevalent with respect to our Agency RMBS backed by fixed rate mortgage loans because the interest rate on a fixed-rate mortgage loan does not change even though market rates may change.</w:t>
      </w:r>
    </w:p>
    <w:p>
      <w:pPr>
        <w:spacing w:after="0" w:line="188" w:lineRule="exact"/>
        <w:rPr>
          <w:sz w:val="20"/>
          <w:szCs w:val="20"/>
          <w:color w:val="auto"/>
        </w:rPr>
      </w:pPr>
    </w:p>
    <w:p>
      <w:pPr>
        <w:ind w:right="20" w:firstLine="499"/>
        <w:spacing w:after="0" w:line="259" w:lineRule="auto"/>
        <w:rPr>
          <w:sz w:val="20"/>
          <w:szCs w:val="20"/>
          <w:color w:val="auto"/>
        </w:rPr>
      </w:pPr>
      <w:r>
        <w:rPr>
          <w:rFonts w:ascii="Times New Roman" w:cs="Times New Roman" w:eastAsia="Times New Roman" w:hAnsi="Times New Roman"/>
          <w:sz w:val="20"/>
          <w:szCs w:val="20"/>
          <w:color w:val="auto"/>
        </w:rPr>
        <w:t>In order to protect our net interest margin against increases in short-term interest rates, we may enter into interest rate swaps, which economically convert our floating-rate repurchase agreement debt to fixed-rate debt or utilize other hedging instruments such as Fed Funds, SOFR, ERIS SOFR Swap, and T-Note futures contracts, dual digital options or interest rate swaptions.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Summary</w:t>
      </w:r>
    </w:p>
    <w:p>
      <w:pPr>
        <w:spacing w:after="0" w:line="227"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20"/>
          <w:szCs w:val="20"/>
          <w:color w:val="auto"/>
        </w:rPr>
        <w:t>The fixed income markets have experienced a period of calm as 2025 came to close and we enter 2026. Interest rates have remained in a very tight range, implied interest rate volatility has continued the steady decline that began in April of 2025, and Agency RMBS performed well during the fourth quarter of 2025. Other sectors of the fixed income markets performed well during the fourth quarter as well, and spreads on investment grade corporate bonds reached levels not seen since 1998. Risk sentiment generally was quite strong during the quarter, and the S&amp;P 500 generated a return of 2.3%. The government shutdown that started on October 1, 2025 and lasted until mid-November created a near complete data vacuum for the markets during the quarter. Once the government reopened it was several weeks before data for the quarter was available. Exacerbating the data shortage was the perception the data was of poor quality owing to frequent and substantial revisions after the initial release. The market had limited means to gauge the strength of the economy. The Fed did lower the Fed Funds rate twice in the fourth quarter – in both cases by 25 basis points – and stated they had reached the upper end of what they deemed the range of neutral. However, owing to the lack of the most critical data on the labor market and inflation - and the fact that the data that was available did not indicate much had changed with the economy since the shutdown began – the Fed seems likely to hold rates steady for now until incoming data dictates otherwise. This seems especially likely to be the case as President Trump announced Kevin Warsh will replace current Chairman Powell in May, and the Fed is not likely to take meaning policy steps just before a chairmanship transition.</w:t>
      </w:r>
    </w:p>
    <w:p>
      <w:pPr>
        <w:spacing w:after="0" w:line="206" w:lineRule="exact"/>
        <w:rPr>
          <w:sz w:val="20"/>
          <w:szCs w:val="20"/>
          <w:color w:val="auto"/>
        </w:rPr>
      </w:pPr>
    </w:p>
    <w:p>
      <w:pPr>
        <w:ind w:right="40" w:firstLine="499"/>
        <w:spacing w:after="0" w:line="249" w:lineRule="auto"/>
        <w:rPr>
          <w:sz w:val="20"/>
          <w:szCs w:val="20"/>
          <w:color w:val="auto"/>
        </w:rPr>
      </w:pPr>
      <w:r>
        <w:rPr>
          <w:rFonts w:ascii="Times New Roman" w:cs="Times New Roman" w:eastAsia="Times New Roman" w:hAnsi="Times New Roman"/>
          <w:sz w:val="20"/>
          <w:szCs w:val="20"/>
          <w:color w:val="auto"/>
        </w:rPr>
        <w:t>The Agency RMBS market generated a total return of 1.7% for the quarter, consistent with the solid returns for all sectors of the fixed income markets. The return for the Agency RMBS market versus comparable durations swaps, a proxy for returns for levered bond investors such as the Company, was 1.3%. During the fourth quarter, excess returns were generally even across the various 30-year coupons – with the 3.5% coupon being an outlier to the upside at 2.2%. The highest coupons, 6.0% and higher, lagged the returns of the rest of the coupon stack on an excess return basis, all between 0.5% and 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788" w:right="720" w:bottom="0" w:gutter="0" w:footer="0" w:header="0"/>
        </w:sectPr>
      </w:pPr>
    </w:p>
    <w:bookmarkStart w:id="66" w:name="page67"/>
    <w:bookmarkEnd w:id="66"/>
    <w:p>
      <w:pPr>
        <w:ind w:right="240" w:firstLine="540"/>
        <w:spacing w:after="0" w:line="245" w:lineRule="auto"/>
        <w:rPr>
          <w:sz w:val="20"/>
          <w:szCs w:val="20"/>
          <w:color w:val="auto"/>
        </w:rPr>
      </w:pPr>
      <w:r>
        <w:rPr>
          <w:rFonts w:ascii="Times New Roman" w:cs="Times New Roman" w:eastAsia="Times New Roman" w:hAnsi="Times New Roman"/>
          <w:sz w:val="20"/>
          <w:szCs w:val="20"/>
          <w:color w:val="auto"/>
        </w:rPr>
        <w:t>Looking forward, economic activity remains resilient and could strengthen as the stimulative components of the One Big Beautiful Bill Act, passed in mid-2025, start to impact the economy – lower tax withholding, capital expenditure expensing, less regulation, among other measures. The labor market still seems weak, although it is not deteriorating. Inflation remains sticky, still above the Fed’s target level of 2%, but there do not appear to be meaningful follow-through impacts from the tariffs introduced in 2025. Monetary policy may remain steady for the time being as well. If these conditions persist, interest rates are likely to remain stable, implied interest rate volatility subdued and risk assets, including Agency RMBS, will likely perform well. This outlook will change if interest rates move substantially in either direction, especially if the movement is towards higher rates, and interest rate implied volatility increases materially.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5" w:lineRule="exact"/>
        <w:rPr>
          <w:sz w:val="20"/>
          <w:szCs w:val="20"/>
          <w:color w:val="auto"/>
        </w:rPr>
      </w:pPr>
    </w:p>
    <w:p>
      <w:pPr>
        <w:ind w:right="180" w:firstLine="499"/>
        <w:spacing w:after="0" w:line="252" w:lineRule="auto"/>
        <w:rPr>
          <w:sz w:val="20"/>
          <w:szCs w:val="20"/>
          <w:color w:val="auto"/>
        </w:rPr>
      </w:pPr>
      <w:r>
        <w:rPr>
          <w:rFonts w:ascii="Times New Roman" w:cs="Times New Roman" w:eastAsia="Times New Roman" w:hAnsi="Times New Roman"/>
          <w:sz w:val="20"/>
          <w:szCs w:val="20"/>
          <w:color w:val="auto"/>
        </w:rPr>
        <w:t>Our financial statements are prepared in accordance with GAAP. GAAP requires our management to make some complex and subjective decisions and assessments. Our most critical accounting policies involve decisions and assessments which could significantly affect reported assets, liabilities, revenues and expenses. Management has identified its most critical accounting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Mortgage-Backed Securities</w:t>
      </w:r>
    </w:p>
    <w:p>
      <w:pPr>
        <w:spacing w:after="0" w:line="229" w:lineRule="exact"/>
        <w:rPr>
          <w:sz w:val="20"/>
          <w:szCs w:val="20"/>
          <w:color w:val="auto"/>
        </w:rPr>
      </w:pPr>
    </w:p>
    <w:p>
      <w:pPr>
        <w:ind w:right="80" w:firstLine="499"/>
        <w:spacing w:after="0" w:line="277" w:lineRule="auto"/>
        <w:rPr>
          <w:sz w:val="20"/>
          <w:szCs w:val="20"/>
          <w:color w:val="auto"/>
        </w:rPr>
      </w:pPr>
      <w:r>
        <w:rPr>
          <w:rFonts w:ascii="Times New Roman" w:cs="Times New Roman" w:eastAsia="Times New Roman" w:hAnsi="Times New Roman"/>
          <w:sz w:val="20"/>
          <w:szCs w:val="20"/>
          <w:color w:val="auto"/>
        </w:rPr>
        <w:t>Our investments in Agency RMBS are accounted for at fair value. We acquire our Agency RMBS for the purpose of generating long-term returns, and not for the short-term investment of idle capital.</w:t>
      </w:r>
    </w:p>
    <w:p>
      <w:pPr>
        <w:spacing w:after="0" w:line="158"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As discussed in Note 13 to the financial statements, our Agency RMBS are valued using Level 2 valuations, and such valuations currently are determined by our manager based on independent pricing sources and/or third party broker quotes, when available. Because the price estimates may vary, our Manager must make certain judgments and assumptions about the appropriate price to use to calculate the fair values. Alternatively, our Manager could opt to have the value of all of our positions in Agency RMBS determined by either an independent third-party or do so internally.</w:t>
      </w:r>
    </w:p>
    <w:p>
      <w:pPr>
        <w:spacing w:after="0" w:line="187" w:lineRule="exact"/>
        <w:rPr>
          <w:sz w:val="20"/>
          <w:szCs w:val="20"/>
          <w:color w:val="auto"/>
        </w:rPr>
      </w:pPr>
    </w:p>
    <w:p>
      <w:pPr>
        <w:ind w:right="60" w:firstLine="499"/>
        <w:spacing w:after="0" w:line="277" w:lineRule="auto"/>
        <w:rPr>
          <w:sz w:val="20"/>
          <w:szCs w:val="20"/>
          <w:color w:val="auto"/>
        </w:rPr>
      </w:pPr>
      <w:r>
        <w:rPr>
          <w:rFonts w:ascii="Times New Roman" w:cs="Times New Roman" w:eastAsia="Times New Roman" w:hAnsi="Times New Roman"/>
          <w:sz w:val="20"/>
          <w:szCs w:val="20"/>
          <w:color w:val="auto"/>
        </w:rPr>
        <w:t>In managing our portfolio, Bimini Advisors employs the following four-step process at each valuation date to determine the fair value of our Agency RMBS:</w:t>
      </w:r>
    </w:p>
    <w:p>
      <w:pPr>
        <w:spacing w:after="0" w:line="161" w:lineRule="exact"/>
        <w:rPr>
          <w:sz w:val="20"/>
          <w:szCs w:val="20"/>
          <w:color w:val="auto"/>
        </w:rPr>
      </w:pPr>
    </w:p>
    <w:p>
      <w:pPr>
        <w:jc w:val="both"/>
        <w:ind w:left="900" w:right="160" w:hanging="540"/>
        <w:spacing w:after="0" w:line="249" w:lineRule="auto"/>
        <w:tabs>
          <w:tab w:leader="none" w:pos="8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our Manager obtains fair values from subscription-based independent pricing sources. These prices are used by both our Manager as well as many of our repurchase agreement counterparty on a daily basis to establish margin requirements for our borrowings.</w:t>
      </w:r>
    </w:p>
    <w:p>
      <w:pPr>
        <w:spacing w:after="0" w:line="1" w:lineRule="exact"/>
        <w:rPr>
          <w:rFonts w:ascii="Times New Roman" w:cs="Times New Roman" w:eastAsia="Times New Roman" w:hAnsi="Times New Roman"/>
          <w:sz w:val="20"/>
          <w:szCs w:val="20"/>
          <w:color w:val="auto"/>
        </w:rPr>
      </w:pPr>
    </w:p>
    <w:p>
      <w:pPr>
        <w:jc w:val="both"/>
        <w:ind w:left="900" w:right="280" w:hanging="540"/>
        <w:spacing w:after="0"/>
        <w:tabs>
          <w:tab w:leader="none" w:pos="8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our Manager requests non-binding quotes from one to four broker-dealers for certain Agency RMBS in order to validate the values obtained by the pricing service. Our Manager requests these quotes from broker-dealers that actively trade and make markets in the respective asset class for which the quote is requested.</w:t>
      </w:r>
    </w:p>
    <w:p>
      <w:pPr>
        <w:spacing w:after="0" w:line="1" w:lineRule="exact"/>
        <w:rPr>
          <w:rFonts w:ascii="Times New Roman" w:cs="Times New Roman" w:eastAsia="Times New Roman" w:hAnsi="Times New Roman"/>
          <w:sz w:val="20"/>
          <w:szCs w:val="20"/>
          <w:color w:val="auto"/>
        </w:rPr>
      </w:pPr>
    </w:p>
    <w:p>
      <w:pPr>
        <w:ind w:left="900" w:right="80" w:hanging="541"/>
        <w:spacing w:after="0" w:line="239" w:lineRule="auto"/>
        <w:tabs>
          <w:tab w:leader="none" w:pos="88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our Manager reviews the values obtained by the pricing source and the broker-dealers for consistency across similar assets.</w:t>
      </w:r>
    </w:p>
    <w:p>
      <w:pPr>
        <w:ind w:left="900" w:right="160" w:hanging="541"/>
        <w:spacing w:after="0" w:line="241" w:lineRule="auto"/>
        <w:tabs>
          <w:tab w:leader="none" w:pos="88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Finally, if the data from the pricing services and broker-dealers is not homogenous or if the data obtained is inconsistent with our Manager’s market observations, our Manager makes a judgment to determine which price appears the most consistent with observed prices from similar assets and selects that price. To the extent our Manager believes that none of the prices are consistent with observed prices for similar assets, which is typically the case for only an immaterial portion of our portfolio each quarter, our Manager may use a third price that is consistent with observed prices for identical or similar assets. In the case of assets that have quoted prices such as Agency RMBS backed by fixed-rate mortgages, our Manager generally uses the quoted or observed market price. For assets such as Agency RMBS backed by ARMs or structured Agency RMBS, our Manager may determine the price based on the yield or spread that is identical to an observed transaction or a similar asset for which a dealer mark or subscription-based price has been obtained.</w:t>
      </w:r>
    </w:p>
    <w:p>
      <w:pPr>
        <w:spacing w:after="0" w:line="194" w:lineRule="exact"/>
        <w:rPr>
          <w:sz w:val="20"/>
          <w:szCs w:val="20"/>
          <w:color w:val="auto"/>
        </w:rPr>
      </w:pPr>
    </w:p>
    <w:p>
      <w:pPr>
        <w:ind w:right="620" w:firstLine="499"/>
        <w:spacing w:after="0" w:line="277" w:lineRule="auto"/>
        <w:rPr>
          <w:sz w:val="20"/>
          <w:szCs w:val="20"/>
          <w:color w:val="auto"/>
        </w:rPr>
      </w:pPr>
      <w:r>
        <w:rPr>
          <w:rFonts w:ascii="Times New Roman" w:cs="Times New Roman" w:eastAsia="Times New Roman" w:hAnsi="Times New Roman"/>
          <w:sz w:val="20"/>
          <w:szCs w:val="20"/>
          <w:color w:val="auto"/>
        </w:rPr>
        <w:t>Management believes its pricing methodology to be consistent with the definition of fair value described in Financial Accounting Standards Board (the “FASB”) Accounting Standards Codification (“ASC”) Topic 820, Fair Value Measurements.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Derivative Financial Instruments</w:t>
      </w:r>
    </w:p>
    <w:p>
      <w:pPr>
        <w:spacing w:after="0" w:line="229" w:lineRule="exact"/>
        <w:rPr>
          <w:sz w:val="20"/>
          <w:szCs w:val="20"/>
          <w:color w:val="auto"/>
        </w:rPr>
      </w:pPr>
    </w:p>
    <w:p>
      <w:pPr>
        <w:ind w:right="80" w:firstLine="499"/>
        <w:spacing w:after="0" w:line="252" w:lineRule="auto"/>
        <w:rPr>
          <w:sz w:val="20"/>
          <w:szCs w:val="20"/>
          <w:color w:val="auto"/>
        </w:rPr>
      </w:pPr>
      <w:r>
        <w:rPr>
          <w:rFonts w:ascii="Times New Roman" w:cs="Times New Roman" w:eastAsia="Times New Roman" w:hAnsi="Times New Roman"/>
          <w:sz w:val="20"/>
          <w:szCs w:val="20"/>
          <w:color w:val="auto"/>
        </w:rPr>
        <w:t>We use derivative instruments to manage interest rate risk, facilitate asset/liability strategies and manage other exposures, and we may continue to do so in the future. The principal instruments that we have used to date are Fed Funds, SOFR, T-Note and ERIS SOFR Swap futures contracts, interest rate swaps, interest rate swaptions, interest rate caps and TBA securities, but we may enter into other derivatives in the future.</w:t>
      </w:r>
    </w:p>
    <w:p>
      <w:pPr>
        <w:spacing w:after="0" w:line="184" w:lineRule="exact"/>
        <w:rPr>
          <w:sz w:val="20"/>
          <w:szCs w:val="20"/>
          <w:color w:val="auto"/>
        </w:rPr>
      </w:pPr>
    </w:p>
    <w:p>
      <w:pPr>
        <w:ind w:right="500" w:firstLine="499"/>
        <w:spacing w:after="0" w:line="277" w:lineRule="auto"/>
        <w:rPr>
          <w:sz w:val="20"/>
          <w:szCs w:val="20"/>
          <w:color w:val="auto"/>
        </w:rPr>
      </w:pPr>
      <w:r>
        <w:rPr>
          <w:rFonts w:ascii="Times New Roman" w:cs="Times New Roman" w:eastAsia="Times New Roman" w:hAnsi="Times New Roman"/>
          <w:sz w:val="20"/>
          <w:szCs w:val="20"/>
          <w:color w:val="auto"/>
        </w:rPr>
        <w:t>We account for TBA securities as derivative instruments. Gains and losses associated with TBA securities transactions are reported in gain (loss) on derivative instruments in the accompanying statements of comprehensive income (loss).</w:t>
      </w:r>
    </w:p>
    <w:p>
      <w:pPr>
        <w:sectPr>
          <w:pgSz w:w="12240" w:h="15840" w:orient="portrait"/>
          <w:cols w:equalWidth="0" w:num="1">
            <w:col w:w="10800"/>
          </w:cols>
          <w:pgMar w:left="72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557" w:right="720" w:bottom="0" w:gutter="0" w:footer="0" w:header="0"/>
          <w:type w:val="continuous"/>
        </w:sectPr>
      </w:pPr>
    </w:p>
    <w:bookmarkStart w:id="67" w:name="page68"/>
    <w:bookmarkEnd w:id="67"/>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We have elected not to treat any of our derivative financial instruments as hedges in order to align the accounting treatment of its derivative instruments with the treatment of our portfolio assets under the fair value option election. All derivative instruments are carried at fair value, and changes in fair value are recorded in earnings for each period. Our futures contracts are Level 1 valuations, as they are exchange-traded instruments and quoted market prices are readily available. Our interest rate swaps, interest rate swaptions and TBA securities are Level 2 valuations. The fair value of interest rate swaps is determined using a discounted cash flow approach using forward market interest rates and discount rates, which are observable inputs. The fair value of interest rate swaptions is determined using an option pricing model. The fair value of our TBA securities are determined by the Company based on independent pricing sources and/or third party broker quotes, similar to how the fair value of our Agency RMBS is derived, as discussed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Recognition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Since we commenced operations, we have elected to account for all of our Agency RMBS under the fair value option.</w:t>
      </w:r>
    </w:p>
    <w:p>
      <w:pPr>
        <w:spacing w:after="0" w:line="229" w:lineRule="exact"/>
        <w:rPr>
          <w:sz w:val="20"/>
          <w:szCs w:val="20"/>
          <w:color w:val="auto"/>
        </w:rPr>
      </w:pPr>
    </w:p>
    <w:p>
      <w:pPr>
        <w:ind w:right="40" w:firstLine="499"/>
        <w:spacing w:after="0" w:line="243" w:lineRule="auto"/>
        <w:rPr>
          <w:sz w:val="20"/>
          <w:szCs w:val="20"/>
          <w:color w:val="auto"/>
        </w:rPr>
      </w:pPr>
      <w:r>
        <w:rPr>
          <w:rFonts w:ascii="Times New Roman" w:cs="Times New Roman" w:eastAsia="Times New Roman" w:hAnsi="Times New Roman"/>
          <w:sz w:val="20"/>
          <w:szCs w:val="20"/>
          <w:color w:val="auto"/>
        </w:rPr>
        <w:t>All of our Agency RMBS are either PT securities or structured Agency RMBS, including CMOs, IOs, IIOs or POs. Income on PT securities, POs and CMOs that contain principal balances is based on the stated interest rate of the security. As a result of accounting for our RMBS under the fair value option, premium or discount present at the date of purchase is not amortized. For IOs, IIOs and CMOs that do not contain principal balances,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current interest rates and current asset prices. The new effective yield is calculated based on the carrying value at the end of the previous reporting period, the new prepayment estimates and the contractual terms of the security. Changes in fair value of all of our Agency RMBS during the period are recorded in earnings and reported as unrealized gains (losses) on mortgage-backed securities in the accompanying statements of comprehensive income (loss). For IIO securities, effective yield and income recognition calculations also take into account the index value applicable to the security.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5" w:lineRule="exact"/>
        <w:rPr>
          <w:sz w:val="20"/>
          <w:szCs w:val="20"/>
          <w:color w:val="auto"/>
        </w:rPr>
      </w:pPr>
    </w:p>
    <w:p>
      <w:pPr>
        <w:ind w:right="140" w:firstLine="499"/>
        <w:spacing w:after="0" w:line="247" w:lineRule="auto"/>
        <w:rPr>
          <w:sz w:val="20"/>
          <w:szCs w:val="20"/>
          <w:color w:val="auto"/>
        </w:rPr>
      </w:pPr>
      <w:r>
        <w:rPr>
          <w:rFonts w:ascii="Times New Roman" w:cs="Times New Roman" w:eastAsia="Times New Roman" w:hAnsi="Times New Roman"/>
          <w:sz w:val="20"/>
          <w:szCs w:val="20"/>
          <w:color w:val="auto"/>
        </w:rPr>
        <w:t>In addition to other requirements that must be satisfied to continue to qualify as a REIT, we must pay annual dividends to our stockholders of at least 90% of our REIT taxable income, determined without regard to the deductions for dividends paid and excluding any net capital gains. REIT taxable income (loss) is computed in accordance with the Code, and can be greater than or less than our financial statement net income (loss) computed in accordance with GAAP. These book to tax differences primarily relate to the recognition of interest income on RMBS, unrealized gains and losses on RMBS, and the amortization of losses on derivative instruments that are treated as funding hedges for tax purposes.</w:t>
      </w:r>
    </w:p>
    <w:p>
      <w:pPr>
        <w:spacing w:after="0" w:line="191" w:lineRule="exact"/>
        <w:rPr>
          <w:sz w:val="20"/>
          <w:szCs w:val="20"/>
          <w:color w:val="auto"/>
        </w:rPr>
      </w:pPr>
    </w:p>
    <w:p>
      <w:pPr>
        <w:ind w:right="40" w:firstLine="499"/>
        <w:spacing w:after="0" w:line="277" w:lineRule="auto"/>
        <w:rPr>
          <w:sz w:val="20"/>
          <w:szCs w:val="20"/>
          <w:color w:val="auto"/>
        </w:rPr>
      </w:pPr>
      <w:r>
        <w:rPr>
          <w:rFonts w:ascii="Times New Roman" w:cs="Times New Roman" w:eastAsia="Times New Roman" w:hAnsi="Times New Roman"/>
          <w:sz w:val="20"/>
          <w:szCs w:val="20"/>
          <w:color w:val="auto"/>
        </w:rPr>
        <w:t>We intend to pay regular monthly dividends to our stockholders and have declared the following dividends since the completion of our IPO.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45" w:type="dxa"/>
            <w:vAlign w:val="bottom"/>
            <w:tcBorders>
              <w:top w:val="single" w:sz="8" w:color="auto"/>
            </w:tcBorders>
          </w:tcPr>
          <w:p>
            <w:pPr>
              <w:spacing w:after="0"/>
              <w:rPr>
                <w:sz w:val="15"/>
                <w:szCs w:val="15"/>
                <w:color w:val="auto"/>
              </w:rPr>
            </w:pPr>
          </w:p>
        </w:tc>
        <w:tc>
          <w:tcPr>
            <w:tcW w:w="135" w:type="dxa"/>
            <w:vAlign w:val="bottom"/>
            <w:tcBorders>
              <w:top w:val="single" w:sz="8" w:color="auto"/>
            </w:tcBorders>
          </w:tcPr>
          <w:p>
            <w:pPr>
              <w:spacing w:after="0"/>
              <w:rPr>
                <w:sz w:val="15"/>
                <w:szCs w:val="15"/>
                <w:color w:val="auto"/>
              </w:rPr>
            </w:pPr>
          </w:p>
        </w:tc>
        <w:tc>
          <w:tcPr>
            <w:tcW w:w="1479" w:type="dxa"/>
            <w:vAlign w:val="bottom"/>
            <w:tcBorders>
              <w:top w:val="single" w:sz="8" w:color="auto"/>
            </w:tcBorders>
          </w:tcPr>
          <w:p>
            <w:pPr>
              <w:jc w:val="right"/>
              <w:ind w:right="409"/>
              <w:spacing w:after="0" w:line="182"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141"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234"/>
        </w:trPr>
        <w:tc>
          <w:tcPr>
            <w:tcW w:w="764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5" w:type="dxa"/>
            <w:vAlign w:val="bottom"/>
            <w:tcBorders>
              <w:bottom w:val="single" w:sz="8" w:color="auto"/>
            </w:tcBorders>
          </w:tcPr>
          <w:p>
            <w:pPr>
              <w:spacing w:after="0"/>
              <w:rPr>
                <w:sz w:val="20"/>
                <w:szCs w:val="20"/>
                <w:color w:val="auto"/>
              </w:rPr>
            </w:pPr>
          </w:p>
        </w:tc>
        <w:tc>
          <w:tcPr>
            <w:tcW w:w="1479"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1"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2013</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6.975</w:t>
            </w:r>
          </w:p>
        </w:tc>
        <w:tc>
          <w:tcPr>
            <w:tcW w:w="141"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4,662</w:t>
            </w:r>
          </w:p>
        </w:tc>
      </w:tr>
      <w:tr>
        <w:trPr>
          <w:trHeight w:val="216"/>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10.800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22,643</w:t>
            </w:r>
          </w:p>
        </w:tc>
      </w:tr>
      <w:tr>
        <w:trPr>
          <w:trHeight w:val="216"/>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2015</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9.600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38,748</w:t>
            </w:r>
          </w:p>
        </w:tc>
      </w:tr>
      <w:tr>
        <w:trPr>
          <w:trHeight w:val="218"/>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8.400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41,388</w:t>
            </w:r>
          </w:p>
        </w:tc>
      </w:tr>
      <w:tr>
        <w:trPr>
          <w:trHeight w:val="216"/>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2017</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8.400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70,717</w:t>
            </w:r>
          </w:p>
        </w:tc>
      </w:tr>
      <w:tr>
        <w:trPr>
          <w:trHeight w:val="216"/>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5.350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55,814</w:t>
            </w:r>
          </w:p>
        </w:tc>
      </w:tr>
      <w:tr>
        <w:trPr>
          <w:trHeight w:val="218"/>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2019</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4.800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54,421</w:t>
            </w:r>
          </w:p>
        </w:tc>
      </w:tr>
      <w:tr>
        <w:trPr>
          <w:trHeight w:val="215"/>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3.950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53,570</w:t>
            </w:r>
          </w:p>
        </w:tc>
      </w:tr>
      <w:tr>
        <w:trPr>
          <w:trHeight w:val="220"/>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2021</w:t>
            </w:r>
          </w:p>
        </w:tc>
        <w:tc>
          <w:tcPr>
            <w:tcW w:w="135" w:type="dxa"/>
            <w:vAlign w:val="bottom"/>
            <w:shd w:val="clear" w:color="auto" w:fill="DDDDDD"/>
          </w:tcPr>
          <w:p>
            <w:pPr>
              <w:spacing w:after="0"/>
              <w:rPr>
                <w:sz w:val="19"/>
                <w:szCs w:val="19"/>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3.900</w:t>
            </w:r>
          </w:p>
        </w:tc>
        <w:tc>
          <w:tcPr>
            <w:tcW w:w="141" w:type="dxa"/>
            <w:vAlign w:val="bottom"/>
            <w:shd w:val="clear" w:color="auto" w:fill="DDDDDD"/>
          </w:tcPr>
          <w:p>
            <w:pPr>
              <w:spacing w:after="0"/>
              <w:rPr>
                <w:sz w:val="19"/>
                <w:szCs w:val="19"/>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97,601</w:t>
            </w:r>
          </w:p>
        </w:tc>
      </w:tr>
      <w:tr>
        <w:trPr>
          <w:trHeight w:val="216"/>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2.475</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87,906</w:t>
            </w:r>
          </w:p>
        </w:tc>
      </w:tr>
      <w:tr>
        <w:trPr>
          <w:trHeight w:val="218"/>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2023</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1.800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81,127</w:t>
            </w:r>
          </w:p>
        </w:tc>
      </w:tr>
      <w:tr>
        <w:trPr>
          <w:trHeight w:val="216"/>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1.440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96,309</w:t>
            </w:r>
          </w:p>
        </w:tc>
      </w:tr>
      <w:tr>
        <w:trPr>
          <w:trHeight w:val="218"/>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2025</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1.440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190,930</w:t>
            </w:r>
          </w:p>
        </w:tc>
      </w:tr>
      <w:tr>
        <w:trPr>
          <w:trHeight w:val="215"/>
        </w:trPr>
        <w:tc>
          <w:tcPr>
            <w:tcW w:w="764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2026 YTD(1)</w:t>
            </w:r>
          </w:p>
        </w:tc>
        <w:tc>
          <w:tcPr>
            <w:tcW w:w="135" w:type="dxa"/>
            <w:vAlign w:val="bottom"/>
            <w:tcBorders>
              <w:bottom w:val="single" w:sz="8" w:color="auto"/>
            </w:tcBorders>
          </w:tcPr>
          <w:p>
            <w:pPr>
              <w:spacing w:after="0"/>
              <w:rPr>
                <w:sz w:val="18"/>
                <w:szCs w:val="18"/>
                <w:color w:val="auto"/>
              </w:rPr>
            </w:pPr>
          </w:p>
        </w:tc>
        <w:tc>
          <w:tcPr>
            <w:tcW w:w="1479"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0.240</w:t>
            </w:r>
          </w:p>
        </w:tc>
        <w:tc>
          <w:tcPr>
            <w:tcW w:w="141"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44,957</w:t>
            </w:r>
          </w:p>
        </w:tc>
      </w:tr>
      <w:tr>
        <w:trPr>
          <w:trHeight w:val="235"/>
        </w:trPr>
        <w:tc>
          <w:tcPr>
            <w:tcW w:w="7645"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Totals</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79" w:type="dxa"/>
            <w:vAlign w:val="bottom"/>
            <w:tcBorders>
              <w:bottom w:val="single" w:sz="8" w:color="DDDDDD"/>
            </w:tcBorders>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69.570</w:t>
            </w:r>
          </w:p>
        </w:tc>
        <w:tc>
          <w:tcPr>
            <w:tcW w:w="141"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tcBorders>
              <w:bottom w:val="single" w:sz="8" w:color="DDDDDD"/>
            </w:tcBorders>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940,793</w:t>
            </w:r>
          </w:p>
        </w:tc>
      </w:tr>
      <w:tr>
        <w:trPr>
          <w:trHeight w:val="20"/>
        </w:trPr>
        <w:tc>
          <w:tcPr>
            <w:tcW w:w="764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79" w:type="dxa"/>
            <w:vAlign w:val="bottom"/>
            <w:tcBorders>
              <w:top w:val="single" w:sz="8" w:color="auto"/>
              <w:bottom w:val="single" w:sz="8" w:color="auto"/>
            </w:tcBorders>
          </w:tcPr>
          <w:p>
            <w:pPr>
              <w:spacing w:after="0" w:line="20" w:lineRule="exact"/>
              <w:rPr>
                <w:sz w:val="1"/>
                <w:szCs w:val="1"/>
                <w:color w:val="auto"/>
              </w:rPr>
            </w:pPr>
          </w:p>
        </w:tc>
        <w:tc>
          <w:tcPr>
            <w:tcW w:w="141"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-187960</wp:posOffset>
                </wp:positionV>
                <wp:extent cx="68580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7999pt" to="540.2pt,-14.7999pt" o:allowincell="f" strokecolor="#FFFFFF" strokeweight="0.36pt"/>
            </w:pict>
          </mc:Fallback>
        </mc:AlternateContent>
      </w:r>
    </w:p>
    <w:p>
      <w:pPr>
        <w:spacing w:after="0" w:line="197" w:lineRule="exact"/>
        <w:rPr>
          <w:sz w:val="20"/>
          <w:szCs w:val="20"/>
          <w:color w:val="auto"/>
        </w:rPr>
      </w:pPr>
    </w:p>
    <w:p>
      <w:pPr>
        <w:ind w:left="360" w:right="80" w:hanging="350"/>
        <w:spacing w:after="0" w:line="258" w:lineRule="auto"/>
        <w:tabs>
          <w:tab w:leader="none" w:pos="3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2026, the Company declared a dividend of $0.12 per share to be paid on February 26, 2026. On February 11, 2026, the Company declared a dividend of $0.12 per share to be paid on March 30, 2026. The effects of these dividends are included in the table above but are not reflected in the Company’s financial statements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788" w:right="720" w:bottom="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3" w:lineRule="exact"/>
        <w:rPr>
          <w:sz w:val="20"/>
          <w:szCs w:val="20"/>
          <w:color w:val="auto"/>
        </w:rPr>
      </w:pPr>
    </w:p>
    <w:p>
      <w:pPr>
        <w:jc w:val="both"/>
        <w:ind w:right="320" w:firstLine="499"/>
        <w:spacing w:after="0" w:line="259" w:lineRule="auto"/>
        <w:rPr>
          <w:sz w:val="20"/>
          <w:szCs w:val="20"/>
          <w:color w:val="auto"/>
        </w:rPr>
      </w:pPr>
      <w:r>
        <w:rPr>
          <w:rFonts w:ascii="Times New Roman" w:cs="Times New Roman" w:eastAsia="Times New Roman" w:hAnsi="Times New Roman"/>
          <w:sz w:val="20"/>
          <w:szCs w:val="20"/>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Interest Rate Risk</w:t>
      </w:r>
    </w:p>
    <w:p>
      <w:pPr>
        <w:spacing w:after="0" w:line="227" w:lineRule="exact"/>
        <w:rPr>
          <w:sz w:val="20"/>
          <w:szCs w:val="20"/>
          <w:color w:val="auto"/>
        </w:rPr>
      </w:pPr>
    </w:p>
    <w:p>
      <w:pPr>
        <w:ind w:right="920" w:firstLine="499"/>
        <w:spacing w:after="0" w:line="277" w:lineRule="auto"/>
        <w:rPr>
          <w:sz w:val="20"/>
          <w:szCs w:val="20"/>
          <w:color w:val="auto"/>
        </w:rPr>
      </w:pPr>
      <w:r>
        <w:rPr>
          <w:rFonts w:ascii="Times New Roman" w:cs="Times New Roman" w:eastAsia="Times New Roman" w:hAnsi="Times New Roman"/>
          <w:sz w:val="20"/>
          <w:szCs w:val="20"/>
          <w:color w:val="auto"/>
        </w:rPr>
        <w:t>Interest rate risk is highly sensitive to many factors, including governmental monetary and tax policies, domestic and international economic and political considerations and other factors beyond our control.</w:t>
      </w:r>
    </w:p>
    <w:p>
      <w:pPr>
        <w:spacing w:after="0" w:line="161" w:lineRule="exact"/>
        <w:rPr>
          <w:sz w:val="20"/>
          <w:szCs w:val="20"/>
          <w:color w:val="auto"/>
        </w:rPr>
      </w:pPr>
    </w:p>
    <w:p>
      <w:pPr>
        <w:ind w:right="160" w:firstLine="500"/>
        <w:spacing w:after="0" w:line="247" w:lineRule="auto"/>
        <w:rPr>
          <w:sz w:val="20"/>
          <w:szCs w:val="20"/>
          <w:color w:val="auto"/>
        </w:rPr>
      </w:pPr>
      <w:r>
        <w:rPr>
          <w:rFonts w:ascii="Times New Roman" w:cs="Times New Roman" w:eastAsia="Times New Roman" w:hAnsi="Times New Roman"/>
          <w:sz w:val="20"/>
          <w:szCs w:val="20"/>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RMBS that constitute our investment portfolio, which affects our net income, ability to realize gains from the sale of these assets and ability to borrow, and the amount that we can borrow against, these securities.</w:t>
      </w:r>
    </w:p>
    <w:p>
      <w:pPr>
        <w:spacing w:after="0" w:line="191"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We may utilize a variety of financial instruments in order to limit the effects of changes in interest rates on our operations. The principal instruments that we use are futures contracts, dual digital options, interest rate swaps and swaptions, and interest rate floors and caps. These instruments are intended to serve as an economic hedge against future interest rate increases on our repurchase agreement borrowings. Hedging techniques are partly based on assumed levels of prepayments of our Agency RMBS. If prepayments are slower or faster than assumed, the life of the Agency RMBS will be longer or shorter, which would reduce the effectiveness of any hedging strategies we may use and may cause losses on such transactions. Hedging strategies involving the use of derivative securities are highly complex and may produce volatile returns. Hedging techniques are also limited by the rules relating to REIT qualification. In order to preserve our REIT status, we may be forced to terminate a hedging transaction at a time when the transaction is most needed.</w:t>
      </w:r>
    </w:p>
    <w:p>
      <w:pPr>
        <w:spacing w:after="0" w:line="196" w:lineRule="exact"/>
        <w:rPr>
          <w:sz w:val="20"/>
          <w:szCs w:val="20"/>
          <w:color w:val="auto"/>
        </w:rPr>
      </w:pPr>
    </w:p>
    <w:p>
      <w:pPr>
        <w:ind w:right="160" w:firstLine="499"/>
        <w:spacing w:after="0" w:line="277" w:lineRule="auto"/>
        <w:rPr>
          <w:sz w:val="20"/>
          <w:szCs w:val="20"/>
          <w:color w:val="auto"/>
        </w:rPr>
      </w:pPr>
      <w:r>
        <w:rPr>
          <w:rFonts w:ascii="Times New Roman" w:cs="Times New Roman" w:eastAsia="Times New Roman" w:hAnsi="Times New Roman"/>
          <w:sz w:val="20"/>
          <w:szCs w:val="20"/>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58"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20"/>
          <w:szCs w:val="20"/>
          <w:color w:val="auto"/>
        </w:rPr>
        <w:t>Our portfolio of PT RMBS is typically comprised of fixed rate RMBS, adjustable-rate RMBS (“ARMs”) and hybrid adjustable-rate RMBS. We generally seek to acquire low duration assets that offer high levels of protection from mortgage prepayments provided they are reasonably priced by the market. Although the duration of an individual asset can change as a result of changes in interest rates, we strive to maintain a hedged PT RMBS portfolio with an effective duration of less than 2.0. The stated contractual final maturity of the mortgage loans underlying our portfolio of PT RMBS generally ranges up to 30 years. However, the effect of prepayments of the underlying mortgage loans tends to shorten the resulting cash flows from our investments substantially. Prepayments occur for various reasons, including refinancing of underlying mortgages, loan payoffs in connection with home sales, and borrowers paying more than their scheduled loan payments, which accelerates the amortization of the loans.</w:t>
      </w:r>
    </w:p>
    <w:p>
      <w:pPr>
        <w:spacing w:after="0" w:line="194" w:lineRule="exact"/>
        <w:rPr>
          <w:sz w:val="20"/>
          <w:szCs w:val="20"/>
          <w:color w:val="auto"/>
        </w:rPr>
      </w:pPr>
    </w:p>
    <w:p>
      <w:pPr>
        <w:ind w:right="20" w:firstLine="499"/>
        <w:spacing w:after="0" w:line="247" w:lineRule="auto"/>
        <w:rPr>
          <w:sz w:val="20"/>
          <w:szCs w:val="20"/>
          <w:color w:val="auto"/>
        </w:rPr>
      </w:pPr>
      <w:r>
        <w:rPr>
          <w:rFonts w:ascii="Times New Roman" w:cs="Times New Roman" w:eastAsia="Times New Roman" w:hAnsi="Times New Roman"/>
          <w:sz w:val="20"/>
          <w:szCs w:val="20"/>
          <w:color w:val="auto"/>
        </w:rPr>
        <w:t>The duration of our IO and IIO portfolios will vary greatly depending on the structural features of the securities. While prepayment activity will always affect the cash flows associated with the securities, the interest only nature of IOs may cause their durations to become extremely negative when prepayments are high, and less negative when prepayments are low. Prepayments affect the durations of IIOs similarly, but the floating rate nature of the coupon of IIOs (which is inversely related to the level of one month SOFR) causes their price movements, and model duration, to be affected by changes in both prepayments and one month SOFR, both current and anticipated levels. As a result, the duration of IIO securities will also vary greatly.</w:t>
      </w:r>
    </w:p>
    <w:p>
      <w:pPr>
        <w:spacing w:after="0" w:line="191" w:lineRule="exact"/>
        <w:rPr>
          <w:sz w:val="20"/>
          <w:szCs w:val="20"/>
          <w:color w:val="auto"/>
        </w:rPr>
      </w:pPr>
    </w:p>
    <w:p>
      <w:pPr>
        <w:ind w:right="80" w:firstLine="499"/>
        <w:spacing w:after="0" w:line="247" w:lineRule="auto"/>
        <w:rPr>
          <w:sz w:val="20"/>
          <w:szCs w:val="20"/>
          <w:color w:val="auto"/>
        </w:rPr>
      </w:pPr>
      <w:r>
        <w:rPr>
          <w:rFonts w:ascii="Times New Roman" w:cs="Times New Roman" w:eastAsia="Times New Roman" w:hAnsi="Times New Roman"/>
          <w:sz w:val="20"/>
          <w:szCs w:val="20"/>
          <w:color w:val="auto"/>
        </w:rPr>
        <w:t>Prepayments on the loans underlying our RMBS can alter the timing of the cash flows from the underlying loans to us. As a result, we gauge the interest rate sensitivity of our assets by measuring their effective duration. While modified duration measures the price sensitivity of a bond to movements in interest rates, effective duration captures both the movement in interest rates and the fact that cash flows to a mortgage related security are altered when interest rates move. Accordingly, when the contract interest rate on a mortgage loan is substantially above prevailing interest rates in the market, the effective duration of securities collateralized by such loans can be quite low because of expected prepayments.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780"/>
          </w:cols>
          <w:pgMar w:left="720" w:top="829" w:right="740" w:bottom="0" w:gutter="0" w:footer="0" w:header="0"/>
        </w:sectPr>
      </w:pPr>
    </w:p>
    <w:bookmarkStart w:id="69" w:name="page70"/>
    <w:bookmarkEnd w:id="69"/>
    <w:p>
      <w:pPr>
        <w:ind w:right="260" w:firstLine="499"/>
        <w:spacing w:after="0" w:line="252" w:lineRule="auto"/>
        <w:rPr>
          <w:sz w:val="20"/>
          <w:szCs w:val="20"/>
          <w:color w:val="auto"/>
        </w:rPr>
      </w:pPr>
      <w:r>
        <w:rPr>
          <w:rFonts w:ascii="Times New Roman" w:cs="Times New Roman" w:eastAsia="Times New Roman" w:hAnsi="Times New Roman"/>
          <w:sz w:val="20"/>
          <w:szCs w:val="20"/>
          <w:color w:val="auto"/>
        </w:rPr>
        <w:t>We face the risk that the market value of our RMBS assets will increase or decrease at different rates than that of our hedging instruments. Accordingly, we assess our interest rate risk by estimating the duration of our assets and the duration of our hedge instruments. We generally calculate duration using various third party models. However, empirical results and various third party models may produce different duration numbers for the same securities.</w:t>
      </w:r>
    </w:p>
    <w:p>
      <w:pPr>
        <w:spacing w:after="0" w:line="184" w:lineRule="exact"/>
        <w:rPr>
          <w:sz w:val="20"/>
          <w:szCs w:val="20"/>
          <w:color w:val="auto"/>
        </w:rPr>
      </w:pPr>
    </w:p>
    <w:p>
      <w:pPr>
        <w:ind w:right="160" w:firstLine="499"/>
        <w:spacing w:after="0" w:line="265" w:lineRule="auto"/>
        <w:rPr>
          <w:sz w:val="20"/>
          <w:szCs w:val="20"/>
          <w:color w:val="auto"/>
        </w:rPr>
      </w:pPr>
      <w:r>
        <w:rPr>
          <w:rFonts w:ascii="Times New Roman" w:cs="Times New Roman" w:eastAsia="Times New Roman" w:hAnsi="Times New Roman"/>
          <w:sz w:val="19"/>
          <w:szCs w:val="19"/>
          <w:color w:val="auto"/>
        </w:rPr>
        <w:t>The following sensitivity analysis shows the estimated impact on the fair value of our interest rate-sensitive investments and hedge positions as of December 31, 2025 and December 31, 2024, assuming rates instantaneously fall 200 bps, fall 100 bps, fall 50 bps, rise 50 bps, rise 100 bps and rise 200 bps, adjusted to reflect the impact of convexity, which is the measure of the sensitivity of our hedge positions and Agency RMBS’ effective duration to movements in interest rates. We have a negatively convex asset profile and a linear to slightly positively convex hedge portfolio (short positions). It is common for us to have losses in both directions.</w:t>
      </w:r>
    </w:p>
    <w:p>
      <w:pPr>
        <w:spacing w:after="0" w:line="174" w:lineRule="exact"/>
        <w:rPr>
          <w:sz w:val="20"/>
          <w:szCs w:val="20"/>
          <w:color w:val="auto"/>
        </w:rPr>
      </w:pPr>
    </w:p>
    <w:p>
      <w:pPr>
        <w:ind w:right="280" w:firstLine="499"/>
        <w:spacing w:after="0" w:line="257" w:lineRule="auto"/>
        <w:rPr>
          <w:sz w:val="20"/>
          <w:szCs w:val="20"/>
          <w:color w:val="auto"/>
        </w:rPr>
      </w:pPr>
      <w:r>
        <w:rPr>
          <w:rFonts w:ascii="Times New Roman" w:cs="Times New Roman" w:eastAsia="Times New Roman" w:hAnsi="Times New Roman"/>
          <w:sz w:val="20"/>
          <w:szCs w:val="20"/>
          <w:color w:val="auto"/>
        </w:rPr>
        <w:t>All changes in value in the table below are measured as percentage changes from the investment portfolio value and net asset value at the base interest rate scenario. The base interest rate scenario assumes interest rates and prepayment projections as of December 31, 2025 and 2024.</w:t>
      </w:r>
    </w:p>
    <w:p>
      <w:pPr>
        <w:spacing w:after="0" w:line="181" w:lineRule="exact"/>
        <w:rPr>
          <w:sz w:val="20"/>
          <w:szCs w:val="20"/>
          <w:color w:val="auto"/>
        </w:rPr>
      </w:pPr>
    </w:p>
    <w:p>
      <w:pPr>
        <w:ind w:right="260" w:firstLine="499"/>
        <w:spacing w:after="0" w:line="247" w:lineRule="auto"/>
        <w:rPr>
          <w:sz w:val="20"/>
          <w:szCs w:val="20"/>
          <w:color w:val="auto"/>
        </w:rPr>
      </w:pPr>
      <w:r>
        <w:rPr>
          <w:rFonts w:ascii="Times New Roman" w:cs="Times New Roman" w:eastAsia="Times New Roman" w:hAnsi="Times New Roman"/>
          <w:sz w:val="20"/>
          <w:szCs w:val="20"/>
          <w:color w:val="auto"/>
        </w:rPr>
        <w:t xml:space="preserve">Actual results could differ materially from </w:t>
      </w:r>
      <w:r>
        <w:rPr>
          <w:rFonts w:ascii="Times New Roman" w:cs="Times New Roman" w:eastAsia="Times New Roman" w:hAnsi="Times New Roman"/>
          <w:sz w:val="20"/>
          <w:szCs w:val="20"/>
          <w:i w:val="1"/>
          <w:iCs w:val="1"/>
          <w:color w:val="auto"/>
        </w:rPr>
        <w:t>estimates</w:t>
      </w:r>
      <w:r>
        <w:rPr>
          <w:rFonts w:ascii="Times New Roman" w:cs="Times New Roman" w:eastAsia="Times New Roman" w:hAnsi="Times New Roman"/>
          <w:sz w:val="20"/>
          <w:szCs w:val="20"/>
          <w:color w:val="auto"/>
        </w:rPr>
        <w:t>,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increases and decreases on a static portfolio, we may from time to time sell any of our agency securities as a part of our overall management of our investment portfolio.</w:t>
      </w:r>
    </w:p>
    <w:p>
      <w:pPr>
        <w:spacing w:after="0" w:line="19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Interest Rate Sensitivity</w:t>
      </w:r>
      <w:r>
        <w:rPr>
          <w:rFonts w:ascii="Times New Roman" w:cs="Times New Roman" w:eastAsia="Times New Roman" w:hAnsi="Times New Roman"/>
          <w:sz w:val="10"/>
          <w:szCs w:val="10"/>
          <w:b w:val="1"/>
          <w:bCs w:val="1"/>
          <w:color w:val="auto"/>
        </w:rPr>
        <w:t>(1)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center"/>
              <w:ind w:right="240"/>
              <w:spacing w:after="0" w:line="190" w:lineRule="exact"/>
              <w:rPr>
                <w:sz w:val="20"/>
                <w:szCs w:val="20"/>
                <w:color w:val="auto"/>
              </w:rPr>
            </w:pPr>
            <w:r>
              <w:rPr>
                <w:rFonts w:ascii="Times New Roman" w:cs="Times New Roman" w:eastAsia="Times New Roman" w:hAnsi="Times New Roman"/>
                <w:sz w:val="18"/>
                <w:szCs w:val="18"/>
                <w:b w:val="1"/>
                <w:bCs w:val="1"/>
                <w:color w:val="auto"/>
                <w:w w:val="99"/>
              </w:rPr>
              <w:t>Portfolio</w:t>
            </w:r>
          </w:p>
        </w:tc>
        <w:tc>
          <w:tcPr>
            <w:tcW w:w="1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r>
      <w:tr>
        <w:trPr>
          <w:trHeight w:val="218"/>
        </w:trPr>
        <w:tc>
          <w:tcPr>
            <w:tcW w:w="7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Book</w:t>
            </w:r>
          </w:p>
        </w:tc>
      </w:tr>
      <w:tr>
        <w:trPr>
          <w:trHeight w:val="234"/>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in Interest Rate</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Value</w:t>
            </w:r>
            <w:r>
              <w:rPr>
                <w:rFonts w:ascii="Times New Roman" w:cs="Times New Roman" w:eastAsia="Times New Roman" w:hAnsi="Times New Roman"/>
                <w:sz w:val="10"/>
                <w:szCs w:val="10"/>
                <w:b w:val="1"/>
                <w:bCs w:val="1"/>
                <w:color w:val="auto"/>
                <w:w w:val="99"/>
              </w:rPr>
              <w:t>(2)(3)</w:t>
            </w:r>
          </w:p>
        </w:tc>
        <w:tc>
          <w:tcPr>
            <w:tcW w:w="16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10"/>
                <w:szCs w:val="10"/>
                <w:b w:val="1"/>
                <w:bCs w:val="1"/>
                <w:color w:val="auto"/>
              </w:rPr>
              <w:t>(2)(4)</w:t>
            </w:r>
          </w:p>
        </w:tc>
      </w:tr>
      <w:tr>
        <w:trPr>
          <w:trHeight w:val="203"/>
        </w:trPr>
        <w:tc>
          <w:tcPr>
            <w:tcW w:w="752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8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1330" w:type="dxa"/>
            <w:vAlign w:val="bottom"/>
            <w:tcBorders>
              <w:bottom w:val="single" w:sz="8" w:color="DDDDDD"/>
            </w:tcBorders>
            <w:shd w:val="clear" w:color="auto" w:fill="DDDDDD"/>
          </w:tcPr>
          <w:p>
            <w:pPr>
              <w:spacing w:after="0"/>
              <w:rPr>
                <w:sz w:val="17"/>
                <w:szCs w:val="17"/>
                <w:color w:val="auto"/>
              </w:rPr>
            </w:pPr>
          </w:p>
        </w:tc>
        <w:tc>
          <w:tcPr>
            <w:tcW w:w="21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140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r>
      <w:tr>
        <w:trPr>
          <w:trHeight w:val="201"/>
        </w:trPr>
        <w:tc>
          <w:tcPr>
            <w:tcW w:w="7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-200 Basis Points</w:t>
            </w:r>
          </w:p>
        </w:tc>
        <w:tc>
          <w:tcPr>
            <w:tcW w:w="164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(2.23 )%</w:t>
            </w:r>
          </w:p>
        </w:tc>
        <w:tc>
          <w:tcPr>
            <w:tcW w:w="20" w:type="dxa"/>
            <w:vAlign w:val="bottom"/>
          </w:tcPr>
          <w:p>
            <w:pPr>
              <w:spacing w:after="0"/>
              <w:rPr>
                <w:sz w:val="17"/>
                <w:szCs w:val="17"/>
                <w:color w:val="auto"/>
              </w:rPr>
            </w:pPr>
          </w:p>
        </w:tc>
        <w:tc>
          <w:tcPr>
            <w:tcW w:w="1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(17.30 )%</w:t>
            </w:r>
          </w:p>
        </w:tc>
      </w:tr>
      <w:tr>
        <w:trPr>
          <w:trHeight w:val="214"/>
        </w:trPr>
        <w:tc>
          <w:tcPr>
            <w:tcW w:w="75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00" w:type="dxa"/>
            <w:vAlign w:val="bottom"/>
            <w:tcBorders>
              <w:bottom w:val="single" w:sz="8" w:color="DDDDDD"/>
            </w:tcBorders>
            <w:gridSpan w:val="2"/>
            <w:shd w:val="clear" w:color="auto" w:fill="DDDDDD"/>
          </w:tcPr>
          <w:p>
            <w:pPr>
              <w:spacing w:after="0"/>
              <w:rPr>
                <w:sz w:val="18"/>
                <w:szCs w:val="18"/>
                <w:color w:val="auto"/>
              </w:rPr>
            </w:pPr>
          </w:p>
        </w:tc>
        <w:tc>
          <w:tcPr>
            <w:tcW w:w="133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10" w:type="dxa"/>
            <w:vAlign w:val="bottom"/>
            <w:tcBorders>
              <w:bottom w:val="single" w:sz="8" w:color="DDDDDD"/>
            </w:tcBorders>
            <w:shd w:val="clear" w:color="auto" w:fill="DDDDDD"/>
          </w:tcPr>
          <w:p>
            <w:pPr>
              <w:ind w:left="10"/>
              <w:spacing w:after="0"/>
              <w:rPr>
                <w:sz w:val="20"/>
                <w:szCs w:val="20"/>
                <w:color w:val="auto"/>
              </w:rPr>
            </w:pPr>
            <w:r>
              <w:rPr>
                <w:rFonts w:ascii="Times New Roman" w:cs="Times New Roman" w:eastAsia="Times New Roman" w:hAnsi="Times New Roman"/>
                <w:sz w:val="18"/>
                <w:szCs w:val="18"/>
                <w:color w:val="auto"/>
                <w:highlight w:val="lightGray"/>
                <w:w w:val="85"/>
              </w:rPr>
              <w:t>)%</w:t>
            </w:r>
          </w:p>
        </w:tc>
        <w:tc>
          <w:tcPr>
            <w:tcW w:w="20" w:type="dxa"/>
            <w:vAlign w:val="bottom"/>
            <w:tcBorders>
              <w:bottom w:val="single" w:sz="8" w:color="DDDDDD"/>
            </w:tcBorders>
            <w:shd w:val="clear" w:color="auto" w:fill="DDDDDD"/>
          </w:tcPr>
          <w:p>
            <w:pPr>
              <w:spacing w:after="0"/>
              <w:rPr>
                <w:sz w:val="18"/>
                <w:szCs w:val="18"/>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5"/>
              </w:rPr>
              <w:t>)%</w:t>
            </w:r>
          </w:p>
        </w:tc>
      </w:tr>
      <w:tr>
        <w:trPr>
          <w:trHeight w:val="201"/>
        </w:trPr>
        <w:tc>
          <w:tcPr>
            <w:tcW w:w="7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-50 Basis Points</w:t>
            </w:r>
          </w:p>
        </w:tc>
        <w:tc>
          <w:tcPr>
            <w:tcW w:w="164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(0.15 )%</w:t>
            </w:r>
          </w:p>
        </w:tc>
        <w:tc>
          <w:tcPr>
            <w:tcW w:w="20" w:type="dxa"/>
            <w:vAlign w:val="bottom"/>
          </w:tcPr>
          <w:p>
            <w:pPr>
              <w:spacing w:after="0"/>
              <w:rPr>
                <w:sz w:val="17"/>
                <w:szCs w:val="17"/>
                <w:color w:val="auto"/>
              </w:rPr>
            </w:pPr>
          </w:p>
        </w:tc>
        <w:tc>
          <w:tcPr>
            <w:tcW w:w="16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(1.14 )%</w:t>
            </w:r>
          </w:p>
        </w:tc>
      </w:tr>
      <w:tr>
        <w:trPr>
          <w:trHeight w:val="211"/>
        </w:trPr>
        <w:tc>
          <w:tcPr>
            <w:tcW w:w="75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+50 Basis Points</w:t>
            </w:r>
          </w:p>
        </w:tc>
        <w:tc>
          <w:tcPr>
            <w:tcW w:w="100" w:type="dxa"/>
            <w:vAlign w:val="bottom"/>
            <w:tcBorders>
              <w:bottom w:val="single" w:sz="8" w:color="DDDDDD"/>
            </w:tcBorders>
            <w:gridSpan w:val="2"/>
            <w:shd w:val="clear" w:color="auto" w:fill="DDDDDD"/>
          </w:tcPr>
          <w:p>
            <w:pPr>
              <w:spacing w:after="0"/>
              <w:rPr>
                <w:sz w:val="18"/>
                <w:szCs w:val="18"/>
                <w:color w:val="auto"/>
              </w:rPr>
            </w:pPr>
          </w:p>
        </w:tc>
        <w:tc>
          <w:tcPr>
            <w:tcW w:w="133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10" w:type="dxa"/>
            <w:vAlign w:val="bottom"/>
            <w:tcBorders>
              <w:bottom w:val="single" w:sz="8" w:color="DDDDDD"/>
            </w:tcBorders>
            <w:shd w:val="clear" w:color="auto" w:fill="DDDDDD"/>
          </w:tcPr>
          <w:p>
            <w:pPr>
              <w:ind w:left="10"/>
              <w:spacing w:after="0"/>
              <w:rPr>
                <w:sz w:val="20"/>
                <w:szCs w:val="20"/>
                <w:color w:val="auto"/>
              </w:rPr>
            </w:pPr>
            <w:r>
              <w:rPr>
                <w:rFonts w:ascii="Times New Roman" w:cs="Times New Roman" w:eastAsia="Times New Roman" w:hAnsi="Times New Roman"/>
                <w:sz w:val="18"/>
                <w:szCs w:val="18"/>
                <w:color w:val="auto"/>
                <w:highlight w:val="lightGray"/>
                <w:w w:val="85"/>
              </w:rPr>
              <w:t>)%</w:t>
            </w:r>
          </w:p>
        </w:tc>
        <w:tc>
          <w:tcPr>
            <w:tcW w:w="20" w:type="dxa"/>
            <w:vAlign w:val="bottom"/>
            <w:tcBorders>
              <w:bottom w:val="single" w:sz="8" w:color="DDDDDD"/>
            </w:tcBorders>
            <w:shd w:val="clear" w:color="auto" w:fill="DDDDDD"/>
          </w:tcPr>
          <w:p>
            <w:pPr>
              <w:spacing w:after="0"/>
              <w:rPr>
                <w:sz w:val="18"/>
                <w:szCs w:val="18"/>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5"/>
              </w:rPr>
              <w:t>)%</w:t>
            </w:r>
          </w:p>
        </w:tc>
      </w:tr>
      <w:tr>
        <w:trPr>
          <w:trHeight w:val="203"/>
        </w:trPr>
        <w:tc>
          <w:tcPr>
            <w:tcW w:w="7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+100 Basis Points</w:t>
            </w:r>
          </w:p>
        </w:tc>
        <w:tc>
          <w:tcPr>
            <w:tcW w:w="16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(0.98 )%</w:t>
            </w:r>
          </w:p>
        </w:tc>
        <w:tc>
          <w:tcPr>
            <w:tcW w:w="20" w:type="dxa"/>
            <w:vAlign w:val="bottom"/>
          </w:tcPr>
          <w:p>
            <w:pPr>
              <w:spacing w:after="0"/>
              <w:rPr>
                <w:sz w:val="17"/>
                <w:szCs w:val="17"/>
                <w:color w:val="auto"/>
              </w:rPr>
            </w:pPr>
          </w:p>
        </w:tc>
        <w:tc>
          <w:tcPr>
            <w:tcW w:w="16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(7.62 )%</w:t>
            </w:r>
          </w:p>
        </w:tc>
      </w:tr>
      <w:tr>
        <w:trPr>
          <w:trHeight w:val="215"/>
        </w:trPr>
        <w:tc>
          <w:tcPr>
            <w:tcW w:w="75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00" w:type="dxa"/>
            <w:vAlign w:val="bottom"/>
            <w:tcBorders>
              <w:bottom w:val="single" w:sz="8" w:color="auto"/>
            </w:tcBorders>
            <w:gridSpan w:val="2"/>
            <w:shd w:val="clear" w:color="auto" w:fill="DDDDDD"/>
          </w:tcPr>
          <w:p>
            <w:pPr>
              <w:spacing w:after="0"/>
              <w:rPr>
                <w:sz w:val="18"/>
                <w:szCs w:val="18"/>
                <w:color w:val="auto"/>
              </w:rPr>
            </w:pPr>
          </w:p>
        </w:tc>
        <w:tc>
          <w:tcPr>
            <w:tcW w:w="133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10" w:type="dxa"/>
            <w:vAlign w:val="bottom"/>
            <w:tcBorders>
              <w:bottom w:val="single" w:sz="8" w:color="auto"/>
            </w:tcBorders>
            <w:shd w:val="clear" w:color="auto" w:fill="DDDDDD"/>
          </w:tcPr>
          <w:p>
            <w:pPr>
              <w:ind w:left="10"/>
              <w:spacing w:after="0"/>
              <w:rPr>
                <w:sz w:val="20"/>
                <w:szCs w:val="20"/>
                <w:color w:val="auto"/>
              </w:rPr>
            </w:pPr>
            <w:r>
              <w:rPr>
                <w:rFonts w:ascii="Times New Roman" w:cs="Times New Roman" w:eastAsia="Times New Roman" w:hAnsi="Times New Roman"/>
                <w:sz w:val="18"/>
                <w:szCs w:val="18"/>
                <w:color w:val="auto"/>
                <w:highlight w:val="lightGray"/>
                <w:w w:val="85"/>
              </w:rPr>
              <w:t>)%</w:t>
            </w:r>
          </w:p>
        </w:tc>
        <w:tc>
          <w:tcPr>
            <w:tcW w:w="20" w:type="dxa"/>
            <w:vAlign w:val="bottom"/>
            <w:tcBorders>
              <w:bottom w:val="single" w:sz="8" w:color="auto"/>
            </w:tcBorders>
            <w:shd w:val="clear" w:color="auto" w:fill="DDDDDD"/>
          </w:tcPr>
          <w:p>
            <w:pPr>
              <w:spacing w:after="0"/>
              <w:rPr>
                <w:sz w:val="18"/>
                <w:szCs w:val="18"/>
                <w:color w:val="auto"/>
              </w:rPr>
            </w:pPr>
          </w:p>
        </w:tc>
        <w:tc>
          <w:tcPr>
            <w:tcW w:w="14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0" w:type="dxa"/>
            <w:vAlign w:val="bottom"/>
            <w:tcBorders>
              <w:bottom w:val="single" w:sz="8" w:color="auto"/>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5"/>
              </w:rPr>
              <w:t>)%</w:t>
            </w:r>
          </w:p>
        </w:tc>
      </w:tr>
      <w:tr>
        <w:trPr>
          <w:trHeight w:val="211"/>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3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2"/>
        </w:trPr>
        <w:tc>
          <w:tcPr>
            <w:tcW w:w="75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00" w:type="dxa"/>
            <w:vAlign w:val="bottom"/>
            <w:tcBorders>
              <w:bottom w:val="single" w:sz="8" w:color="DDDDDD"/>
            </w:tcBorders>
            <w:gridSpan w:val="2"/>
            <w:shd w:val="clear" w:color="auto" w:fill="DDDDDD"/>
          </w:tcPr>
          <w:p>
            <w:pPr>
              <w:spacing w:after="0"/>
              <w:rPr>
                <w:sz w:val="20"/>
                <w:szCs w:val="20"/>
                <w:color w:val="auto"/>
              </w:rPr>
            </w:pPr>
          </w:p>
        </w:tc>
        <w:tc>
          <w:tcPr>
            <w:tcW w:w="133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10" w:type="dxa"/>
            <w:vAlign w:val="bottom"/>
            <w:tcBorders>
              <w:bottom w:val="single" w:sz="8" w:color="DDDDDD"/>
            </w:tcBorders>
            <w:shd w:val="clear" w:color="auto" w:fill="DDDDDD"/>
          </w:tcPr>
          <w:p>
            <w:pPr>
              <w:ind w:left="10"/>
              <w:spacing w:after="0"/>
              <w:rPr>
                <w:sz w:val="20"/>
                <w:szCs w:val="20"/>
                <w:color w:val="auto"/>
              </w:rPr>
            </w:pPr>
            <w:r>
              <w:rPr>
                <w:rFonts w:ascii="Times New Roman" w:cs="Times New Roman" w:eastAsia="Times New Roman" w:hAnsi="Times New Roman"/>
                <w:sz w:val="18"/>
                <w:szCs w:val="18"/>
                <w:color w:val="auto"/>
                <w:highlight w:val="lightGray"/>
                <w:w w:val="85"/>
              </w:rPr>
              <w:t>)%</w:t>
            </w:r>
          </w:p>
        </w:tc>
        <w:tc>
          <w:tcPr>
            <w:tcW w:w="20" w:type="dxa"/>
            <w:vAlign w:val="bottom"/>
            <w:tcBorders>
              <w:bottom w:val="single" w:sz="8" w:color="DDDDDD"/>
            </w:tcBorders>
            <w:shd w:val="clear" w:color="auto" w:fill="DDDDDD"/>
          </w:tcPr>
          <w:p>
            <w:pPr>
              <w:spacing w:after="0"/>
              <w:rPr>
                <w:sz w:val="20"/>
                <w:szCs w:val="20"/>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5"/>
              </w:rPr>
              <w:t>)%</w:t>
            </w:r>
          </w:p>
        </w:tc>
      </w:tr>
      <w:tr>
        <w:trPr>
          <w:trHeight w:val="182"/>
        </w:trPr>
        <w:tc>
          <w:tcPr>
            <w:tcW w:w="7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-100 Basis Points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(0.06 )%</w:t>
            </w:r>
          </w:p>
        </w:tc>
        <w:tc>
          <w:tcPr>
            <w:tcW w:w="2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(0.43</w:t>
            </w:r>
          </w:p>
        </w:tc>
        <w:tc>
          <w:tcPr>
            <w:tcW w:w="2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5"/>
              </w:rPr>
              <w:t>)%</w:t>
            </w:r>
          </w:p>
        </w:tc>
      </w:tr>
      <w:tr>
        <w:trPr>
          <w:trHeight w:val="211"/>
        </w:trPr>
        <w:tc>
          <w:tcPr>
            <w:tcW w:w="75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-50 Basis Points</w:t>
            </w:r>
          </w:p>
        </w:tc>
        <w:tc>
          <w:tcPr>
            <w:tcW w:w="100" w:type="dxa"/>
            <w:vAlign w:val="bottom"/>
            <w:tcBorders>
              <w:bottom w:val="single" w:sz="8" w:color="DDDDDD"/>
            </w:tcBorders>
            <w:gridSpan w:val="2"/>
            <w:shd w:val="clear" w:color="auto" w:fill="DDDDDD"/>
          </w:tcPr>
          <w:p>
            <w:pPr>
              <w:spacing w:after="0"/>
              <w:rPr>
                <w:sz w:val="18"/>
                <w:szCs w:val="18"/>
                <w:color w:val="auto"/>
              </w:rPr>
            </w:pPr>
          </w:p>
        </w:tc>
        <w:tc>
          <w:tcPr>
            <w:tcW w:w="133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10" w:type="dxa"/>
            <w:vAlign w:val="bottom"/>
            <w:tcBorders>
              <w:bottom w:val="single" w:sz="8" w:color="DDDDDD"/>
            </w:tcBorders>
            <w:shd w:val="clear" w:color="auto" w:fill="DDDDDD"/>
          </w:tcPr>
          <w:p>
            <w:pPr>
              <w:ind w:left="10"/>
              <w:spacing w:after="0"/>
              <w:rPr>
                <w:sz w:val="20"/>
                <w:szCs w:val="20"/>
                <w:color w:val="auto"/>
              </w:rPr>
            </w:pPr>
            <w:r>
              <w:rPr>
                <w:rFonts w:ascii="Times New Roman" w:cs="Times New Roman" w:eastAsia="Times New Roman" w:hAnsi="Times New Roman"/>
                <w:sz w:val="18"/>
                <w:szCs w:val="18"/>
                <w:color w:val="auto"/>
                <w:highlight w:val="lightGray"/>
              </w:rPr>
              <w:t>%</w:t>
            </w:r>
          </w:p>
        </w:tc>
        <w:tc>
          <w:tcPr>
            <w:tcW w:w="20" w:type="dxa"/>
            <w:vAlign w:val="bottom"/>
            <w:tcBorders>
              <w:bottom w:val="single" w:sz="8" w:color="DDDDDD"/>
            </w:tcBorders>
            <w:shd w:val="clear" w:color="auto" w:fill="DDDDDD"/>
          </w:tcPr>
          <w:p>
            <w:pPr>
              <w:spacing w:after="0"/>
              <w:rPr>
                <w:sz w:val="18"/>
                <w:szCs w:val="18"/>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03"/>
        </w:trPr>
        <w:tc>
          <w:tcPr>
            <w:tcW w:w="7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+50 Basis Points</w:t>
            </w:r>
          </w:p>
        </w:tc>
        <w:tc>
          <w:tcPr>
            <w:tcW w:w="164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(0.35 )%</w:t>
            </w:r>
          </w:p>
        </w:tc>
        <w:tc>
          <w:tcPr>
            <w:tcW w:w="20" w:type="dxa"/>
            <w:vAlign w:val="bottom"/>
          </w:tcPr>
          <w:p>
            <w:pPr>
              <w:spacing w:after="0"/>
              <w:rPr>
                <w:sz w:val="17"/>
                <w:szCs w:val="17"/>
                <w:color w:val="auto"/>
              </w:rPr>
            </w:pPr>
          </w:p>
        </w:tc>
        <w:tc>
          <w:tcPr>
            <w:tcW w:w="16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(2.75 )%</w:t>
            </w:r>
          </w:p>
        </w:tc>
      </w:tr>
      <w:tr>
        <w:trPr>
          <w:trHeight w:val="211"/>
        </w:trPr>
        <w:tc>
          <w:tcPr>
            <w:tcW w:w="75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00" w:type="dxa"/>
            <w:vAlign w:val="bottom"/>
            <w:tcBorders>
              <w:bottom w:val="single" w:sz="8" w:color="DDDDDD"/>
            </w:tcBorders>
            <w:gridSpan w:val="2"/>
            <w:shd w:val="clear" w:color="auto" w:fill="DDDDDD"/>
          </w:tcPr>
          <w:p>
            <w:pPr>
              <w:spacing w:after="0"/>
              <w:rPr>
                <w:sz w:val="18"/>
                <w:szCs w:val="18"/>
                <w:color w:val="auto"/>
              </w:rPr>
            </w:pPr>
          </w:p>
        </w:tc>
        <w:tc>
          <w:tcPr>
            <w:tcW w:w="133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10" w:type="dxa"/>
            <w:vAlign w:val="bottom"/>
            <w:tcBorders>
              <w:bottom w:val="single" w:sz="8" w:color="DDDDDD"/>
            </w:tcBorders>
            <w:shd w:val="clear" w:color="auto" w:fill="DDDDDD"/>
          </w:tcPr>
          <w:p>
            <w:pPr>
              <w:ind w:left="10"/>
              <w:spacing w:after="0"/>
              <w:rPr>
                <w:sz w:val="20"/>
                <w:szCs w:val="20"/>
                <w:color w:val="auto"/>
              </w:rPr>
            </w:pPr>
            <w:r>
              <w:rPr>
                <w:rFonts w:ascii="Times New Roman" w:cs="Times New Roman" w:eastAsia="Times New Roman" w:hAnsi="Times New Roman"/>
                <w:sz w:val="18"/>
                <w:szCs w:val="18"/>
                <w:color w:val="auto"/>
                <w:highlight w:val="lightGray"/>
                <w:w w:val="85"/>
              </w:rPr>
              <w:t>)%</w:t>
            </w:r>
          </w:p>
        </w:tc>
        <w:tc>
          <w:tcPr>
            <w:tcW w:w="20" w:type="dxa"/>
            <w:vAlign w:val="bottom"/>
            <w:tcBorders>
              <w:bottom w:val="single" w:sz="8" w:color="DDDDDD"/>
            </w:tcBorders>
            <w:shd w:val="clear" w:color="auto" w:fill="DDDDDD"/>
          </w:tcPr>
          <w:p>
            <w:pPr>
              <w:spacing w:after="0"/>
              <w:rPr>
                <w:sz w:val="18"/>
                <w:szCs w:val="18"/>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85"/>
              </w:rPr>
              <w:t>)%</w:t>
            </w:r>
          </w:p>
        </w:tc>
      </w:tr>
      <w:tr>
        <w:trPr>
          <w:trHeight w:val="206"/>
        </w:trPr>
        <w:tc>
          <w:tcPr>
            <w:tcW w:w="752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+200 Basis Points</w:t>
            </w:r>
          </w:p>
        </w:tc>
        <w:tc>
          <w:tcPr>
            <w:tcW w:w="1640" w:type="dxa"/>
            <w:vAlign w:val="bottom"/>
            <w:tcBorders>
              <w:bottom w:val="single" w:sz="8" w:color="auto"/>
            </w:tcBorders>
            <w:gridSpan w:val="4"/>
          </w:tcPr>
          <w:p>
            <w:pPr>
              <w:jc w:val="right"/>
              <w:spacing w:after="0" w:line="206" w:lineRule="exact"/>
              <w:rPr>
                <w:sz w:val="20"/>
                <w:szCs w:val="20"/>
                <w:color w:val="auto"/>
              </w:rPr>
            </w:pPr>
            <w:r>
              <w:rPr>
                <w:rFonts w:ascii="Times New Roman" w:cs="Times New Roman" w:eastAsia="Times New Roman" w:hAnsi="Times New Roman"/>
                <w:sz w:val="18"/>
                <w:szCs w:val="18"/>
                <w:color w:val="auto"/>
              </w:rPr>
              <w:t>(2.67 )%</w:t>
            </w: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(20.99 )%</w:t>
            </w:r>
          </w:p>
        </w:tc>
      </w:tr>
    </w:tbl>
    <w:p>
      <w:pPr>
        <w:spacing w:after="0" w:line="217" w:lineRule="exact"/>
        <w:rPr>
          <w:sz w:val="20"/>
          <w:szCs w:val="20"/>
          <w:color w:val="auto"/>
        </w:rPr>
      </w:pPr>
    </w:p>
    <w:p>
      <w:pPr>
        <w:ind w:left="540" w:right="280" w:hanging="530"/>
        <w:spacing w:after="0" w:line="252" w:lineRule="auto"/>
        <w:tabs>
          <w:tab w:leader="none" w:pos="5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sensitivity is derived from models that are dependent on inputs and assumptions provided by third parties as well as by our Manager, and assumes there are no changes in mortgage spreads and assumes a static portfolio. Actual results could differ materially from these estimates.</w:t>
      </w:r>
    </w:p>
    <w:p>
      <w:pPr>
        <w:spacing w:after="0" w:line="1" w:lineRule="exact"/>
        <w:rPr>
          <w:rFonts w:ascii="Times New Roman" w:cs="Times New Roman" w:eastAsia="Times New Roman" w:hAnsi="Times New Roman"/>
          <w:sz w:val="18"/>
          <w:szCs w:val="18"/>
          <w:color w:val="auto"/>
        </w:rPr>
      </w:pPr>
    </w:p>
    <w:p>
      <w:pPr>
        <w:ind w:left="540" w:hanging="530"/>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effect of derivatives and other securities used for hedging purposes.</w:t>
      </w:r>
    </w:p>
    <w:p>
      <w:pPr>
        <w:spacing w:after="0" w:line="11" w:lineRule="exact"/>
        <w:rPr>
          <w:rFonts w:ascii="Times New Roman" w:cs="Times New Roman" w:eastAsia="Times New Roman" w:hAnsi="Times New Roman"/>
          <w:sz w:val="18"/>
          <w:szCs w:val="18"/>
          <w:color w:val="auto"/>
        </w:rPr>
      </w:pPr>
    </w:p>
    <w:p>
      <w:pPr>
        <w:ind w:left="540" w:hanging="530"/>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dollar change in investment portfolio value expressed as a percent of the total fair value of our investment portfolio as of such date.</w:t>
      </w:r>
    </w:p>
    <w:p>
      <w:pPr>
        <w:spacing w:after="0" w:line="9" w:lineRule="exact"/>
        <w:rPr>
          <w:rFonts w:ascii="Times New Roman" w:cs="Times New Roman" w:eastAsia="Times New Roman" w:hAnsi="Times New Roman"/>
          <w:sz w:val="18"/>
          <w:szCs w:val="18"/>
          <w:color w:val="auto"/>
        </w:rPr>
      </w:pPr>
    </w:p>
    <w:p>
      <w:pPr>
        <w:ind w:left="540" w:hanging="530"/>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dollar change in portfolio value expressed as a percent of stockholders' equity as of such date.</w:t>
      </w:r>
    </w:p>
    <w:p>
      <w:pPr>
        <w:spacing w:after="0" w:line="213" w:lineRule="exact"/>
        <w:rPr>
          <w:sz w:val="20"/>
          <w:szCs w:val="20"/>
          <w:color w:val="auto"/>
        </w:rPr>
      </w:pPr>
    </w:p>
    <w:p>
      <w:pPr>
        <w:ind w:right="140" w:firstLine="499"/>
        <w:spacing w:after="0" w:line="252" w:lineRule="auto"/>
        <w:rPr>
          <w:sz w:val="20"/>
          <w:szCs w:val="20"/>
          <w:color w:val="auto"/>
        </w:rPr>
      </w:pPr>
      <w:r>
        <w:rPr>
          <w:rFonts w:ascii="Times New Roman" w:cs="Times New Roman" w:eastAsia="Times New Roman" w:hAnsi="Times New Roman"/>
          <w:sz w:val="20"/>
          <w:szCs w:val="20"/>
          <w:color w:val="auto"/>
        </w:rPr>
        <w:t>In addition to changes in interest rates, other factors impact the fair value of our interest rate-sensitive investments, such as the shape of the yield curve, market expectations as to future interest rate changes and other market conditions. Accordingly, in the event of changes in actual interest rates, the change in the fair value of our assets would likely differ from that shown above and such difference might be material and adverse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788" w:right="720" w:bottom="0" w:gutter="0" w:footer="0" w:header="0"/>
        </w:sectPr>
      </w:pPr>
    </w:p>
    <w:bookmarkStart w:id="70" w:name="page71"/>
    <w:bookmarkEnd w:id="70"/>
    <w:p>
      <w:pPr>
        <w:ind w:left="500"/>
        <w:spacing w:after="0"/>
        <w:rPr>
          <w:sz w:val="20"/>
          <w:szCs w:val="20"/>
          <w:color w:val="auto"/>
        </w:rPr>
      </w:pPr>
      <w:r>
        <w:rPr>
          <w:rFonts w:ascii="Times New Roman" w:cs="Times New Roman" w:eastAsia="Times New Roman" w:hAnsi="Times New Roman"/>
          <w:sz w:val="20"/>
          <w:szCs w:val="20"/>
          <w:i w:val="1"/>
          <w:iCs w:val="1"/>
          <w:color w:val="auto"/>
        </w:rPr>
        <w:t>Prepayment Risk</w:t>
      </w:r>
    </w:p>
    <w:p>
      <w:pPr>
        <w:spacing w:after="0" w:line="227" w:lineRule="exact"/>
        <w:rPr>
          <w:sz w:val="20"/>
          <w:szCs w:val="20"/>
          <w:color w:val="auto"/>
        </w:rPr>
      </w:pPr>
    </w:p>
    <w:p>
      <w:pPr>
        <w:ind w:right="20" w:firstLine="499"/>
        <w:spacing w:after="0" w:line="244" w:lineRule="auto"/>
        <w:rPr>
          <w:sz w:val="20"/>
          <w:szCs w:val="20"/>
          <w:color w:val="auto"/>
        </w:rPr>
      </w:pPr>
      <w:r>
        <w:rPr>
          <w:rFonts w:ascii="Times New Roman" w:cs="Times New Roman" w:eastAsia="Times New Roman" w:hAnsi="Times New Roman"/>
          <w:sz w:val="20"/>
          <w:szCs w:val="20"/>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Generally, prepayments on Agency RMBS increase during periods of falling mortgage interest rates and decrease during periods of rising mortgage interest rates. However, this may not always be the case. We may reinvest principal repayments at a yield that is lower or higher than the yield on the repaid investment, thus affecting our net interest income by altering the average yield on our assets.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Spread Risk</w:t>
      </w:r>
    </w:p>
    <w:p>
      <w:pPr>
        <w:spacing w:after="0" w:line="227" w:lineRule="exact"/>
        <w:rPr>
          <w:sz w:val="20"/>
          <w:szCs w:val="20"/>
          <w:color w:val="auto"/>
        </w:rPr>
      </w:pPr>
    </w:p>
    <w:p>
      <w:pPr>
        <w:ind w:right="80" w:firstLine="499"/>
        <w:spacing w:after="0" w:line="245" w:lineRule="auto"/>
        <w:rPr>
          <w:sz w:val="20"/>
          <w:szCs w:val="20"/>
          <w:color w:val="auto"/>
        </w:rPr>
      </w:pPr>
      <w:r>
        <w:rPr>
          <w:rFonts w:ascii="Times New Roman" w:cs="Times New Roman" w:eastAsia="Times New Roman" w:hAnsi="Times New Roman"/>
          <w:sz w:val="20"/>
          <w:szCs w:val="20"/>
          <w:color w:val="auto"/>
        </w:rPr>
        <w:t>When the market spread widens between the yield on our Agency RMBS and benchmark interest rates, our net book value could decline if the value of our Agency RMBS falls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 market liquidity, or changes in required rates of return on different assets. Consequently, while we use futures contracts, dual digital options, interest rate swaps and swaptions, and interest rate floors and caps to attempt to protect against moves in interest rates, such instruments typically will not protect our net book value against spread risk.</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Liquidity Risk</w:t>
      </w:r>
    </w:p>
    <w:p>
      <w:pPr>
        <w:spacing w:after="0" w:line="227" w:lineRule="exact"/>
        <w:rPr>
          <w:sz w:val="20"/>
          <w:szCs w:val="20"/>
          <w:color w:val="auto"/>
        </w:rPr>
      </w:pPr>
    </w:p>
    <w:p>
      <w:pPr>
        <w:ind w:firstLine="499"/>
        <w:spacing w:after="0" w:line="243" w:lineRule="auto"/>
        <w:rPr>
          <w:sz w:val="20"/>
          <w:szCs w:val="20"/>
          <w:color w:val="auto"/>
        </w:rPr>
      </w:pPr>
      <w:r>
        <w:rPr>
          <w:rFonts w:ascii="Times New Roman" w:cs="Times New Roman" w:eastAsia="Times New Roman" w:hAnsi="Times New Roman"/>
          <w:sz w:val="20"/>
          <w:szCs w:val="20"/>
          <w:color w:val="auto"/>
        </w:rPr>
        <w:t>The primary liquidity risk for us arises from financing long-term assets with shorter-term borrowings through repurchase agreements. Our assets that are pledged to secure repurchase agreements are Agency RMBS and cash. As of December 31, 2025, we had unrestricted cash and cash equivalents of $665.9 million and unpledged securities of approximately $125.9 million (not including unsettled securities purchases or securities pledged to us) available to meet margin calls on our repurchase agreements and derivative contracts, and for other corporate purposes. However, should the value of our Agency RMBS pledged as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Extension Risk</w:t>
      </w:r>
    </w:p>
    <w:p>
      <w:pPr>
        <w:spacing w:after="0" w:line="229" w:lineRule="exact"/>
        <w:rPr>
          <w:sz w:val="20"/>
          <w:szCs w:val="20"/>
          <w:color w:val="auto"/>
        </w:rPr>
      </w:pPr>
    </w:p>
    <w:p>
      <w:pPr>
        <w:ind w:firstLine="499"/>
        <w:spacing w:after="0" w:line="249" w:lineRule="auto"/>
        <w:rPr>
          <w:sz w:val="20"/>
          <w:szCs w:val="20"/>
          <w:color w:val="auto"/>
        </w:rPr>
      </w:pPr>
      <w:r>
        <w:rPr>
          <w:rFonts w:ascii="Times New Roman" w:cs="Times New Roman" w:eastAsia="Times New Roman" w:hAnsi="Times New Roman"/>
          <w:sz w:val="20"/>
          <w:szCs w:val="20"/>
          <w:color w:val="auto"/>
        </w:rPr>
        <w:t>The projected weighted average life and the duration (or interest rate sensitivity) of our investments is based on our Manager's assumptions regarding the rate at which the borrowers will prepay the underlying mortgage loans. In general, we use futures contracts, dual digital options and interest rate swaps and swaptions to help manage our funding cost on our investments in the event that interest rates rise. These hedging instruments allow us to reduce our funding exposure on the notional amount of the instrument for a specified period of time.</w:t>
      </w:r>
    </w:p>
    <w:p>
      <w:pPr>
        <w:spacing w:after="0" w:line="187" w:lineRule="exact"/>
        <w:rPr>
          <w:sz w:val="20"/>
          <w:szCs w:val="20"/>
          <w:color w:val="auto"/>
        </w:rPr>
      </w:pPr>
    </w:p>
    <w:p>
      <w:pPr>
        <w:ind w:right="40" w:firstLine="500"/>
        <w:spacing w:after="0" w:line="246" w:lineRule="auto"/>
        <w:rPr>
          <w:sz w:val="20"/>
          <w:szCs w:val="20"/>
          <w:color w:val="auto"/>
        </w:rPr>
      </w:pPr>
      <w:r>
        <w:rPr>
          <w:rFonts w:ascii="Times New Roman" w:cs="Times New Roman" w:eastAsia="Times New Roman" w:hAnsi="Times New Roman"/>
          <w:sz w:val="20"/>
          <w:szCs w:val="20"/>
          <w:color w:val="auto"/>
        </w:rPr>
        <w:t xml:space="preserve">However, if prepayment rates decrease in a rising interest rate environment, the average life or duration of our fixed-rate assets or the fixed -rate portion of the ARMs or other assets generally extends. This could have a negative impact on our results from operations, as our hedging instrument expirations are fixed and will, therefore, cover a smaller percentage of our funding exposure on our mortgage assets to the extent that their average lives increase due to slower prepayments. This situation </w:t>
      </w:r>
      <w:r>
        <w:rPr>
          <w:rFonts w:ascii="Times New Roman" w:cs="Times New Roman" w:eastAsia="Times New Roman" w:hAnsi="Times New Roman"/>
          <w:sz w:val="20"/>
          <w:szCs w:val="20"/>
          <w:i w:val="1"/>
          <w:iCs w:val="1"/>
          <w:color w:val="auto"/>
        </w:rPr>
        <w:t>may</w:t>
      </w:r>
      <w:r>
        <w:rPr>
          <w:rFonts w:ascii="Times New Roman" w:cs="Times New Roman" w:eastAsia="Times New Roman" w:hAnsi="Times New Roman"/>
          <w:sz w:val="20"/>
          <w:szCs w:val="20"/>
          <w:color w:val="auto"/>
        </w:rPr>
        <w:t xml:space="preserve"> also cause the market value of our Agency RMBS and CMOs collateralized by fixed rate mortgages or hybrid ARMs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780"/>
          </w:cols>
          <w:pgMar w:left="720" w:top="790" w:right="740" w:bottom="0" w:gutter="0" w:footer="0" w:header="0"/>
        </w:sectPr>
      </w:pPr>
    </w:p>
    <w:bookmarkStart w:id="71" w:name="page72"/>
    <w:bookmarkEnd w:id="71"/>
    <w:p>
      <w:pPr>
        <w:ind w:left="500"/>
        <w:spacing w:after="0"/>
        <w:rPr>
          <w:sz w:val="20"/>
          <w:szCs w:val="20"/>
          <w:color w:val="auto"/>
        </w:rPr>
      </w:pPr>
      <w:r>
        <w:rPr>
          <w:rFonts w:ascii="Times New Roman" w:cs="Times New Roman" w:eastAsia="Times New Roman" w:hAnsi="Times New Roman"/>
          <w:sz w:val="20"/>
          <w:szCs w:val="20"/>
          <w:i w:val="1"/>
          <w:iCs w:val="1"/>
          <w:color w:val="auto"/>
        </w:rPr>
        <w:t>Counterparty Credit Risk</w:t>
      </w:r>
    </w:p>
    <w:p>
      <w:pPr>
        <w:spacing w:after="0" w:line="227"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registered central clearing exchanges and major financial institutions with acceptable credit ratings, monitoring positions with individual counterparties and adjusting collateral posted as required. However, there is no guarantee our efforts to manage counterparty credit risk will be successful, and we could suffer significant losses if unsuccessful.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790" w:right="720"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73"/>
        </w:trPr>
        <w:tc>
          <w:tcPr>
            <w:tcW w:w="9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61"/>
        </w:trPr>
        <w:tc>
          <w:tcPr>
            <w:tcW w:w="9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3"/>
        </w:trPr>
        <w:tc>
          <w:tcPr>
            <w:tcW w:w="98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63"/>
        </w:trPr>
        <w:tc>
          <w:tcPr>
            <w:tcW w:w="9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(BDO USA, P.C.; West Palm Beach, FL; PCAOB</w:t>
            </w:r>
          </w:p>
        </w:tc>
        <w:tc>
          <w:tcPr>
            <w:tcW w:w="5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40"/>
        </w:trPr>
        <w:tc>
          <w:tcPr>
            <w:tcW w:w="984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ID#243)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40"/>
        </w:trPr>
        <w:tc>
          <w:tcPr>
            <w:tcW w:w="9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Balance Sheets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40"/>
        </w:trPr>
        <w:tc>
          <w:tcPr>
            <w:tcW w:w="9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Statements of Comprehensive Income (Loss)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40"/>
        </w:trPr>
        <w:tc>
          <w:tcPr>
            <w:tcW w:w="9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Statements of Stockholders’ Equity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40"/>
        </w:trPr>
        <w:tc>
          <w:tcPr>
            <w:tcW w:w="9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Statements of Cash Flows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65"/>
        </w:trPr>
        <w:tc>
          <w:tcPr>
            <w:tcW w:w="9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1288" w:right="720"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Orchid Island Capital, Inc.</w:t>
      </w:r>
    </w:p>
    <w:p>
      <w:pPr>
        <w:spacing w:after="0"/>
        <w:rPr>
          <w:sz w:val="20"/>
          <w:szCs w:val="20"/>
          <w:color w:val="auto"/>
        </w:rPr>
      </w:pPr>
      <w:r>
        <w:rPr>
          <w:rFonts w:ascii="Times New Roman" w:cs="Times New Roman" w:eastAsia="Times New Roman" w:hAnsi="Times New Roman"/>
          <w:sz w:val="20"/>
          <w:szCs w:val="20"/>
          <w:color w:val="auto"/>
        </w:rPr>
        <w:t>Vero Beach, Florida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balance sheets of Orchid Island Capital, Inc. (the “Company”) as of December 31, 2025 and 2024, the related statements of comprehensive income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conformity with accounting principles generally accepted in the United States of America.</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Integrated Framework (2013) </w:t>
      </w:r>
      <w:r>
        <w:rPr>
          <w:rFonts w:ascii="Times New Roman" w:cs="Times New Roman" w:eastAsia="Times New Roman" w:hAnsi="Times New Roman"/>
          <w:sz w:val="20"/>
          <w:szCs w:val="20"/>
          <w:color w:val="auto"/>
        </w:rPr>
        <w:t>issued by the Committee of Sponsoring Organizations of the Treadway Commission (COSO)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our report dated February 20, 2026,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5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3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740"/>
          </w:cols>
          <w:pgMar w:left="720" w:top="784" w:right="780"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Valuation of Investments in Mortgage-Backed Securities</w:t>
      </w:r>
    </w:p>
    <w:p>
      <w:pPr>
        <w:spacing w:after="0" w:line="233" w:lineRule="exact"/>
        <w:rPr>
          <w:sz w:val="20"/>
          <w:szCs w:val="20"/>
          <w:color w:val="auto"/>
        </w:rPr>
      </w:pPr>
    </w:p>
    <w:p>
      <w:pPr>
        <w:ind w:right="480"/>
        <w:spacing w:after="0" w:line="255" w:lineRule="auto"/>
        <w:rPr>
          <w:sz w:val="20"/>
          <w:szCs w:val="20"/>
          <w:color w:val="auto"/>
        </w:rPr>
      </w:pPr>
      <w:r>
        <w:rPr>
          <w:rFonts w:ascii="PMingLiU" w:cs="PMingLiU" w:eastAsia="PMingLiU" w:hAnsi="PMingLiU"/>
          <w:sz w:val="19"/>
          <w:szCs w:val="19"/>
          <w:color w:val="auto"/>
        </w:rPr>
        <w:t>$VGHVFULEHGLQ1RWH  WRWKHILQDQFLDOVWDWHPHQWVWKH&amp;RPSDQ\ DFFRXQWVIRULWVPRUWJDJH-backed securities at fair value, ZKLFK WRWDOHG ELOOLRQ at 'HFHPEHU 7KHIDLUYDOXHRIPRUWJDJH-backed securities is based on independent pricing sources and/or third-party broker quotes, when available. Because the price estimates may vary, the Company must make certain judgments and assumptions about the appropriate price to use to calculate the fair values based on various techniques.</w:t>
      </w:r>
    </w:p>
    <w:p>
      <w:pPr>
        <w:spacing w:after="0" w:line="182" w:lineRule="exact"/>
        <w:rPr>
          <w:sz w:val="20"/>
          <w:szCs w:val="20"/>
          <w:color w:val="auto"/>
        </w:rPr>
      </w:pPr>
    </w:p>
    <w:p>
      <w:pPr>
        <w:jc w:val="both"/>
        <w:ind w:right="120"/>
        <w:spacing w:after="0" w:line="243" w:lineRule="auto"/>
        <w:rPr>
          <w:sz w:val="20"/>
          <w:szCs w:val="20"/>
          <w:color w:val="auto"/>
        </w:rPr>
      </w:pPr>
      <w:r>
        <w:rPr>
          <w:rFonts w:ascii="PMingLiU" w:cs="PMingLiU" w:eastAsia="PMingLiU" w:hAnsi="PMingLiU"/>
          <w:sz w:val="20"/>
          <w:szCs w:val="20"/>
          <w:color w:val="auto"/>
        </w:rPr>
        <w:t>We identified the valuation of mortgage-backed securities as a critical audit matter. The principal consideration for our determination was the especially challenging nature of the audit effort involved, which included the use of valuation professionals with specialized skill and knowledge.</w:t>
      </w:r>
    </w:p>
    <w:p>
      <w:pPr>
        <w:spacing w:after="0" w:line="193" w:lineRule="exact"/>
        <w:rPr>
          <w:sz w:val="20"/>
          <w:szCs w:val="20"/>
          <w:color w:val="auto"/>
        </w:rPr>
      </w:pPr>
    </w:p>
    <w:p>
      <w:pPr>
        <w:spacing w:after="0"/>
        <w:rPr>
          <w:sz w:val="20"/>
          <w:szCs w:val="20"/>
          <w:color w:val="auto"/>
        </w:rPr>
      </w:pPr>
      <w:r>
        <w:rPr>
          <w:rFonts w:ascii="PMingLiU" w:cs="PMingLiU" w:eastAsia="PMingLiU" w:hAnsi="PMingLiU"/>
          <w:sz w:val="20"/>
          <w:szCs w:val="20"/>
          <w:color w:val="auto"/>
        </w:rPr>
        <w:t xml:space="preserve">7KHSULPDU\SURFHGXUHVZHSHUIRUPHGWRDGGUHVVWKLVFULWLFDODXGLWPDWWHULQFOXGHG  </w:t>
      </w:r>
    </w:p>
    <w:p>
      <w:pPr>
        <w:spacing w:after="0" w:line="222" w:lineRule="exact"/>
        <w:rPr>
          <w:sz w:val="20"/>
          <w:szCs w:val="20"/>
          <w:color w:val="auto"/>
        </w:rPr>
      </w:pPr>
    </w:p>
    <w:p>
      <w:pPr>
        <w:ind w:left="540" w:right="520" w:hanging="319"/>
        <w:spacing w:after="0" w:line="256" w:lineRule="auto"/>
        <w:tabs>
          <w:tab w:leader="none" w:pos="520" w:val="left"/>
        </w:tabs>
        <w:rPr>
          <w:sz w:val="20"/>
          <w:szCs w:val="20"/>
          <w:color w:val="auto"/>
        </w:rPr>
      </w:pPr>
      <w:r>
        <w:rPr>
          <w:rFonts w:ascii="PMingLiU" w:cs="PMingLiU" w:eastAsia="PMingLiU" w:hAnsi="PMingLiU"/>
          <w:sz w:val="20"/>
          <w:szCs w:val="20"/>
          <w:color w:val="auto"/>
        </w:rPr>
        <w:t xml:space="preserve"> </w:t>
        <w:tab/>
        <w:t>Testing the design, implementation, and operating effectiveness of controls relating to the valuation of mortgaged-backed securities in the Company’s process to select the price from multiple pricing sources to determine the fair value.</w:t>
      </w:r>
    </w:p>
    <w:p>
      <w:pPr>
        <w:spacing w:after="0" w:line="189" w:lineRule="exact"/>
        <w:rPr>
          <w:sz w:val="20"/>
          <w:szCs w:val="20"/>
          <w:color w:val="auto"/>
        </w:rPr>
      </w:pPr>
    </w:p>
    <w:p>
      <w:pPr>
        <w:jc w:val="both"/>
        <w:ind w:left="540" w:hanging="319"/>
        <w:spacing w:after="0" w:line="243" w:lineRule="auto"/>
        <w:tabs>
          <w:tab w:leader="none" w:pos="520" w:val="left"/>
        </w:tabs>
        <w:rPr>
          <w:sz w:val="20"/>
          <w:szCs w:val="20"/>
          <w:color w:val="auto"/>
        </w:rPr>
      </w:pPr>
      <w:r>
        <w:rPr>
          <w:rFonts w:ascii="PMingLiU" w:cs="PMingLiU" w:eastAsia="PMingLiU" w:hAnsi="PMingLiU"/>
          <w:sz w:val="20"/>
          <w:szCs w:val="20"/>
          <w:color w:val="auto"/>
        </w:rPr>
        <w:t xml:space="preserve"> </w:t>
        <w:tab/>
        <w:t>Utilizing personnel with specialized skill and knowledge in valuation to: (i) develop an independent estimate of the fair value of each investment utilizing third- party pricing services and independent market data; and (ii) comparing those fair value estimates to the fair value determined by the Company.</w:t>
      </w:r>
    </w:p>
    <w:p>
      <w:pPr>
        <w:spacing w:after="0" w:line="196" w:lineRule="exact"/>
        <w:rPr>
          <w:sz w:val="20"/>
          <w:szCs w:val="20"/>
          <w:color w:val="auto"/>
        </w:rPr>
      </w:pPr>
    </w:p>
    <w:p>
      <w:pPr>
        <w:spacing w:after="0"/>
        <w:rPr>
          <w:sz w:val="20"/>
          <w:szCs w:val="20"/>
          <w:color w:val="auto"/>
        </w:rPr>
      </w:pPr>
      <w:r>
        <w:rPr>
          <w:rFonts w:ascii="PMingLiU" w:cs="PMingLiU" w:eastAsia="PMingLiU" w:hAnsi="PMingLiU"/>
          <w:sz w:val="20"/>
          <w:szCs w:val="20"/>
          <w:color w:val="auto"/>
        </w:rPr>
        <w:t>/s/ BDO USA, P.C.</w:t>
      </w:r>
    </w:p>
    <w:p>
      <w:pPr>
        <w:spacing w:after="0" w:line="221" w:lineRule="exact"/>
        <w:rPr>
          <w:sz w:val="20"/>
          <w:szCs w:val="20"/>
          <w:color w:val="auto"/>
        </w:rPr>
      </w:pPr>
    </w:p>
    <w:p>
      <w:pPr>
        <w:spacing w:after="0"/>
        <w:rPr>
          <w:sz w:val="20"/>
          <w:szCs w:val="20"/>
          <w:color w:val="auto"/>
        </w:rPr>
      </w:pPr>
      <w:r>
        <w:rPr>
          <w:rFonts w:ascii="PMingLiU" w:cs="PMingLiU" w:eastAsia="PMingLiU" w:hAnsi="PMingLiU"/>
          <w:sz w:val="20"/>
          <w:szCs w:val="20"/>
          <w:color w:val="auto"/>
        </w:rPr>
        <w:t>We have served as the Company's auditor since 2011.</w:t>
      </w:r>
    </w:p>
    <w:p>
      <w:pPr>
        <w:spacing w:after="0" w:line="221" w:lineRule="exact"/>
        <w:rPr>
          <w:sz w:val="20"/>
          <w:szCs w:val="20"/>
          <w:color w:val="auto"/>
        </w:rPr>
      </w:pPr>
    </w:p>
    <w:p>
      <w:pPr>
        <w:spacing w:after="0"/>
        <w:rPr>
          <w:sz w:val="20"/>
          <w:szCs w:val="20"/>
          <w:color w:val="auto"/>
        </w:rPr>
      </w:pPr>
      <w:r>
        <w:rPr>
          <w:rFonts w:ascii="PMingLiU" w:cs="PMingLiU" w:eastAsia="PMingLiU" w:hAnsi="PMingLiU"/>
          <w:sz w:val="20"/>
          <w:szCs w:val="20"/>
          <w:color w:val="auto"/>
        </w:rPr>
        <w:t>West Palm Beach, Florida</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0"/>
          <w:szCs w:val="20"/>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784" w:right="720" w:bottom="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ORCHID ISLAND CAPITAL,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7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r>
      <w:tr>
        <w:trPr>
          <w:trHeight w:val="206"/>
        </w:trPr>
        <w:tc>
          <w:tcPr>
            <w:tcW w:w="7560"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r>
      <w:tr>
        <w:trPr>
          <w:trHeight w:val="195"/>
        </w:trPr>
        <w:tc>
          <w:tcPr>
            <w:tcW w:w="7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Mortgage-backed securities, at fair value (includes pledged assets of $10,502,743 and $5,209,068,</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10,628,658</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5,253,310</w:t>
            </w:r>
          </w:p>
        </w:tc>
        <w:tc>
          <w:tcPr>
            <w:tcW w:w="100" w:type="dxa"/>
            <w:vAlign w:val="bottom"/>
          </w:tcPr>
          <w:p>
            <w:pPr>
              <w:spacing w:after="0"/>
              <w:rPr>
                <w:sz w:val="19"/>
                <w:szCs w:val="19"/>
                <w:color w:val="auto"/>
              </w:rPr>
            </w:pPr>
          </w:p>
        </w:tc>
      </w:tr>
      <w:tr>
        <w:trPr>
          <w:trHeight w:val="211"/>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U.S. Treasury securities, available-for-sale (amortized cost of $134,715 and $100,412; includes pledged</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4"/>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assets of $135,133 and $100,551, respectively)</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135,133</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100,551</w:t>
            </w:r>
          </w:p>
        </w:tc>
        <w:tc>
          <w:tcPr>
            <w:tcW w:w="100" w:type="dxa"/>
            <w:vAlign w:val="bottom"/>
            <w:shd w:val="clear" w:color="auto" w:fill="DDDDDD"/>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309,330</w:t>
            </w:r>
          </w:p>
        </w:tc>
        <w:tc>
          <w:tcPr>
            <w:tcW w:w="100" w:type="dxa"/>
            <w:vAlign w:val="bottom"/>
          </w:tcPr>
          <w:p>
            <w:pPr>
              <w:spacing w:after="0"/>
              <w:rPr>
                <w:sz w:val="18"/>
                <w:szCs w:val="18"/>
                <w:color w:val="auto"/>
              </w:rPr>
            </w:pPr>
          </w:p>
        </w:tc>
      </w:tr>
      <w:tr>
        <w:trPr>
          <w:trHeight w:val="218"/>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58,696</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shd w:val="clear" w:color="auto" w:fill="DDDDDD"/>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23,044</w:t>
            </w:r>
          </w:p>
        </w:tc>
        <w:tc>
          <w:tcPr>
            <w:tcW w:w="10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shd w:val="clear" w:color="auto" w:fill="DDDDDD"/>
          </w:tcPr>
          <w:p>
            <w:pPr>
              <w:spacing w:after="0"/>
              <w:rPr>
                <w:sz w:val="18"/>
                <w:szCs w:val="18"/>
                <w:color w:val="auto"/>
              </w:rPr>
            </w:pPr>
          </w:p>
        </w:tc>
      </w:tr>
      <w:tr>
        <w:trPr>
          <w:trHeight w:val="21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Reverse repurchase agreements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4"/>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auto"/>
            </w:tcBorders>
            <w:shd w:val="clear" w:color="auto" w:fill="DDDDDD"/>
          </w:tcPr>
          <w:p>
            <w:pPr>
              <w:spacing w:after="0"/>
              <w:rPr>
                <w:sz w:val="18"/>
                <w:szCs w:val="18"/>
                <w:color w:val="auto"/>
              </w:rPr>
            </w:pPr>
          </w:p>
        </w:tc>
      </w:tr>
      <w:tr>
        <w:trPr>
          <w:trHeight w:val="230"/>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11,675,993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5,721,627</w:t>
            </w:r>
          </w:p>
        </w:tc>
        <w:tc>
          <w:tcPr>
            <w:tcW w:w="100" w:type="dxa"/>
            <w:vAlign w:val="bottom"/>
            <w:tcBorders>
              <w:bottom w:val="single" w:sz="8" w:color="auto"/>
            </w:tcBorders>
          </w:tcPr>
          <w:p>
            <w:pPr>
              <w:spacing w:after="0"/>
              <w:rPr>
                <w:sz w:val="19"/>
                <w:szCs w:val="19"/>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7"/>
        </w:trPr>
        <w:tc>
          <w:tcPr>
            <w:tcW w:w="756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r>
      <w:tr>
        <w:trPr>
          <w:trHeight w:val="21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10,115,466</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5,025,543</w:t>
            </w:r>
          </w:p>
        </w:tc>
        <w:tc>
          <w:tcPr>
            <w:tcW w:w="100" w:type="dxa"/>
            <w:vAlign w:val="bottom"/>
            <w:shd w:val="clear" w:color="auto" w:fill="DDDDDD"/>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Payable for investment securities and TBA transactions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8"/>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shd w:val="clear" w:color="auto" w:fill="DDDDDD"/>
          </w:tcPr>
          <w:p>
            <w:pPr>
              <w:spacing w:after="0"/>
              <w:rPr>
                <w:sz w:val="18"/>
                <w:szCs w:val="18"/>
                <w:color w:val="auto"/>
              </w:rPr>
            </w:pPr>
          </w:p>
        </w:tc>
      </w:tr>
      <w:tr>
        <w:trPr>
          <w:trHeight w:val="21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r>
      <w:tr>
        <w:trPr>
          <w:trHeight w:val="218"/>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shd w:val="clear" w:color="auto" w:fill="DDDDDD"/>
          </w:tcPr>
          <w:p>
            <w:pPr>
              <w:spacing w:after="0"/>
              <w:rPr>
                <w:sz w:val="18"/>
                <w:szCs w:val="18"/>
                <w:color w:val="auto"/>
              </w:rPr>
            </w:pPr>
          </w:p>
        </w:tc>
      </w:tr>
      <w:tr>
        <w:trPr>
          <w:trHeight w:val="21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Obligation to return securities borrowed under reverse repurchase agreements, at fair value</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128,724</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r>
      <w:tr>
        <w:trPr>
          <w:trHeight w:val="221"/>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Borders>
              <w:bottom w:val="single" w:sz="8" w:color="auto"/>
            </w:tcBorders>
          </w:tcPr>
          <w:p>
            <w:pPr>
              <w:spacing w:after="0"/>
              <w:rPr>
                <w:sz w:val="19"/>
                <w:szCs w:val="19"/>
                <w:color w:val="auto"/>
              </w:rPr>
            </w:pPr>
          </w:p>
        </w:tc>
      </w:tr>
      <w:tr>
        <w:trPr>
          <w:trHeight w:val="207"/>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10,304,045</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5,053,127</w:t>
            </w:r>
          </w:p>
        </w:tc>
        <w:tc>
          <w:tcPr>
            <w:tcW w:w="100" w:type="dxa"/>
            <w:vAlign w:val="bottom"/>
            <w:tcBorders>
              <w:bottom w:val="single" w:sz="8" w:color="auto"/>
            </w:tcBorders>
            <w:shd w:val="clear" w:color="auto" w:fill="DDDDDD"/>
          </w:tcPr>
          <w:p>
            <w:pPr>
              <w:spacing w:after="0"/>
              <w:rPr>
                <w:sz w:val="18"/>
                <w:szCs w:val="18"/>
                <w:color w:val="auto"/>
              </w:rPr>
            </w:pPr>
          </w:p>
        </w:tc>
      </w:tr>
      <w:tr>
        <w:trPr>
          <w:trHeight w:val="209"/>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193"/>
        </w:trPr>
        <w:tc>
          <w:tcPr>
            <w:tcW w:w="75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Preferred stock, $0.01 par value; 20,000,000 shares authorized; no shares issued and outstanding as of</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195"/>
        </w:trPr>
        <w:tc>
          <w:tcPr>
            <w:tcW w:w="7560" w:type="dxa"/>
            <w:vAlign w:val="bottom"/>
            <w:shd w:val="clear" w:color="auto" w:fill="DDDDDD"/>
          </w:tcPr>
          <w:p>
            <w:pPr>
              <w:spacing w:after="0" w:line="195" w:lineRule="exact"/>
              <w:rPr>
                <w:sz w:val="20"/>
                <w:szCs w:val="20"/>
                <w:color w:val="auto"/>
              </w:rPr>
            </w:pPr>
            <w:r>
              <w:rPr>
                <w:rFonts w:ascii="Times New Roman" w:cs="Times New Roman" w:eastAsia="Times New Roman" w:hAnsi="Times New Roman"/>
                <w:sz w:val="18"/>
                <w:szCs w:val="18"/>
                <w:color w:val="auto"/>
              </w:rPr>
              <w:t>Common Stock, $0.01 par value; 400,000,000 shares authorized, 181,985,900 shares issued and</w:t>
            </w:r>
          </w:p>
        </w:tc>
        <w:tc>
          <w:tcPr>
            <w:tcW w:w="22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r>
      <w:tr>
        <w:trPr>
          <w:trHeight w:val="225"/>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outstanding as of December 31, 2025 and 82,622,464 shares issued and outstanding as of December 31,</w:t>
            </w:r>
          </w:p>
        </w:tc>
        <w:tc>
          <w:tcPr>
            <w:tcW w:w="22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r>
      <w:tr>
        <w:trPr>
          <w:trHeight w:val="211"/>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DDDDDD"/>
          </w:tcPr>
          <w:p>
            <w:pPr>
              <w:spacing w:after="0"/>
              <w:rPr>
                <w:sz w:val="18"/>
                <w:szCs w:val="18"/>
                <w:color w:val="auto"/>
              </w:rPr>
            </w:pPr>
          </w:p>
        </w:tc>
      </w:tr>
      <w:tr>
        <w:trPr>
          <w:trHeight w:val="21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1,010,306</w:t>
            </w:r>
          </w:p>
        </w:tc>
        <w:tc>
          <w:tcPr>
            <w:tcW w:w="100" w:type="dxa"/>
            <w:vAlign w:val="bottom"/>
          </w:tcPr>
          <w:p>
            <w:pPr>
              <w:spacing w:after="0"/>
              <w:rPr>
                <w:sz w:val="18"/>
                <w:szCs w:val="18"/>
                <w:color w:val="auto"/>
              </w:rPr>
            </w:pPr>
          </w:p>
        </w:tc>
      </w:tr>
      <w:tr>
        <w:trPr>
          <w:trHeight w:val="216"/>
        </w:trPr>
        <w:tc>
          <w:tcPr>
            <w:tcW w:w="7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(183,741</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(342,771</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21"/>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auto"/>
            </w:tcBorders>
          </w:tcPr>
          <w:p>
            <w:pPr>
              <w:spacing w:after="0"/>
              <w:rPr>
                <w:sz w:val="19"/>
                <w:szCs w:val="19"/>
                <w:color w:val="auto"/>
              </w:rPr>
            </w:pPr>
          </w:p>
        </w:tc>
      </w:tr>
      <w:tr>
        <w:trPr>
          <w:trHeight w:val="203"/>
        </w:trPr>
        <w:tc>
          <w:tcPr>
            <w:tcW w:w="7560" w:type="dxa"/>
            <w:vAlign w:val="bottom"/>
            <w:tcBorders>
              <w:bottom w:val="single" w:sz="8" w:color="auto"/>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1,371,948</w:t>
            </w: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668,500</w:t>
            </w:r>
          </w:p>
        </w:tc>
        <w:tc>
          <w:tcPr>
            <w:tcW w:w="100" w:type="dxa"/>
            <w:vAlign w:val="bottom"/>
            <w:tcBorders>
              <w:bottom w:val="single" w:sz="8" w:color="auto"/>
            </w:tcBorders>
            <w:shd w:val="clear" w:color="auto" w:fill="DDDDDD"/>
          </w:tcPr>
          <w:p>
            <w:pPr>
              <w:spacing w:after="0"/>
              <w:rPr>
                <w:sz w:val="17"/>
                <w:szCs w:val="17"/>
                <w:color w:val="auto"/>
              </w:rPr>
            </w:pPr>
          </w:p>
        </w:tc>
      </w:tr>
      <w:tr>
        <w:trPr>
          <w:trHeight w:val="232"/>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11,675,993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5,721,627</w:t>
            </w:r>
          </w:p>
        </w:tc>
        <w:tc>
          <w:tcPr>
            <w:tcW w:w="100" w:type="dxa"/>
            <w:vAlign w:val="bottom"/>
            <w:tcBorders>
              <w:bottom w:val="single" w:sz="8" w:color="auto"/>
            </w:tcBorders>
          </w:tcPr>
          <w:p>
            <w:pPr>
              <w:spacing w:after="0"/>
              <w:rPr>
                <w:sz w:val="20"/>
                <w:szCs w:val="20"/>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-5735955</wp:posOffset>
                </wp:positionV>
                <wp:extent cx="68580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51.6499pt" to="540.2pt,-451.6499pt" o:allowincell="f" strokecolor="#FFFFFF" strokeweight="0.48pt"/>
            </w:pict>
          </mc:Fallback>
        </mc:AlternateContent>
      </w:r>
    </w:p>
    <w:p>
      <w:pPr>
        <w:spacing w:after="0" w:line="19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800"/>
          </w:cols>
          <w:pgMar w:left="720" w:top="1295" w:right="720" w:bottom="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ORCHID ISLAND CAPITAL,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COMPREHENSIVE INCOME (LOSS)</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p>
      <w:pPr>
        <w:spacing w:after="0" w:line="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5" w:type="dxa"/>
            <w:vAlign w:val="bottom"/>
            <w:tcBorders>
              <w:top w:val="single" w:sz="8" w:color="auto"/>
              <w:bottom w:val="single" w:sz="8" w:color="auto"/>
            </w:tcBorders>
          </w:tcPr>
          <w:p>
            <w:pPr>
              <w:spacing w:after="0"/>
              <w:rPr>
                <w:sz w:val="20"/>
                <w:szCs w:val="20"/>
                <w:color w:val="auto"/>
              </w:rPr>
            </w:pPr>
          </w:p>
        </w:tc>
        <w:tc>
          <w:tcPr>
            <w:tcW w:w="135" w:type="dxa"/>
            <w:vAlign w:val="bottom"/>
            <w:tcBorders>
              <w:top w:val="single" w:sz="8" w:color="auto"/>
              <w:bottom w:val="single" w:sz="8" w:color="auto"/>
            </w:tcBorders>
          </w:tcPr>
          <w:p>
            <w:pPr>
              <w:spacing w:after="0"/>
              <w:rPr>
                <w:sz w:val="20"/>
                <w:szCs w:val="20"/>
                <w:color w:val="auto"/>
              </w:rPr>
            </w:pPr>
          </w:p>
        </w:tc>
        <w:tc>
          <w:tcPr>
            <w:tcW w:w="1485"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5"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5" w:type="dxa"/>
            <w:vAlign w:val="bottom"/>
            <w:tcBorders>
              <w:top w:val="single" w:sz="8" w:color="auto"/>
              <w:bottom w:val="single" w:sz="8" w:color="auto"/>
            </w:tcBorders>
          </w:tcPr>
          <w:p>
            <w:pPr>
              <w:spacing w:after="0"/>
              <w:rPr>
                <w:sz w:val="20"/>
                <w:szCs w:val="20"/>
                <w:color w:val="auto"/>
              </w:rPr>
            </w:pPr>
          </w:p>
        </w:tc>
        <w:tc>
          <w:tcPr>
            <w:tcW w:w="135"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20"/>
                <w:szCs w:val="20"/>
                <w:color w:val="auto"/>
              </w:rPr>
            </w:pPr>
          </w:p>
        </w:tc>
      </w:tr>
      <w:tr>
        <w:trPr>
          <w:trHeight w:val="206"/>
        </w:trPr>
        <w:tc>
          <w:tcPr>
            <w:tcW w:w="6025"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Interest income</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shd w:val="clear" w:color="auto" w:fill="DDDDDD"/>
          </w:tcPr>
          <w:p>
            <w:pPr>
              <w:jc w:val="right"/>
              <w:ind w:right="95"/>
              <w:spacing w:after="0" w:line="206" w:lineRule="exact"/>
              <w:rPr>
                <w:sz w:val="20"/>
                <w:szCs w:val="20"/>
                <w:color w:val="auto"/>
              </w:rPr>
            </w:pPr>
            <w:r>
              <w:rPr>
                <w:rFonts w:ascii="Times New Roman" w:cs="Times New Roman" w:eastAsia="Times New Roman" w:hAnsi="Times New Roman"/>
                <w:sz w:val="18"/>
                <w:szCs w:val="18"/>
                <w:color w:val="auto"/>
              </w:rPr>
              <w:t>414,001</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241,577</w:t>
            </w:r>
          </w:p>
        </w:tc>
        <w:tc>
          <w:tcPr>
            <w:tcW w:w="185" w:type="dxa"/>
            <w:vAlign w:val="bottom"/>
            <w:shd w:val="clear" w:color="auto" w:fill="DDDDDD"/>
          </w:tcPr>
          <w:p>
            <w:pPr>
              <w:spacing w:after="0"/>
              <w:rPr>
                <w:sz w:val="17"/>
                <w:szCs w:val="17"/>
                <w:color w:val="auto"/>
              </w:rPr>
            </w:pP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177,569</w:t>
            </w:r>
          </w:p>
        </w:tc>
        <w:tc>
          <w:tcPr>
            <w:tcW w:w="100" w:type="dxa"/>
            <w:vAlign w:val="bottom"/>
            <w:shd w:val="clear" w:color="auto" w:fill="DDDDDD"/>
          </w:tcPr>
          <w:p>
            <w:pPr>
              <w:spacing w:after="0"/>
              <w:rPr>
                <w:sz w:val="17"/>
                <w:szCs w:val="17"/>
                <w:color w:val="auto"/>
              </w:rPr>
            </w:pPr>
          </w:p>
        </w:tc>
      </w:tr>
      <w:tr>
        <w:trPr>
          <w:trHeight w:val="221"/>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(305,732 )</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(236,281 )</w:t>
            </w:r>
          </w:p>
        </w:tc>
        <w:tc>
          <w:tcPr>
            <w:tcW w:w="135"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(201,918 )</w:t>
            </w:r>
          </w:p>
        </w:tc>
      </w:tr>
      <w:tr>
        <w:trPr>
          <w:trHeight w:val="20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Net interest income (expense)</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108,269</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(24,349</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 on mortgage-backed securities</w:t>
            </w:r>
          </w:p>
        </w:tc>
        <w:tc>
          <w:tcPr>
            <w:tcW w:w="135" w:type="dxa"/>
            <w:vAlign w:val="bottom"/>
          </w:tcPr>
          <w:p>
            <w:pPr>
              <w:spacing w:after="0"/>
              <w:rPr>
                <w:sz w:val="18"/>
                <w:szCs w:val="18"/>
                <w:color w:val="auto"/>
              </w:rPr>
            </w:pPr>
          </w:p>
        </w:tc>
        <w:tc>
          <w:tcPr>
            <w:tcW w:w="1485"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(6,321 )</w:t>
            </w:r>
          </w:p>
        </w:tc>
        <w:tc>
          <w:tcPr>
            <w:tcW w:w="135" w:type="dxa"/>
            <w:vAlign w:val="bottom"/>
          </w:tcPr>
          <w:p>
            <w:pPr>
              <w:spacing w:after="0"/>
              <w:rPr>
                <w:sz w:val="18"/>
                <w:szCs w:val="18"/>
                <w:color w:val="auto"/>
              </w:rPr>
            </w:pPr>
          </w:p>
        </w:tc>
        <w:tc>
          <w:tcPr>
            <w:tcW w:w="1485"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(4,602 )</w:t>
            </w:r>
          </w:p>
        </w:tc>
        <w:tc>
          <w:tcPr>
            <w:tcW w:w="135"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(22,642 )</w:t>
            </w:r>
          </w:p>
        </w:tc>
      </w:tr>
      <w:tr>
        <w:trPr>
          <w:trHeight w:val="211"/>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Unrealized gains (losses) on mortgage-backed securities and U.S. Treasury</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4"/>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securities</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200,231</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(79,842</w:t>
            </w:r>
          </w:p>
        </w:tc>
        <w:tc>
          <w:tcPr>
            <w:tcW w:w="185"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8"/>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(Losses) gains on derivative instruments</w:t>
            </w:r>
          </w:p>
        </w:tc>
        <w:tc>
          <w:tcPr>
            <w:tcW w:w="135" w:type="dxa"/>
            <w:vAlign w:val="bottom"/>
            <w:tcBorders>
              <w:bottom w:val="single" w:sz="8" w:color="auto"/>
            </w:tcBorders>
          </w:tcPr>
          <w:p>
            <w:pPr>
              <w:spacing w:after="0"/>
              <w:rPr>
                <w:sz w:val="18"/>
                <w:szCs w:val="18"/>
                <w:color w:val="auto"/>
              </w:rPr>
            </w:pPr>
          </w:p>
        </w:tc>
        <w:tc>
          <w:tcPr>
            <w:tcW w:w="1485"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(122,669 )</w:t>
            </w:r>
          </w:p>
        </w:tc>
        <w:tc>
          <w:tcPr>
            <w:tcW w:w="135"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133,554</w:t>
            </w:r>
          </w:p>
        </w:tc>
        <w:tc>
          <w:tcPr>
            <w:tcW w:w="185" w:type="dxa"/>
            <w:vAlign w:val="bottom"/>
            <w:tcBorders>
              <w:bottom w:val="single" w:sz="8" w:color="auto"/>
            </w:tcBorders>
          </w:tcPr>
          <w:p>
            <w:pPr>
              <w:spacing w:after="0"/>
              <w:rPr>
                <w:sz w:val="18"/>
                <w:szCs w:val="18"/>
                <w:color w:val="auto"/>
              </w:rPr>
            </w:pPr>
          </w:p>
        </w:tc>
        <w:tc>
          <w:tcPr>
            <w:tcW w:w="135"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45,237</w:t>
            </w:r>
          </w:p>
        </w:tc>
        <w:tc>
          <w:tcPr>
            <w:tcW w:w="100" w:type="dxa"/>
            <w:vAlign w:val="bottom"/>
            <w:tcBorders>
              <w:bottom w:val="single" w:sz="8" w:color="auto"/>
            </w:tcBorders>
          </w:tcPr>
          <w:p>
            <w:pPr>
              <w:spacing w:after="0"/>
              <w:rPr>
                <w:sz w:val="18"/>
                <w:szCs w:val="18"/>
                <w:color w:val="auto"/>
              </w:rPr>
            </w:pPr>
          </w:p>
        </w:tc>
      </w:tr>
      <w:tr>
        <w:trPr>
          <w:trHeight w:val="206"/>
        </w:trPr>
        <w:tc>
          <w:tcPr>
            <w:tcW w:w="6025" w:type="dxa"/>
            <w:vAlign w:val="bottom"/>
            <w:tcBorders>
              <w:bottom w:val="single" w:sz="8" w:color="auto"/>
            </w:tcBorders>
            <w:shd w:val="clear" w:color="auto" w:fill="DDDDDD"/>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Net portfolio income (loss)</w:t>
            </w:r>
          </w:p>
        </w:tc>
        <w:tc>
          <w:tcPr>
            <w:tcW w:w="135" w:type="dxa"/>
            <w:vAlign w:val="bottom"/>
            <w:tcBorders>
              <w:bottom w:val="single" w:sz="8" w:color="auto"/>
            </w:tcBorders>
            <w:shd w:val="clear" w:color="auto" w:fill="DDDDDD"/>
          </w:tcPr>
          <w:p>
            <w:pPr>
              <w:spacing w:after="0"/>
              <w:rPr>
                <w:sz w:val="17"/>
                <w:szCs w:val="17"/>
                <w:color w:val="auto"/>
              </w:rPr>
            </w:pPr>
          </w:p>
        </w:tc>
        <w:tc>
          <w:tcPr>
            <w:tcW w:w="1485" w:type="dxa"/>
            <w:vAlign w:val="bottom"/>
            <w:tcBorders>
              <w:bottom w:val="single" w:sz="8" w:color="auto"/>
            </w:tcBorders>
            <w:shd w:val="clear" w:color="auto" w:fill="DDDDDD"/>
          </w:tcPr>
          <w:p>
            <w:pPr>
              <w:jc w:val="right"/>
              <w:ind w:right="95"/>
              <w:spacing w:after="0" w:line="206" w:lineRule="exact"/>
              <w:rPr>
                <w:sz w:val="20"/>
                <w:szCs w:val="20"/>
                <w:color w:val="auto"/>
              </w:rPr>
            </w:pPr>
            <w:r>
              <w:rPr>
                <w:rFonts w:ascii="Times New Roman" w:cs="Times New Roman" w:eastAsia="Times New Roman" w:hAnsi="Times New Roman"/>
                <w:sz w:val="18"/>
                <w:szCs w:val="18"/>
                <w:color w:val="auto"/>
              </w:rPr>
              <w:t>179,510</w:t>
            </w:r>
          </w:p>
        </w:tc>
        <w:tc>
          <w:tcPr>
            <w:tcW w:w="135"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54,406</w:t>
            </w:r>
          </w:p>
        </w:tc>
        <w:tc>
          <w:tcPr>
            <w:tcW w:w="185" w:type="dxa"/>
            <w:vAlign w:val="bottom"/>
            <w:tcBorders>
              <w:bottom w:val="single" w:sz="8" w:color="auto"/>
            </w:tcBorders>
            <w:shd w:val="clear" w:color="auto" w:fill="DDDDDD"/>
          </w:tcPr>
          <w:p>
            <w:pPr>
              <w:spacing w:after="0"/>
              <w:rPr>
                <w:sz w:val="17"/>
                <w:szCs w:val="17"/>
                <w:color w:val="auto"/>
              </w:rPr>
            </w:pPr>
          </w:p>
        </w:tc>
        <w:tc>
          <w:tcPr>
            <w:tcW w:w="135"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(20,695</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3"/>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7"/>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35" w:type="dxa"/>
            <w:vAlign w:val="bottom"/>
          </w:tcPr>
          <w:p>
            <w:pPr>
              <w:spacing w:after="0"/>
              <w:rPr>
                <w:sz w:val="18"/>
                <w:szCs w:val="18"/>
                <w:color w:val="auto"/>
              </w:rPr>
            </w:pPr>
          </w:p>
        </w:tc>
        <w:tc>
          <w:tcPr>
            <w:tcW w:w="1485"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12,723</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Pr>
          <w:p>
            <w:pPr>
              <w:spacing w:after="0"/>
              <w:rPr>
                <w:sz w:val="18"/>
                <w:szCs w:val="18"/>
                <w:color w:val="auto"/>
              </w:rPr>
            </w:pPr>
          </w:p>
        </w:tc>
      </w:tr>
      <w:tr>
        <w:trPr>
          <w:trHeight w:val="21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Allocated overhead</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2,782</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DDDDDD"/>
          </w:tcPr>
          <w:p>
            <w:pPr>
              <w:spacing w:after="0"/>
              <w:rPr>
                <w:sz w:val="18"/>
                <w:szCs w:val="18"/>
                <w:color w:val="auto"/>
              </w:rPr>
            </w:pPr>
          </w:p>
        </w:tc>
      </w:tr>
      <w:tr>
        <w:trPr>
          <w:trHeight w:val="216"/>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135" w:type="dxa"/>
            <w:vAlign w:val="bottom"/>
          </w:tcPr>
          <w:p>
            <w:pPr>
              <w:spacing w:after="0"/>
              <w:rPr>
                <w:sz w:val="18"/>
                <w:szCs w:val="18"/>
                <w:color w:val="auto"/>
              </w:rPr>
            </w:pPr>
          </w:p>
        </w:tc>
        <w:tc>
          <w:tcPr>
            <w:tcW w:w="1485"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450</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8"/>
                <w:szCs w:val="18"/>
                <w:color w:val="auto"/>
              </w:rPr>
            </w:pPr>
          </w:p>
        </w:tc>
      </w:tr>
      <w:tr>
        <w:trPr>
          <w:trHeight w:val="21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Directors' fees and liability insurance</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1,340</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DDDDDD"/>
          </w:tcPr>
          <w:p>
            <w:pPr>
              <w:spacing w:after="0"/>
              <w:rPr>
                <w:sz w:val="18"/>
                <w:szCs w:val="18"/>
                <w:color w:val="auto"/>
              </w:rPr>
            </w:pPr>
          </w:p>
        </w:tc>
      </w:tr>
      <w:tr>
        <w:trPr>
          <w:trHeight w:val="216"/>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135" w:type="dxa"/>
            <w:vAlign w:val="bottom"/>
          </w:tcPr>
          <w:p>
            <w:pPr>
              <w:spacing w:after="0"/>
              <w:rPr>
                <w:sz w:val="18"/>
                <w:szCs w:val="18"/>
                <w:color w:val="auto"/>
              </w:rPr>
            </w:pPr>
          </w:p>
        </w:tc>
        <w:tc>
          <w:tcPr>
            <w:tcW w:w="1485"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1,338</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8"/>
                <w:szCs w:val="18"/>
                <w:color w:val="auto"/>
              </w:rPr>
            </w:pPr>
          </w:p>
        </w:tc>
      </w:tr>
      <w:tr>
        <w:trPr>
          <w:trHeight w:val="21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Direct REIT operating expenses</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1,208</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DDDDDD"/>
          </w:tcPr>
          <w:p>
            <w:pPr>
              <w:spacing w:after="0"/>
              <w:rPr>
                <w:sz w:val="18"/>
                <w:szCs w:val="18"/>
                <w:color w:val="auto"/>
              </w:rPr>
            </w:pPr>
          </w:p>
        </w:tc>
      </w:tr>
      <w:tr>
        <w:trPr>
          <w:trHeight w:val="218"/>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administrative</w:t>
            </w:r>
          </w:p>
        </w:tc>
        <w:tc>
          <w:tcPr>
            <w:tcW w:w="135" w:type="dxa"/>
            <w:vAlign w:val="bottom"/>
            <w:tcBorders>
              <w:bottom w:val="single" w:sz="8" w:color="auto"/>
            </w:tcBorders>
          </w:tcPr>
          <w:p>
            <w:pPr>
              <w:spacing w:after="0"/>
              <w:rPr>
                <w:sz w:val="18"/>
                <w:szCs w:val="18"/>
                <w:color w:val="auto"/>
              </w:rPr>
            </w:pPr>
          </w:p>
        </w:tc>
        <w:tc>
          <w:tcPr>
            <w:tcW w:w="1485"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639</w:t>
            </w:r>
          </w:p>
        </w:tc>
        <w:tc>
          <w:tcPr>
            <w:tcW w:w="135"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5" w:type="dxa"/>
            <w:vAlign w:val="bottom"/>
            <w:tcBorders>
              <w:bottom w:val="single" w:sz="8" w:color="auto"/>
            </w:tcBorders>
          </w:tcPr>
          <w:p>
            <w:pPr>
              <w:spacing w:after="0"/>
              <w:rPr>
                <w:sz w:val="18"/>
                <w:szCs w:val="18"/>
                <w:color w:val="auto"/>
              </w:rPr>
            </w:pPr>
          </w:p>
        </w:tc>
        <w:tc>
          <w:tcPr>
            <w:tcW w:w="135"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auto"/>
            </w:tcBorders>
          </w:tcPr>
          <w:p>
            <w:pPr>
              <w:spacing w:after="0"/>
              <w:rPr>
                <w:sz w:val="18"/>
                <w:szCs w:val="18"/>
                <w:color w:val="auto"/>
              </w:rPr>
            </w:pPr>
          </w:p>
        </w:tc>
      </w:tr>
      <w:tr>
        <w:trPr>
          <w:trHeight w:val="208"/>
        </w:trPr>
        <w:tc>
          <w:tcPr>
            <w:tcW w:w="6025"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35" w:type="dxa"/>
            <w:vAlign w:val="bottom"/>
            <w:tcBorders>
              <w:bottom w:val="single" w:sz="8" w:color="auto"/>
            </w:tcBorders>
            <w:shd w:val="clear" w:color="auto" w:fill="DDDDDD"/>
          </w:tcPr>
          <w:p>
            <w:pPr>
              <w:spacing w:after="0"/>
              <w:rPr>
                <w:sz w:val="18"/>
                <w:szCs w:val="18"/>
                <w:color w:val="auto"/>
              </w:rPr>
            </w:pPr>
          </w:p>
        </w:tc>
        <w:tc>
          <w:tcPr>
            <w:tcW w:w="1485" w:type="dxa"/>
            <w:vAlign w:val="bottom"/>
            <w:tcBorders>
              <w:bottom w:val="single" w:sz="8" w:color="auto"/>
            </w:tcBorders>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20,480</w:t>
            </w:r>
          </w:p>
        </w:tc>
        <w:tc>
          <w:tcPr>
            <w:tcW w:w="135"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185" w:type="dxa"/>
            <w:vAlign w:val="bottom"/>
            <w:tcBorders>
              <w:bottom w:val="single" w:sz="8" w:color="auto"/>
            </w:tcBorders>
            <w:shd w:val="clear" w:color="auto" w:fill="DDDDDD"/>
          </w:tcPr>
          <w:p>
            <w:pPr>
              <w:spacing w:after="0"/>
              <w:rPr>
                <w:sz w:val="18"/>
                <w:szCs w:val="18"/>
                <w:color w:val="auto"/>
              </w:rPr>
            </w:pPr>
          </w:p>
        </w:tc>
        <w:tc>
          <w:tcPr>
            <w:tcW w:w="135"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00" w:type="dxa"/>
            <w:vAlign w:val="bottom"/>
            <w:tcBorders>
              <w:bottom w:val="single" w:sz="8" w:color="auto"/>
            </w:tcBorders>
            <w:shd w:val="clear" w:color="auto" w:fill="DDDDDD"/>
          </w:tcPr>
          <w:p>
            <w:pPr>
              <w:spacing w:after="0"/>
              <w:rPr>
                <w:sz w:val="18"/>
                <w:szCs w:val="18"/>
                <w:color w:val="auto"/>
              </w:rPr>
            </w:pPr>
          </w:p>
        </w:tc>
      </w:tr>
      <w:tr>
        <w:trPr>
          <w:trHeight w:val="210"/>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16"/>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159,030</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Unrealized gains on U.S. Treasury securities measured at fair value through other</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09"/>
        </w:trPr>
        <w:tc>
          <w:tcPr>
            <w:tcW w:w="6025" w:type="dxa"/>
            <w:vAlign w:val="bottom"/>
            <w:tcBorders>
              <w:bottom w:val="single" w:sz="8" w:color="auto"/>
            </w:tcBorders>
            <w:shd w:val="clear" w:color="auto" w:fill="DDDDDD"/>
          </w:tcPr>
          <w:p>
            <w:pPr>
              <w:spacing w:after="0" w:line="204" w:lineRule="exact"/>
              <w:rPr>
                <w:sz w:val="20"/>
                <w:szCs w:val="20"/>
                <w:color w:val="auto"/>
              </w:rPr>
            </w:pPr>
            <w:r>
              <w:rPr>
                <w:rFonts w:ascii="Times New Roman" w:cs="Times New Roman" w:eastAsia="Times New Roman" w:hAnsi="Times New Roman"/>
                <w:sz w:val="18"/>
                <w:szCs w:val="18"/>
                <w:color w:val="auto"/>
              </w:rPr>
              <w:t>comprehensive net income (loss)</w:t>
            </w:r>
          </w:p>
        </w:tc>
        <w:tc>
          <w:tcPr>
            <w:tcW w:w="135" w:type="dxa"/>
            <w:vAlign w:val="bottom"/>
            <w:tcBorders>
              <w:bottom w:val="single" w:sz="8" w:color="auto"/>
            </w:tcBorders>
            <w:shd w:val="clear" w:color="auto" w:fill="DDDDDD"/>
          </w:tcPr>
          <w:p>
            <w:pPr>
              <w:jc w:val="right"/>
              <w:spacing w:after="0" w:line="204" w:lineRule="exact"/>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tcBorders>
              <w:bottom w:val="single" w:sz="8" w:color="auto"/>
            </w:tcBorders>
            <w:shd w:val="clear" w:color="auto" w:fill="DDDDDD"/>
          </w:tcPr>
          <w:p>
            <w:pPr>
              <w:jc w:val="right"/>
              <w:ind w:right="95"/>
              <w:spacing w:after="0" w:line="204" w:lineRule="exact"/>
              <w:rPr>
                <w:sz w:val="20"/>
                <w:szCs w:val="20"/>
                <w:color w:val="auto"/>
              </w:rPr>
            </w:pPr>
            <w:r>
              <w:rPr>
                <w:rFonts w:ascii="Times New Roman" w:cs="Times New Roman" w:eastAsia="Times New Roman" w:hAnsi="Times New Roman"/>
                <w:sz w:val="18"/>
                <w:szCs w:val="18"/>
                <w:color w:val="auto"/>
              </w:rPr>
              <w:t>279</w:t>
            </w:r>
          </w:p>
        </w:tc>
        <w:tc>
          <w:tcPr>
            <w:tcW w:w="135" w:type="dxa"/>
            <w:vAlign w:val="bottom"/>
            <w:tcBorders>
              <w:bottom w:val="single" w:sz="8" w:color="auto"/>
            </w:tcBorders>
            <w:shd w:val="clear" w:color="auto" w:fill="DDDDDD"/>
          </w:tcPr>
          <w:p>
            <w:pPr>
              <w:jc w:val="right"/>
              <w:spacing w:after="0" w:line="204"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auto"/>
            </w:tcBorders>
            <w:shd w:val="clear" w:color="auto" w:fill="DDDDDD"/>
          </w:tcPr>
          <w:p>
            <w:pPr>
              <w:jc w:val="right"/>
              <w:spacing w:after="0" w:line="204" w:lineRule="exact"/>
              <w:rPr>
                <w:sz w:val="20"/>
                <w:szCs w:val="20"/>
                <w:color w:val="auto"/>
              </w:rPr>
            </w:pPr>
            <w:r>
              <w:rPr>
                <w:rFonts w:ascii="Times New Roman" w:cs="Times New Roman" w:eastAsia="Times New Roman" w:hAnsi="Times New Roman"/>
                <w:sz w:val="18"/>
                <w:szCs w:val="18"/>
                <w:color w:val="auto"/>
              </w:rPr>
              <w:t>122</w:t>
            </w:r>
          </w:p>
        </w:tc>
        <w:tc>
          <w:tcPr>
            <w:tcW w:w="185" w:type="dxa"/>
            <w:vAlign w:val="bottom"/>
            <w:tcBorders>
              <w:bottom w:val="single" w:sz="8" w:color="auto"/>
            </w:tcBorders>
            <w:shd w:val="clear" w:color="auto" w:fill="DDDDDD"/>
          </w:tcPr>
          <w:p>
            <w:pPr>
              <w:spacing w:after="0"/>
              <w:rPr>
                <w:sz w:val="18"/>
                <w:szCs w:val="18"/>
                <w:color w:val="auto"/>
              </w:rPr>
            </w:pPr>
          </w:p>
        </w:tc>
        <w:tc>
          <w:tcPr>
            <w:tcW w:w="135" w:type="dxa"/>
            <w:vAlign w:val="bottom"/>
            <w:tcBorders>
              <w:bottom w:val="single" w:sz="8" w:color="auto"/>
            </w:tcBorders>
            <w:shd w:val="clear" w:color="auto" w:fill="DDDDDD"/>
          </w:tcPr>
          <w:p>
            <w:pPr>
              <w:jc w:val="right"/>
              <w:spacing w:after="0" w:line="204"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auto"/>
            </w:tcBorders>
            <w:shd w:val="clear" w:color="auto" w:fill="DDDDDD"/>
          </w:tcPr>
          <w:p>
            <w:pPr>
              <w:jc w:val="right"/>
              <w:spacing w:after="0" w:line="204"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shd w:val="clear" w:color="auto" w:fill="DDDDDD"/>
          </w:tcPr>
          <w:p>
            <w:pPr>
              <w:spacing w:after="0"/>
              <w:rPr>
                <w:sz w:val="18"/>
                <w:szCs w:val="18"/>
                <w:color w:val="auto"/>
              </w:rPr>
            </w:pPr>
          </w:p>
        </w:tc>
      </w:tr>
      <w:tr>
        <w:trPr>
          <w:trHeight w:val="213"/>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38"/>
        </w:trPr>
        <w:tc>
          <w:tcPr>
            <w:tcW w:w="6025"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Comprehensive net income (loss)</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tcBorders>
              <w:bottom w:val="single" w:sz="8" w:color="DDDDDD"/>
            </w:tcBorders>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159,309</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37,784</w:t>
            </w:r>
          </w:p>
        </w:tc>
        <w:tc>
          <w:tcPr>
            <w:tcW w:w="185" w:type="dxa"/>
            <w:vAlign w:val="bottom"/>
            <w:tcBorders>
              <w:bottom w:val="single" w:sz="8" w:color="DDDDDD"/>
            </w:tcBorders>
            <w:shd w:val="clear" w:color="auto" w:fill="DDDDDD"/>
          </w:tcPr>
          <w:p>
            <w:pPr>
              <w:spacing w:after="0"/>
              <w:rPr>
                <w:sz w:val="20"/>
                <w:szCs w:val="20"/>
                <w:color w:val="auto"/>
              </w:rPr>
            </w:pP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(39,209</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0"/>
        </w:trPr>
        <w:tc>
          <w:tcPr>
            <w:tcW w:w="602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r>
      <w:tr>
        <w:trPr>
          <w:trHeight w:val="197"/>
        </w:trPr>
        <w:tc>
          <w:tcPr>
            <w:tcW w:w="6025"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1485"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5"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r>
      <w:tr>
        <w:trPr>
          <w:trHeight w:val="21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1.24</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128,302,423</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65,449,149</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44,649,039</w:t>
            </w:r>
          </w:p>
        </w:tc>
        <w:tc>
          <w:tcPr>
            <w:tcW w:w="100" w:type="dxa"/>
            <w:vAlign w:val="bottom"/>
            <w:shd w:val="clear" w:color="auto" w:fill="DDDDDD"/>
          </w:tcPr>
          <w:p>
            <w:pPr>
              <w:spacing w:after="0"/>
              <w:rPr>
                <w:sz w:val="18"/>
                <w:szCs w:val="1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-549275</wp:posOffset>
                </wp:positionV>
                <wp:extent cx="68580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3.2499pt" to="540.2pt,-43.2499pt" o:allowincell="f" strokecolor="#FFFFFF" strokeweight="0.1399pt"/>
            </w:pict>
          </mc:Fallback>
        </mc:AlternateConten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00"/>
          </w:cols>
          <w:pgMar w:left="720" w:top="1064" w:right="720" w:bottom="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ORCHID ISLAND CAPITAL,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50" w:type="dxa"/>
            <w:vAlign w:val="bottom"/>
            <w:tcBorders>
              <w:top w:val="single" w:sz="8" w:color="auto"/>
            </w:tcBorders>
          </w:tcPr>
          <w:p>
            <w:pPr>
              <w:spacing w:after="0"/>
              <w:rPr>
                <w:sz w:val="19"/>
                <w:szCs w:val="19"/>
                <w:color w:val="auto"/>
              </w:rPr>
            </w:pPr>
          </w:p>
        </w:tc>
        <w:tc>
          <w:tcPr>
            <w:tcW w:w="9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r>
      <w:tr>
        <w:trPr>
          <w:trHeight w:val="234"/>
        </w:trPr>
        <w:tc>
          <w:tcPr>
            <w:tcW w:w="3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2"/>
        </w:trPr>
        <w:tc>
          <w:tcPr>
            <w:tcW w:w="3660" w:type="dxa"/>
            <w:vAlign w:val="bottom"/>
            <w:tcBorders>
              <w:bottom w:val="single" w:sz="8" w:color="DDDDDD"/>
            </w:tcBorders>
            <w:shd w:val="clear" w:color="auto" w:fill="DDDDDD"/>
          </w:tcPr>
          <w:p>
            <w:pPr>
              <w:spacing w:after="0" w:line="202" w:lineRule="exact"/>
              <w:rPr>
                <w:sz w:val="20"/>
                <w:szCs w:val="20"/>
                <w:color w:val="auto"/>
              </w:rPr>
            </w:pPr>
            <w:r>
              <w:rPr>
                <w:rFonts w:ascii="Times New Roman" w:cs="Times New Roman" w:eastAsia="Times New Roman" w:hAnsi="Times New Roman"/>
                <w:sz w:val="18"/>
                <w:szCs w:val="18"/>
                <w:color w:val="auto"/>
              </w:rPr>
              <w:t>Balances, January 1, 2023</w:t>
            </w:r>
          </w:p>
        </w:tc>
        <w:tc>
          <w:tcPr>
            <w:tcW w:w="20" w:type="dxa"/>
            <w:vAlign w:val="bottom"/>
            <w:tcBorders>
              <w:bottom w:val="single" w:sz="8" w:color="DDDDDD"/>
            </w:tcBorders>
            <w:shd w:val="clear" w:color="auto" w:fill="DDDDDD"/>
          </w:tcPr>
          <w:p>
            <w:pPr>
              <w:spacing w:after="0"/>
              <w:rPr>
                <w:sz w:val="19"/>
                <w:szCs w:val="19"/>
                <w:color w:val="auto"/>
              </w:rPr>
            </w:pPr>
          </w:p>
        </w:tc>
        <w:tc>
          <w:tcPr>
            <w:tcW w:w="8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85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36,765</w:t>
            </w:r>
          </w:p>
        </w:tc>
        <w:tc>
          <w:tcPr>
            <w:tcW w:w="90" w:type="dxa"/>
            <w:vAlign w:val="bottom"/>
            <w:tcBorders>
              <w:bottom w:val="single" w:sz="8" w:color="DDDDDD"/>
            </w:tcBorders>
            <w:shd w:val="clear" w:color="auto" w:fill="DDDDDD"/>
          </w:tcPr>
          <w:p>
            <w:pPr>
              <w:spacing w:after="0"/>
              <w:rPr>
                <w:sz w:val="19"/>
                <w:szCs w:val="19"/>
                <w:color w:val="auto"/>
              </w:rPr>
            </w:pPr>
          </w:p>
        </w:tc>
        <w:tc>
          <w:tcPr>
            <w:tcW w:w="620" w:type="dxa"/>
            <w:vAlign w:val="bottom"/>
            <w:tcBorders>
              <w:bottom w:val="single" w:sz="8" w:color="DDDDDD"/>
            </w:tcBorders>
            <w:shd w:val="clear" w:color="auto" w:fill="DDDDDD"/>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44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86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779,602</w:t>
            </w:r>
          </w:p>
        </w:tc>
        <w:tc>
          <w:tcPr>
            <w:tcW w:w="8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86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(341,207</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40" w:type="dxa"/>
            <w:vAlign w:val="bottom"/>
            <w:tcBorders>
              <w:bottom w:val="single" w:sz="8" w:color="DDDDDD"/>
            </w:tcBorders>
            <w:shd w:val="clear" w:color="auto" w:fill="DDDDDD"/>
          </w:tcPr>
          <w:p>
            <w:pPr>
              <w:ind w:left="120"/>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shd w:val="clear" w:color="auto" w:fill="DDDDDD"/>
          </w:tcPr>
          <w:p>
            <w:pPr>
              <w:ind w:left="200"/>
              <w:spacing w:after="0" w:line="202"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860"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rPr>
              <w:t>438,763</w:t>
            </w:r>
          </w:p>
        </w:tc>
        <w:tc>
          <w:tcPr>
            <w:tcW w:w="80" w:type="dxa"/>
            <w:vAlign w:val="bottom"/>
            <w:tcBorders>
              <w:bottom w:val="single" w:sz="8" w:color="DDDDDD"/>
            </w:tcBorders>
            <w:shd w:val="clear" w:color="auto" w:fill="DDDDDD"/>
          </w:tcPr>
          <w:p>
            <w:pPr>
              <w:spacing w:after="0"/>
              <w:rPr>
                <w:sz w:val="19"/>
                <w:szCs w:val="19"/>
                <w:color w:val="auto"/>
              </w:rPr>
            </w:pPr>
          </w:p>
        </w:tc>
      </w:tr>
      <w:tr>
        <w:trPr>
          <w:trHeight w:val="182"/>
        </w:trPr>
        <w:tc>
          <w:tcPr>
            <w:tcW w:w="3660" w:type="dxa"/>
            <w:vAlign w:val="bottom"/>
            <w:tcBorders>
              <w:bottom w:val="single" w:sz="8" w:color="DDDDDD"/>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95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5"/>
                <w:szCs w:val="15"/>
                <w:color w:val="auto"/>
              </w:rPr>
            </w:pPr>
          </w:p>
        </w:tc>
        <w:tc>
          <w:tcPr>
            <w:tcW w:w="620" w:type="dxa"/>
            <w:vAlign w:val="bottom"/>
            <w:tcBorders>
              <w:bottom w:val="single" w:sz="8" w:color="DDDDDD"/>
            </w:tcBorders>
          </w:tcPr>
          <w:p>
            <w:pPr>
              <w:spacing w:after="0"/>
              <w:rPr>
                <w:sz w:val="15"/>
                <w:szCs w:val="15"/>
                <w:color w:val="auto"/>
              </w:rPr>
            </w:pPr>
          </w:p>
        </w:tc>
        <w:tc>
          <w:tcPr>
            <w:tcW w:w="44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5"/>
                <w:szCs w:val="15"/>
                <w:color w:val="auto"/>
              </w:rPr>
            </w:pPr>
          </w:p>
        </w:tc>
        <w:tc>
          <w:tcPr>
            <w:tcW w:w="22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94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(39,226 )</w:t>
            </w:r>
          </w:p>
        </w:tc>
        <w:tc>
          <w:tcPr>
            <w:tcW w:w="240" w:type="dxa"/>
            <w:vAlign w:val="bottom"/>
            <w:tcBorders>
              <w:bottom w:val="single" w:sz="8" w:color="DDDDDD"/>
            </w:tcBorders>
          </w:tcPr>
          <w:p>
            <w:pPr>
              <w:spacing w:after="0"/>
              <w:rPr>
                <w:sz w:val="15"/>
                <w:szCs w:val="15"/>
                <w:color w:val="auto"/>
              </w:rPr>
            </w:pPr>
          </w:p>
        </w:tc>
        <w:tc>
          <w:tcPr>
            <w:tcW w:w="108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tcPr>
          <w:p>
            <w:pPr>
              <w:spacing w:after="0"/>
              <w:rPr>
                <w:sz w:val="15"/>
                <w:szCs w:val="15"/>
                <w:color w:val="auto"/>
              </w:rPr>
            </w:pPr>
          </w:p>
        </w:tc>
        <w:tc>
          <w:tcPr>
            <w:tcW w:w="94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(39,226 )</w:t>
            </w:r>
          </w:p>
        </w:tc>
      </w:tr>
      <w:tr>
        <w:trPr>
          <w:trHeight w:val="191"/>
        </w:trPr>
        <w:tc>
          <w:tcPr>
            <w:tcW w:w="36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8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shd w:val="clear" w:color="auto" w:fill="DDDDDD"/>
          </w:tcPr>
          <w:p>
            <w:pPr>
              <w:spacing w:after="0"/>
              <w:rPr>
                <w:sz w:val="16"/>
                <w:szCs w:val="16"/>
                <w:color w:val="auto"/>
              </w:rPr>
            </w:pPr>
          </w:p>
        </w:tc>
        <w:tc>
          <w:tcPr>
            <w:tcW w:w="620" w:type="dxa"/>
            <w:vAlign w:val="bottom"/>
            <w:tcBorders>
              <w:bottom w:val="single" w:sz="8" w:color="DDDDDD"/>
            </w:tcBorders>
            <w:shd w:val="clear" w:color="auto" w:fill="DDDDDD"/>
          </w:tcPr>
          <w:p>
            <w:pPr>
              <w:spacing w:after="0"/>
              <w:rPr>
                <w:sz w:val="16"/>
                <w:szCs w:val="16"/>
                <w:color w:val="auto"/>
              </w:rPr>
            </w:pPr>
          </w:p>
        </w:tc>
        <w:tc>
          <w:tcPr>
            <w:tcW w:w="4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0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DDDDDD"/>
            </w:tcBorders>
            <w:shd w:val="clear" w:color="auto" w:fill="DDDDDD"/>
          </w:tcPr>
          <w:p>
            <w:pPr>
              <w:spacing w:after="0"/>
              <w:rPr>
                <w:sz w:val="16"/>
                <w:szCs w:val="16"/>
                <w:color w:val="auto"/>
              </w:rPr>
            </w:pPr>
          </w:p>
        </w:tc>
      </w:tr>
      <w:tr>
        <w:trPr>
          <w:trHeight w:val="203"/>
        </w:trPr>
        <w:tc>
          <w:tcPr>
            <w:tcW w:w="3760" w:type="dxa"/>
            <w:vAlign w:val="bottom"/>
            <w:tcBorders>
              <w:bottom w:val="single" w:sz="8" w:color="DDDDDD"/>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Cash dividends declared</w:t>
            </w:r>
          </w:p>
        </w:tc>
        <w:tc>
          <w:tcPr>
            <w:tcW w:w="95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7"/>
                <w:szCs w:val="17"/>
                <w:color w:val="auto"/>
              </w:rPr>
            </w:pPr>
          </w:p>
        </w:tc>
        <w:tc>
          <w:tcPr>
            <w:tcW w:w="620" w:type="dxa"/>
            <w:vAlign w:val="bottom"/>
            <w:tcBorders>
              <w:bottom w:val="single" w:sz="8" w:color="DDDDDD"/>
            </w:tcBorders>
          </w:tcPr>
          <w:p>
            <w:pPr>
              <w:spacing w:after="0"/>
              <w:rPr>
                <w:sz w:val="17"/>
                <w:szCs w:val="17"/>
                <w:color w:val="auto"/>
              </w:rPr>
            </w:pPr>
          </w:p>
        </w:tc>
        <w:tc>
          <w:tcPr>
            <w:tcW w:w="4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4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(81,127 )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7"/>
                <w:szCs w:val="17"/>
                <w:color w:val="auto"/>
              </w:rPr>
            </w:pPr>
          </w:p>
        </w:tc>
        <w:tc>
          <w:tcPr>
            <w:tcW w:w="24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tcPr>
          <w:p>
            <w:pPr>
              <w:spacing w:after="0"/>
              <w:rPr>
                <w:sz w:val="17"/>
                <w:szCs w:val="17"/>
                <w:color w:val="auto"/>
              </w:rPr>
            </w:pPr>
          </w:p>
        </w:tc>
        <w:tc>
          <w:tcPr>
            <w:tcW w:w="94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(81,127 )</w:t>
            </w:r>
          </w:p>
        </w:tc>
      </w:tr>
      <w:tr>
        <w:trPr>
          <w:trHeight w:val="191"/>
        </w:trPr>
        <w:tc>
          <w:tcPr>
            <w:tcW w:w="3660" w:type="dxa"/>
            <w:vAlign w:val="bottom"/>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pursuant to public</w:t>
            </w:r>
          </w:p>
        </w:tc>
        <w:tc>
          <w:tcPr>
            <w:tcW w:w="100" w:type="dxa"/>
            <w:vAlign w:val="bottom"/>
            <w:gridSpan w:val="2"/>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50" w:type="dxa"/>
            <w:vAlign w:val="bottom"/>
            <w:shd w:val="clear" w:color="auto" w:fill="DDDDDD"/>
          </w:tcPr>
          <w:p>
            <w:pPr>
              <w:spacing w:after="0"/>
              <w:rPr>
                <w:sz w:val="16"/>
                <w:szCs w:val="16"/>
                <w:color w:val="auto"/>
              </w:rPr>
            </w:pPr>
          </w:p>
        </w:tc>
        <w:tc>
          <w:tcPr>
            <w:tcW w:w="9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4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r>
      <w:tr>
        <w:trPr>
          <w:trHeight w:val="206"/>
        </w:trPr>
        <w:tc>
          <w:tcPr>
            <w:tcW w:w="366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offerings, net</w:t>
            </w:r>
          </w:p>
        </w:tc>
        <w:tc>
          <w:tcPr>
            <w:tcW w:w="2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85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90" w:type="dxa"/>
            <w:vAlign w:val="bottom"/>
            <w:tcBorders>
              <w:bottom w:val="single" w:sz="8" w:color="DDDDDD"/>
            </w:tcBorders>
            <w:shd w:val="clear" w:color="auto" w:fill="DDDDDD"/>
          </w:tcPr>
          <w:p>
            <w:pPr>
              <w:spacing w:after="0"/>
              <w:rPr>
                <w:sz w:val="17"/>
                <w:szCs w:val="17"/>
                <w:color w:val="auto"/>
              </w:rPr>
            </w:pPr>
          </w:p>
        </w:tc>
        <w:tc>
          <w:tcPr>
            <w:tcW w:w="620" w:type="dxa"/>
            <w:vAlign w:val="bottom"/>
            <w:tcBorders>
              <w:bottom w:val="single" w:sz="8" w:color="DDDDDD"/>
            </w:tcBorders>
            <w:shd w:val="clear" w:color="auto" w:fill="DDDDDD"/>
          </w:tcPr>
          <w:p>
            <w:pPr>
              <w:spacing w:after="0"/>
              <w:rPr>
                <w:sz w:val="17"/>
                <w:szCs w:val="17"/>
                <w:color w:val="auto"/>
              </w:rPr>
            </w:pPr>
          </w:p>
        </w:tc>
        <w:tc>
          <w:tcPr>
            <w:tcW w:w="4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159,281</w:t>
            </w:r>
          </w:p>
        </w:tc>
        <w:tc>
          <w:tcPr>
            <w:tcW w:w="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159,438</w:t>
            </w:r>
          </w:p>
        </w:tc>
        <w:tc>
          <w:tcPr>
            <w:tcW w:w="80" w:type="dxa"/>
            <w:vAlign w:val="bottom"/>
            <w:tcBorders>
              <w:bottom w:val="single" w:sz="8" w:color="DDDDDD"/>
            </w:tcBorders>
            <w:shd w:val="clear" w:color="auto" w:fill="DDDDDD"/>
          </w:tcPr>
          <w:p>
            <w:pPr>
              <w:spacing w:after="0"/>
              <w:rPr>
                <w:sz w:val="17"/>
                <w:szCs w:val="17"/>
                <w:color w:val="auto"/>
              </w:rPr>
            </w:pPr>
          </w:p>
        </w:tc>
      </w:tr>
      <w:tr>
        <w:trPr>
          <w:trHeight w:val="203"/>
        </w:trPr>
        <w:tc>
          <w:tcPr>
            <w:tcW w:w="3760" w:type="dxa"/>
            <w:vAlign w:val="bottom"/>
            <w:tcBorders>
              <w:bottom w:val="single" w:sz="8" w:color="DDDDDD"/>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Stock based awards and amortization</w:t>
            </w:r>
          </w:p>
        </w:tc>
        <w:tc>
          <w:tcPr>
            <w:tcW w:w="95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90" w:type="dxa"/>
            <w:vAlign w:val="bottom"/>
            <w:tcBorders>
              <w:bottom w:val="single" w:sz="8" w:color="DDDDDD"/>
            </w:tcBorders>
          </w:tcPr>
          <w:p>
            <w:pPr>
              <w:spacing w:after="0"/>
              <w:rPr>
                <w:sz w:val="17"/>
                <w:szCs w:val="17"/>
                <w:color w:val="auto"/>
              </w:rPr>
            </w:pPr>
          </w:p>
        </w:tc>
        <w:tc>
          <w:tcPr>
            <w:tcW w:w="620" w:type="dxa"/>
            <w:vAlign w:val="bottom"/>
            <w:tcBorders>
              <w:bottom w:val="single" w:sz="8" w:color="DDDDDD"/>
            </w:tcBorders>
          </w:tcPr>
          <w:p>
            <w:pPr>
              <w:spacing w:after="0"/>
              <w:rPr>
                <w:sz w:val="17"/>
                <w:szCs w:val="17"/>
                <w:color w:val="auto"/>
              </w:rPr>
            </w:pPr>
          </w:p>
        </w:tc>
        <w:tc>
          <w:tcPr>
            <w:tcW w:w="4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1,503</w:t>
            </w:r>
          </w:p>
        </w:tc>
        <w:tc>
          <w:tcPr>
            <w:tcW w:w="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7"/>
                <w:szCs w:val="17"/>
                <w:color w:val="auto"/>
              </w:rPr>
            </w:pPr>
          </w:p>
        </w:tc>
        <w:tc>
          <w:tcPr>
            <w:tcW w:w="24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1,504</w:t>
            </w:r>
          </w:p>
        </w:tc>
        <w:tc>
          <w:tcPr>
            <w:tcW w:w="80" w:type="dxa"/>
            <w:vAlign w:val="bottom"/>
            <w:tcBorders>
              <w:bottom w:val="single" w:sz="8" w:color="DDDDDD"/>
            </w:tcBorders>
          </w:tcPr>
          <w:p>
            <w:pPr>
              <w:spacing w:after="0"/>
              <w:rPr>
                <w:sz w:val="17"/>
                <w:szCs w:val="17"/>
                <w:color w:val="auto"/>
              </w:rPr>
            </w:pPr>
          </w:p>
        </w:tc>
      </w:tr>
      <w:tr>
        <w:trPr>
          <w:trHeight w:val="195"/>
        </w:trPr>
        <w:tc>
          <w:tcPr>
            <w:tcW w:w="366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Shares repurchased and retired</w:t>
            </w:r>
          </w:p>
        </w:tc>
        <w:tc>
          <w:tcPr>
            <w:tcW w:w="2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85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(1,073</w:t>
            </w:r>
          </w:p>
        </w:tc>
        <w:tc>
          <w:tcPr>
            <w:tcW w:w="9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620" w:type="dxa"/>
            <w:vAlign w:val="bottom"/>
            <w:tcBorders>
              <w:bottom w:val="single" w:sz="8" w:color="auto"/>
            </w:tcBorders>
            <w:shd w:val="clear" w:color="auto" w:fill="DDDDDD"/>
          </w:tcPr>
          <w:p>
            <w:pPr>
              <w:spacing w:after="0"/>
              <w:rPr>
                <w:sz w:val="16"/>
                <w:szCs w:val="16"/>
                <w:color w:val="auto"/>
              </w:rPr>
            </w:pPr>
          </w:p>
        </w:tc>
        <w:tc>
          <w:tcPr>
            <w:tcW w:w="44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(9,414</w:t>
            </w: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DDDDDD"/>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10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(9,424</w:t>
            </w: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1"/>
        </w:trPr>
        <w:tc>
          <w:tcPr>
            <w:tcW w:w="376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95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51,636</w:t>
            </w:r>
          </w:p>
        </w:tc>
        <w:tc>
          <w:tcPr>
            <w:tcW w:w="90" w:type="dxa"/>
            <w:vAlign w:val="bottom"/>
            <w:tcBorders>
              <w:bottom w:val="single" w:sz="8" w:color="DDDDDD"/>
            </w:tcBorders>
          </w:tcPr>
          <w:p>
            <w:pPr>
              <w:spacing w:after="0"/>
              <w:rPr>
                <w:sz w:val="18"/>
                <w:szCs w:val="18"/>
                <w:color w:val="auto"/>
              </w:rPr>
            </w:pPr>
          </w:p>
        </w:tc>
        <w:tc>
          <w:tcPr>
            <w:tcW w:w="620" w:type="dxa"/>
            <w:vAlign w:val="bottom"/>
            <w:tcBorders>
              <w:bottom w:val="single" w:sz="8" w:color="DDDDDD"/>
            </w:tcBorders>
          </w:tcPr>
          <w:p>
            <w:pPr>
              <w:spacing w:after="0"/>
              <w:rPr>
                <w:sz w:val="18"/>
                <w:szCs w:val="18"/>
                <w:color w:val="auto"/>
              </w:rPr>
            </w:pPr>
          </w:p>
        </w:tc>
        <w:tc>
          <w:tcPr>
            <w:tcW w:w="4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spacing w:after="0"/>
              <w:rPr>
                <w:sz w:val="18"/>
                <w:szCs w:val="18"/>
                <w:color w:val="auto"/>
              </w:rPr>
            </w:pPr>
          </w:p>
        </w:tc>
        <w:tc>
          <w:tcPr>
            <w:tcW w:w="8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849,845</w:t>
            </w:r>
          </w:p>
        </w:tc>
        <w:tc>
          <w:tcPr>
            <w:tcW w:w="8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94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(380,433 )</w:t>
            </w:r>
          </w:p>
        </w:tc>
        <w:tc>
          <w:tcPr>
            <w:tcW w:w="240" w:type="dxa"/>
            <w:vAlign w:val="bottom"/>
            <w:tcBorders>
              <w:bottom w:val="single" w:sz="8" w:color="DDDDDD"/>
            </w:tcBorders>
          </w:tcPr>
          <w:p>
            <w:pPr>
              <w:spacing w:after="0"/>
              <w:rPr>
                <w:sz w:val="18"/>
                <w:szCs w:val="18"/>
                <w:color w:val="auto"/>
              </w:rPr>
            </w:pPr>
          </w:p>
        </w:tc>
        <w:tc>
          <w:tcPr>
            <w:tcW w:w="10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DDDDDD"/>
            </w:tcBorders>
          </w:tcPr>
          <w:p>
            <w:pPr>
              <w:spacing w:after="0"/>
              <w:rPr>
                <w:sz w:val="18"/>
                <w:szCs w:val="18"/>
                <w:color w:val="auto"/>
              </w:rPr>
            </w:pPr>
          </w:p>
        </w:tc>
        <w:tc>
          <w:tcPr>
            <w:tcW w:w="8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469,945</w:t>
            </w:r>
          </w:p>
        </w:tc>
        <w:tc>
          <w:tcPr>
            <w:tcW w:w="80" w:type="dxa"/>
            <w:vAlign w:val="bottom"/>
            <w:tcBorders>
              <w:bottom w:val="single" w:sz="8" w:color="DDDDDD"/>
            </w:tcBorders>
          </w:tcPr>
          <w:p>
            <w:pPr>
              <w:spacing w:after="0"/>
              <w:rPr>
                <w:sz w:val="18"/>
                <w:szCs w:val="18"/>
                <w:color w:val="auto"/>
              </w:rPr>
            </w:pPr>
          </w:p>
        </w:tc>
      </w:tr>
      <w:tr>
        <w:trPr>
          <w:trHeight w:val="212"/>
        </w:trPr>
        <w:tc>
          <w:tcPr>
            <w:tcW w:w="36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8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shd w:val="clear" w:color="auto" w:fill="DDDDDD"/>
          </w:tcPr>
          <w:p>
            <w:pPr>
              <w:spacing w:after="0"/>
              <w:rPr>
                <w:sz w:val="18"/>
                <w:szCs w:val="18"/>
                <w:color w:val="auto"/>
              </w:rPr>
            </w:pPr>
          </w:p>
        </w:tc>
        <w:tc>
          <w:tcPr>
            <w:tcW w:w="620" w:type="dxa"/>
            <w:vAlign w:val="bottom"/>
            <w:tcBorders>
              <w:bottom w:val="single" w:sz="8" w:color="DDDDDD"/>
            </w:tcBorders>
            <w:shd w:val="clear" w:color="auto" w:fill="DDDDDD"/>
          </w:tcPr>
          <w:p>
            <w:pPr>
              <w:spacing w:after="0"/>
              <w:rPr>
                <w:sz w:val="18"/>
                <w:szCs w:val="18"/>
                <w:color w:val="auto"/>
              </w:rPr>
            </w:pPr>
          </w:p>
        </w:tc>
        <w:tc>
          <w:tcPr>
            <w:tcW w:w="4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37,662</w:t>
            </w:r>
          </w:p>
        </w:tc>
        <w:tc>
          <w:tcPr>
            <w:tcW w:w="8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10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shd w:val="clear" w:color="auto" w:fill="DDDDDD"/>
          </w:tcPr>
          <w:p>
            <w:pPr>
              <w:spacing w:after="0"/>
              <w:rPr>
                <w:sz w:val="18"/>
                <w:szCs w:val="18"/>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37,662</w:t>
            </w:r>
          </w:p>
        </w:tc>
        <w:tc>
          <w:tcPr>
            <w:tcW w:w="80" w:type="dxa"/>
            <w:vAlign w:val="bottom"/>
            <w:tcBorders>
              <w:bottom w:val="single" w:sz="8" w:color="DDDDDD"/>
            </w:tcBorders>
            <w:shd w:val="clear" w:color="auto" w:fill="DDDDDD"/>
          </w:tcPr>
          <w:p>
            <w:pPr>
              <w:spacing w:after="0"/>
              <w:rPr>
                <w:sz w:val="18"/>
                <w:szCs w:val="18"/>
                <w:color w:val="auto"/>
              </w:rPr>
            </w:pPr>
          </w:p>
        </w:tc>
      </w:tr>
      <w:tr>
        <w:trPr>
          <w:trHeight w:val="182"/>
        </w:trPr>
        <w:tc>
          <w:tcPr>
            <w:tcW w:w="3660" w:type="dxa"/>
            <w:vAlign w:val="bottom"/>
            <w:tcBorders>
              <w:bottom w:val="single" w:sz="8" w:color="DDDDDD"/>
            </w:tcBorders>
          </w:tcPr>
          <w:p>
            <w:pPr>
              <w:spacing w:after="0" w:line="182" w:lineRule="exact"/>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95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5"/>
                <w:szCs w:val="15"/>
                <w:color w:val="auto"/>
              </w:rPr>
            </w:pPr>
          </w:p>
        </w:tc>
        <w:tc>
          <w:tcPr>
            <w:tcW w:w="620" w:type="dxa"/>
            <w:vAlign w:val="bottom"/>
            <w:tcBorders>
              <w:bottom w:val="single" w:sz="8" w:color="DDDDDD"/>
            </w:tcBorders>
          </w:tcPr>
          <w:p>
            <w:pPr>
              <w:spacing w:after="0"/>
              <w:rPr>
                <w:sz w:val="15"/>
                <w:szCs w:val="15"/>
                <w:color w:val="auto"/>
              </w:rPr>
            </w:pPr>
          </w:p>
        </w:tc>
        <w:tc>
          <w:tcPr>
            <w:tcW w:w="44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5"/>
                <w:szCs w:val="15"/>
                <w:color w:val="auto"/>
              </w:rPr>
            </w:pPr>
          </w:p>
        </w:tc>
        <w:tc>
          <w:tcPr>
            <w:tcW w:w="22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5"/>
                <w:szCs w:val="15"/>
                <w:color w:val="auto"/>
              </w:rPr>
            </w:pPr>
          </w:p>
        </w:tc>
        <w:tc>
          <w:tcPr>
            <w:tcW w:w="240" w:type="dxa"/>
            <w:vAlign w:val="bottom"/>
            <w:tcBorders>
              <w:bottom w:val="single" w:sz="8" w:color="DDDDDD"/>
            </w:tcBorders>
          </w:tcPr>
          <w:p>
            <w:pPr>
              <w:spacing w:after="0"/>
              <w:rPr>
                <w:sz w:val="15"/>
                <w:szCs w:val="15"/>
                <w:color w:val="auto"/>
              </w:rPr>
            </w:pPr>
          </w:p>
        </w:tc>
        <w:tc>
          <w:tcPr>
            <w:tcW w:w="108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122</w:t>
            </w:r>
          </w:p>
        </w:tc>
        <w:tc>
          <w:tcPr>
            <w:tcW w:w="30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DDDDDD"/>
            </w:tcBorders>
          </w:tcPr>
          <w:p>
            <w:pPr>
              <w:spacing w:after="0"/>
              <w:rPr>
                <w:sz w:val="15"/>
                <w:szCs w:val="15"/>
                <w:color w:val="auto"/>
              </w:rPr>
            </w:pPr>
          </w:p>
        </w:tc>
      </w:tr>
      <w:tr>
        <w:trPr>
          <w:trHeight w:val="191"/>
        </w:trPr>
        <w:tc>
          <w:tcPr>
            <w:tcW w:w="36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Cash dividends declared</w:t>
            </w:r>
          </w:p>
        </w:tc>
        <w:tc>
          <w:tcPr>
            <w:tcW w:w="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8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shd w:val="clear" w:color="auto" w:fill="DDDDDD"/>
          </w:tcPr>
          <w:p>
            <w:pPr>
              <w:spacing w:after="0"/>
              <w:rPr>
                <w:sz w:val="16"/>
                <w:szCs w:val="16"/>
                <w:color w:val="auto"/>
              </w:rPr>
            </w:pPr>
          </w:p>
        </w:tc>
        <w:tc>
          <w:tcPr>
            <w:tcW w:w="620" w:type="dxa"/>
            <w:vAlign w:val="bottom"/>
            <w:tcBorders>
              <w:bottom w:val="single" w:sz="8" w:color="DDDDDD"/>
            </w:tcBorders>
            <w:shd w:val="clear" w:color="auto" w:fill="DDDDDD"/>
          </w:tcPr>
          <w:p>
            <w:pPr>
              <w:spacing w:after="0"/>
              <w:rPr>
                <w:sz w:val="16"/>
                <w:szCs w:val="16"/>
                <w:color w:val="auto"/>
              </w:rPr>
            </w:pPr>
          </w:p>
        </w:tc>
        <w:tc>
          <w:tcPr>
            <w:tcW w:w="4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(96,309</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0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(96,309</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180"/>
        </w:trPr>
        <w:tc>
          <w:tcPr>
            <w:tcW w:w="3760" w:type="dxa"/>
            <w:vAlign w:val="bottom"/>
            <w:gridSpan w:val="3"/>
          </w:tcPr>
          <w:p>
            <w:pPr>
              <w:spacing w:after="0" w:line="180" w:lineRule="exact"/>
              <w:rPr>
                <w:sz w:val="20"/>
                <w:szCs w:val="20"/>
                <w:color w:val="auto"/>
              </w:rPr>
            </w:pPr>
            <w:r>
              <w:rPr>
                <w:rFonts w:ascii="Times New Roman" w:cs="Times New Roman" w:eastAsia="Times New Roman" w:hAnsi="Times New Roman"/>
                <w:sz w:val="18"/>
                <w:szCs w:val="18"/>
                <w:color w:val="auto"/>
              </w:rPr>
              <w:t>Issuance of common stock pursuant to public</w:t>
            </w:r>
          </w:p>
        </w:tc>
        <w:tc>
          <w:tcPr>
            <w:tcW w:w="100" w:type="dxa"/>
            <w:vAlign w:val="bottom"/>
          </w:tcPr>
          <w:p>
            <w:pPr>
              <w:spacing w:after="0"/>
              <w:rPr>
                <w:sz w:val="15"/>
                <w:szCs w:val="15"/>
                <w:color w:val="auto"/>
              </w:rPr>
            </w:pPr>
          </w:p>
        </w:tc>
        <w:tc>
          <w:tcPr>
            <w:tcW w:w="85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376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offerings, net</w:t>
            </w:r>
          </w:p>
        </w:tc>
        <w:tc>
          <w:tcPr>
            <w:tcW w:w="95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90" w:type="dxa"/>
            <w:vAlign w:val="bottom"/>
            <w:tcBorders>
              <w:bottom w:val="single" w:sz="8" w:color="DDDDDD"/>
            </w:tcBorders>
          </w:tcPr>
          <w:p>
            <w:pPr>
              <w:spacing w:after="0"/>
              <w:rPr>
                <w:sz w:val="19"/>
                <w:szCs w:val="19"/>
                <w:color w:val="auto"/>
              </w:rPr>
            </w:pPr>
          </w:p>
        </w:tc>
        <w:tc>
          <w:tcPr>
            <w:tcW w:w="620" w:type="dxa"/>
            <w:vAlign w:val="bottom"/>
            <w:tcBorders>
              <w:bottom w:val="single" w:sz="8" w:color="DDDDDD"/>
            </w:tcBorders>
          </w:tcPr>
          <w:p>
            <w:pPr>
              <w:spacing w:after="0"/>
              <w:rPr>
                <w:sz w:val="19"/>
                <w:szCs w:val="19"/>
                <w:color w:val="auto"/>
              </w:rPr>
            </w:pPr>
          </w:p>
        </w:tc>
        <w:tc>
          <w:tcPr>
            <w:tcW w:w="4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Borders>
              <w:bottom w:val="single" w:sz="8" w:color="DDDDDD"/>
            </w:tcBorders>
          </w:tcPr>
          <w:p>
            <w:pPr>
              <w:spacing w:after="0"/>
              <w:rPr>
                <w:sz w:val="19"/>
                <w:szCs w:val="19"/>
                <w:color w:val="auto"/>
              </w:rPr>
            </w:pPr>
          </w:p>
        </w:tc>
        <w:tc>
          <w:tcPr>
            <w:tcW w:w="220" w:type="dxa"/>
            <w:vAlign w:val="bottom"/>
            <w:tcBorders>
              <w:bottom w:val="single" w:sz="8" w:color="DDDDDD"/>
            </w:tcBorders>
          </w:tcPr>
          <w:p>
            <w:pPr>
              <w:spacing w:after="0"/>
              <w:rPr>
                <w:sz w:val="19"/>
                <w:szCs w:val="19"/>
                <w:color w:val="auto"/>
              </w:rPr>
            </w:pPr>
          </w:p>
        </w:tc>
        <w:tc>
          <w:tcPr>
            <w:tcW w:w="8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259,015</w:t>
            </w:r>
          </w:p>
        </w:tc>
        <w:tc>
          <w:tcPr>
            <w:tcW w:w="8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8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9"/>
                <w:szCs w:val="19"/>
                <w:color w:val="auto"/>
              </w:rPr>
            </w:pPr>
          </w:p>
        </w:tc>
        <w:tc>
          <w:tcPr>
            <w:tcW w:w="240" w:type="dxa"/>
            <w:vAlign w:val="bottom"/>
            <w:tcBorders>
              <w:bottom w:val="single" w:sz="8" w:color="DDDDDD"/>
            </w:tcBorders>
          </w:tcPr>
          <w:p>
            <w:pPr>
              <w:spacing w:after="0"/>
              <w:rPr>
                <w:sz w:val="19"/>
                <w:szCs w:val="19"/>
                <w:color w:val="auto"/>
              </w:rPr>
            </w:pPr>
          </w:p>
        </w:tc>
        <w:tc>
          <w:tcPr>
            <w:tcW w:w="10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tcPr>
          <w:p>
            <w:pPr>
              <w:spacing w:after="0"/>
              <w:rPr>
                <w:sz w:val="19"/>
                <w:szCs w:val="19"/>
                <w:color w:val="auto"/>
              </w:rPr>
            </w:pPr>
          </w:p>
        </w:tc>
        <w:tc>
          <w:tcPr>
            <w:tcW w:w="8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259,328</w:t>
            </w:r>
          </w:p>
        </w:tc>
        <w:tc>
          <w:tcPr>
            <w:tcW w:w="80" w:type="dxa"/>
            <w:vAlign w:val="bottom"/>
            <w:tcBorders>
              <w:bottom w:val="single" w:sz="8" w:color="DDDDDD"/>
            </w:tcBorders>
          </w:tcPr>
          <w:p>
            <w:pPr>
              <w:spacing w:after="0"/>
              <w:rPr>
                <w:sz w:val="19"/>
                <w:szCs w:val="19"/>
                <w:color w:val="auto"/>
              </w:rPr>
            </w:pPr>
          </w:p>
        </w:tc>
      </w:tr>
      <w:tr>
        <w:trPr>
          <w:trHeight w:val="191"/>
        </w:trPr>
        <w:tc>
          <w:tcPr>
            <w:tcW w:w="36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Stock based awards and amortization</w:t>
            </w:r>
          </w:p>
        </w:tc>
        <w:tc>
          <w:tcPr>
            <w:tcW w:w="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8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54</w:t>
            </w:r>
          </w:p>
        </w:tc>
        <w:tc>
          <w:tcPr>
            <w:tcW w:w="90" w:type="dxa"/>
            <w:vAlign w:val="bottom"/>
            <w:tcBorders>
              <w:bottom w:val="single" w:sz="8" w:color="DDDDDD"/>
            </w:tcBorders>
            <w:shd w:val="clear" w:color="auto" w:fill="DDDDDD"/>
          </w:tcPr>
          <w:p>
            <w:pPr>
              <w:spacing w:after="0"/>
              <w:rPr>
                <w:sz w:val="16"/>
                <w:szCs w:val="16"/>
                <w:color w:val="auto"/>
              </w:rPr>
            </w:pPr>
          </w:p>
        </w:tc>
        <w:tc>
          <w:tcPr>
            <w:tcW w:w="620" w:type="dxa"/>
            <w:vAlign w:val="bottom"/>
            <w:tcBorders>
              <w:bottom w:val="single" w:sz="8" w:color="DDDDDD"/>
            </w:tcBorders>
            <w:shd w:val="clear" w:color="auto" w:fill="DDDDDD"/>
          </w:tcPr>
          <w:p>
            <w:pPr>
              <w:spacing w:after="0"/>
              <w:rPr>
                <w:sz w:val="16"/>
                <w:szCs w:val="16"/>
                <w:color w:val="auto"/>
              </w:rPr>
            </w:pPr>
          </w:p>
        </w:tc>
        <w:tc>
          <w:tcPr>
            <w:tcW w:w="4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1,041</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0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1,042</w:t>
            </w:r>
          </w:p>
        </w:tc>
        <w:tc>
          <w:tcPr>
            <w:tcW w:w="80" w:type="dxa"/>
            <w:vAlign w:val="bottom"/>
            <w:tcBorders>
              <w:bottom w:val="single" w:sz="8" w:color="DDDDDD"/>
            </w:tcBorders>
            <w:shd w:val="clear" w:color="auto" w:fill="DDDDDD"/>
          </w:tcPr>
          <w:p>
            <w:pPr>
              <w:spacing w:after="0"/>
              <w:rPr>
                <w:sz w:val="16"/>
                <w:szCs w:val="16"/>
                <w:color w:val="auto"/>
              </w:rPr>
            </w:pPr>
          </w:p>
        </w:tc>
      </w:tr>
      <w:tr>
        <w:trPr>
          <w:trHeight w:val="206"/>
        </w:trPr>
        <w:tc>
          <w:tcPr>
            <w:tcW w:w="3760" w:type="dxa"/>
            <w:vAlign w:val="bottom"/>
            <w:tcBorders>
              <w:bottom w:val="single" w:sz="8" w:color="auto"/>
            </w:tcBorders>
            <w:gridSpan w:val="3"/>
          </w:tcPr>
          <w:p>
            <w:pPr>
              <w:spacing w:after="0" w:line="206" w:lineRule="exact"/>
              <w:rPr>
                <w:sz w:val="20"/>
                <w:szCs w:val="20"/>
                <w:color w:val="auto"/>
              </w:rPr>
            </w:pPr>
            <w:r>
              <w:rPr>
                <w:rFonts w:ascii="Times New Roman" w:cs="Times New Roman" w:eastAsia="Times New Roman" w:hAnsi="Times New Roman"/>
                <w:sz w:val="18"/>
                <w:szCs w:val="18"/>
                <w:color w:val="auto"/>
              </w:rPr>
              <w:t>Shares repurchased and retired</w:t>
            </w:r>
          </w:p>
        </w:tc>
        <w:tc>
          <w:tcPr>
            <w:tcW w:w="1040" w:type="dxa"/>
            <w:vAlign w:val="bottom"/>
            <w:tcBorders>
              <w:bottom w:val="single" w:sz="8" w:color="auto"/>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(396 )</w:t>
            </w:r>
          </w:p>
        </w:tc>
        <w:tc>
          <w:tcPr>
            <w:tcW w:w="6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(4 )</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(3,286 )</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(3,290 )</w:t>
            </w:r>
          </w:p>
        </w:tc>
      </w:tr>
      <w:tr>
        <w:trPr>
          <w:trHeight w:val="203"/>
        </w:trPr>
        <w:tc>
          <w:tcPr>
            <w:tcW w:w="366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Balances, December 31, 2024</w:t>
            </w:r>
          </w:p>
        </w:tc>
        <w:tc>
          <w:tcPr>
            <w:tcW w:w="2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85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82,622</w:t>
            </w:r>
          </w:p>
        </w:tc>
        <w:tc>
          <w:tcPr>
            <w:tcW w:w="90" w:type="dxa"/>
            <w:vAlign w:val="bottom"/>
            <w:tcBorders>
              <w:bottom w:val="single" w:sz="8" w:color="DDDDDD"/>
            </w:tcBorders>
            <w:shd w:val="clear" w:color="auto" w:fill="DDDDDD"/>
          </w:tcPr>
          <w:p>
            <w:pPr>
              <w:spacing w:after="0"/>
              <w:rPr>
                <w:sz w:val="17"/>
                <w:szCs w:val="17"/>
                <w:color w:val="auto"/>
              </w:rPr>
            </w:pPr>
          </w:p>
        </w:tc>
        <w:tc>
          <w:tcPr>
            <w:tcW w:w="620" w:type="dxa"/>
            <w:vAlign w:val="bottom"/>
            <w:tcBorders>
              <w:bottom w:val="single" w:sz="8" w:color="DDDDDD"/>
            </w:tcBorders>
            <w:shd w:val="clear" w:color="auto" w:fill="DDDDDD"/>
          </w:tcPr>
          <w:p>
            <w:pPr>
              <w:spacing w:after="0"/>
              <w:rPr>
                <w:sz w:val="17"/>
                <w:szCs w:val="17"/>
                <w:color w:val="auto"/>
              </w:rPr>
            </w:pPr>
          </w:p>
        </w:tc>
        <w:tc>
          <w:tcPr>
            <w:tcW w:w="44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826</w:t>
            </w:r>
          </w:p>
        </w:tc>
        <w:tc>
          <w:tcPr>
            <w:tcW w:w="8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1,010,306</w:t>
            </w:r>
          </w:p>
        </w:tc>
        <w:tc>
          <w:tcPr>
            <w:tcW w:w="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(342,771</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40" w:type="dxa"/>
            <w:vAlign w:val="bottom"/>
            <w:tcBorders>
              <w:bottom w:val="single" w:sz="8" w:color="DDDDDD"/>
            </w:tcBorders>
            <w:shd w:val="clear" w:color="auto" w:fill="DDDDDD"/>
          </w:tcPr>
          <w:p>
            <w:pPr>
              <w:spacing w:after="0"/>
              <w:rPr>
                <w:sz w:val="17"/>
                <w:szCs w:val="17"/>
                <w:color w:val="auto"/>
              </w:rPr>
            </w:pPr>
          </w:p>
        </w:tc>
        <w:tc>
          <w:tcPr>
            <w:tcW w:w="10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139</w:t>
            </w:r>
          </w:p>
        </w:tc>
        <w:tc>
          <w:tcPr>
            <w:tcW w:w="30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668,500</w:t>
            </w:r>
          </w:p>
        </w:tc>
        <w:tc>
          <w:tcPr>
            <w:tcW w:w="80" w:type="dxa"/>
            <w:vAlign w:val="bottom"/>
            <w:tcBorders>
              <w:bottom w:val="single" w:sz="8" w:color="DDDDDD"/>
            </w:tcBorders>
            <w:shd w:val="clear" w:color="auto" w:fill="DDDDDD"/>
          </w:tcPr>
          <w:p>
            <w:pPr>
              <w:spacing w:after="0"/>
              <w:rPr>
                <w:sz w:val="17"/>
                <w:szCs w:val="17"/>
                <w:color w:val="auto"/>
              </w:rPr>
            </w:pPr>
          </w:p>
        </w:tc>
      </w:tr>
      <w:tr>
        <w:trPr>
          <w:trHeight w:val="201"/>
        </w:trPr>
        <w:tc>
          <w:tcPr>
            <w:tcW w:w="3760" w:type="dxa"/>
            <w:vAlign w:val="bottom"/>
            <w:tcBorders>
              <w:bottom w:val="single" w:sz="8" w:color="DDDDDD"/>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Net income</w:t>
            </w:r>
          </w:p>
        </w:tc>
        <w:tc>
          <w:tcPr>
            <w:tcW w:w="95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7"/>
                <w:szCs w:val="17"/>
                <w:color w:val="auto"/>
              </w:rPr>
            </w:pPr>
          </w:p>
        </w:tc>
        <w:tc>
          <w:tcPr>
            <w:tcW w:w="620" w:type="dxa"/>
            <w:vAlign w:val="bottom"/>
            <w:tcBorders>
              <w:bottom w:val="single" w:sz="8" w:color="DDDDDD"/>
            </w:tcBorders>
          </w:tcPr>
          <w:p>
            <w:pPr>
              <w:spacing w:after="0"/>
              <w:rPr>
                <w:sz w:val="17"/>
                <w:szCs w:val="17"/>
                <w:color w:val="auto"/>
              </w:rPr>
            </w:pPr>
          </w:p>
        </w:tc>
        <w:tc>
          <w:tcPr>
            <w:tcW w:w="44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159,030</w:t>
            </w:r>
          </w:p>
        </w:tc>
        <w:tc>
          <w:tcPr>
            <w:tcW w:w="80" w:type="dxa"/>
            <w:vAlign w:val="bottom"/>
            <w:tcBorders>
              <w:bottom w:val="single" w:sz="8" w:color="DDDDDD"/>
            </w:tcBorders>
          </w:tcPr>
          <w:p>
            <w:pPr>
              <w:spacing w:after="0"/>
              <w:rPr>
                <w:sz w:val="17"/>
                <w:szCs w:val="17"/>
                <w:color w:val="auto"/>
              </w:rPr>
            </w:pPr>
          </w:p>
        </w:tc>
        <w:tc>
          <w:tcPr>
            <w:tcW w:w="24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159,030</w:t>
            </w:r>
          </w:p>
        </w:tc>
        <w:tc>
          <w:tcPr>
            <w:tcW w:w="80" w:type="dxa"/>
            <w:vAlign w:val="bottom"/>
            <w:tcBorders>
              <w:bottom w:val="single" w:sz="8" w:color="DDDDDD"/>
            </w:tcBorders>
          </w:tcPr>
          <w:p>
            <w:pPr>
              <w:spacing w:after="0"/>
              <w:rPr>
                <w:sz w:val="17"/>
                <w:szCs w:val="17"/>
                <w:color w:val="auto"/>
              </w:rPr>
            </w:pPr>
          </w:p>
        </w:tc>
      </w:tr>
      <w:tr>
        <w:trPr>
          <w:trHeight w:val="191"/>
        </w:trPr>
        <w:tc>
          <w:tcPr>
            <w:tcW w:w="366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85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shd w:val="clear" w:color="auto" w:fill="DDDDDD"/>
          </w:tcPr>
          <w:p>
            <w:pPr>
              <w:spacing w:after="0"/>
              <w:rPr>
                <w:sz w:val="16"/>
                <w:szCs w:val="16"/>
                <w:color w:val="auto"/>
              </w:rPr>
            </w:pPr>
          </w:p>
        </w:tc>
        <w:tc>
          <w:tcPr>
            <w:tcW w:w="620" w:type="dxa"/>
            <w:vAlign w:val="bottom"/>
            <w:tcBorders>
              <w:bottom w:val="single" w:sz="8" w:color="DDDDDD"/>
            </w:tcBorders>
            <w:shd w:val="clear" w:color="auto" w:fill="DDDDDD"/>
          </w:tcPr>
          <w:p>
            <w:pPr>
              <w:spacing w:after="0"/>
              <w:rPr>
                <w:sz w:val="16"/>
                <w:szCs w:val="16"/>
                <w:color w:val="auto"/>
              </w:rPr>
            </w:pPr>
          </w:p>
        </w:tc>
        <w:tc>
          <w:tcPr>
            <w:tcW w:w="44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0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279</w:t>
            </w:r>
          </w:p>
        </w:tc>
        <w:tc>
          <w:tcPr>
            <w:tcW w:w="30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DDDDDD"/>
            </w:tcBorders>
            <w:shd w:val="clear" w:color="auto" w:fill="DDDDDD"/>
          </w:tcPr>
          <w:p>
            <w:pPr>
              <w:spacing w:after="0"/>
              <w:rPr>
                <w:sz w:val="16"/>
                <w:szCs w:val="16"/>
                <w:color w:val="auto"/>
              </w:rPr>
            </w:pPr>
          </w:p>
        </w:tc>
      </w:tr>
      <w:tr>
        <w:trPr>
          <w:trHeight w:val="203"/>
        </w:trPr>
        <w:tc>
          <w:tcPr>
            <w:tcW w:w="3760" w:type="dxa"/>
            <w:vAlign w:val="bottom"/>
            <w:tcBorders>
              <w:bottom w:val="single" w:sz="8" w:color="DDDDDD"/>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Cash dividends declared</w:t>
            </w:r>
          </w:p>
        </w:tc>
        <w:tc>
          <w:tcPr>
            <w:tcW w:w="95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 w:type="dxa"/>
            <w:vAlign w:val="bottom"/>
            <w:tcBorders>
              <w:bottom w:val="single" w:sz="8" w:color="DDDDDD"/>
            </w:tcBorders>
          </w:tcPr>
          <w:p>
            <w:pPr>
              <w:spacing w:after="0"/>
              <w:rPr>
                <w:sz w:val="17"/>
                <w:szCs w:val="17"/>
                <w:color w:val="auto"/>
              </w:rPr>
            </w:pPr>
          </w:p>
        </w:tc>
        <w:tc>
          <w:tcPr>
            <w:tcW w:w="620" w:type="dxa"/>
            <w:vAlign w:val="bottom"/>
            <w:tcBorders>
              <w:bottom w:val="single" w:sz="8" w:color="DDDDDD"/>
            </w:tcBorders>
          </w:tcPr>
          <w:p>
            <w:pPr>
              <w:spacing w:after="0"/>
              <w:rPr>
                <w:sz w:val="17"/>
                <w:szCs w:val="17"/>
                <w:color w:val="auto"/>
              </w:rPr>
            </w:pPr>
          </w:p>
        </w:tc>
        <w:tc>
          <w:tcPr>
            <w:tcW w:w="44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94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(190,930 )</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86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7"/>
                <w:szCs w:val="17"/>
                <w:color w:val="auto"/>
              </w:rPr>
            </w:pPr>
          </w:p>
        </w:tc>
        <w:tc>
          <w:tcPr>
            <w:tcW w:w="240" w:type="dxa"/>
            <w:vAlign w:val="bottom"/>
            <w:tcBorders>
              <w:bottom w:val="single" w:sz="8" w:color="DDDDDD"/>
            </w:tcBorders>
          </w:tcPr>
          <w:p>
            <w:pPr>
              <w:spacing w:after="0"/>
              <w:rPr>
                <w:sz w:val="17"/>
                <w:szCs w:val="17"/>
                <w:color w:val="auto"/>
              </w:rPr>
            </w:pPr>
          </w:p>
        </w:tc>
        <w:tc>
          <w:tcPr>
            <w:tcW w:w="10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tcPr>
          <w:p>
            <w:pPr>
              <w:spacing w:after="0"/>
              <w:rPr>
                <w:sz w:val="17"/>
                <w:szCs w:val="17"/>
                <w:color w:val="auto"/>
              </w:rPr>
            </w:pPr>
          </w:p>
        </w:tc>
        <w:tc>
          <w:tcPr>
            <w:tcW w:w="94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(190,930 )</w:t>
            </w:r>
          </w:p>
        </w:tc>
      </w:tr>
      <w:tr>
        <w:trPr>
          <w:trHeight w:val="191"/>
        </w:trPr>
        <w:tc>
          <w:tcPr>
            <w:tcW w:w="3660" w:type="dxa"/>
            <w:vAlign w:val="bottom"/>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pursuant to public</w:t>
            </w:r>
          </w:p>
        </w:tc>
        <w:tc>
          <w:tcPr>
            <w:tcW w:w="100" w:type="dxa"/>
            <w:vAlign w:val="bottom"/>
            <w:gridSpan w:val="2"/>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50" w:type="dxa"/>
            <w:vAlign w:val="bottom"/>
            <w:shd w:val="clear" w:color="auto" w:fill="DDDDDD"/>
          </w:tcPr>
          <w:p>
            <w:pPr>
              <w:spacing w:after="0"/>
              <w:rPr>
                <w:sz w:val="16"/>
                <w:szCs w:val="16"/>
                <w:color w:val="auto"/>
              </w:rPr>
            </w:pPr>
          </w:p>
        </w:tc>
        <w:tc>
          <w:tcPr>
            <w:tcW w:w="9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4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r>
      <w:tr>
        <w:trPr>
          <w:trHeight w:val="228"/>
        </w:trPr>
        <w:tc>
          <w:tcPr>
            <w:tcW w:w="366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offerings, net</w:t>
            </w:r>
          </w:p>
        </w:tc>
        <w:tc>
          <w:tcPr>
            <w:tcW w:w="20" w:type="dxa"/>
            <w:vAlign w:val="bottom"/>
            <w:tcBorders>
              <w:bottom w:val="single" w:sz="8" w:color="DDDDDD"/>
            </w:tcBorders>
            <w:shd w:val="clear" w:color="auto" w:fill="DDDDDD"/>
          </w:tcPr>
          <w:p>
            <w:pPr>
              <w:spacing w:after="0"/>
              <w:rPr>
                <w:sz w:val="19"/>
                <w:szCs w:val="19"/>
                <w:color w:val="auto"/>
              </w:rPr>
            </w:pPr>
          </w:p>
        </w:tc>
        <w:tc>
          <w:tcPr>
            <w:tcW w:w="8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85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100,430</w:t>
            </w:r>
          </w:p>
        </w:tc>
        <w:tc>
          <w:tcPr>
            <w:tcW w:w="90" w:type="dxa"/>
            <w:vAlign w:val="bottom"/>
            <w:tcBorders>
              <w:bottom w:val="single" w:sz="8" w:color="DDDDDD"/>
            </w:tcBorders>
            <w:shd w:val="clear" w:color="auto" w:fill="DDDDDD"/>
          </w:tcPr>
          <w:p>
            <w:pPr>
              <w:spacing w:after="0"/>
              <w:rPr>
                <w:sz w:val="19"/>
                <w:szCs w:val="19"/>
                <w:color w:val="auto"/>
              </w:rPr>
            </w:pPr>
          </w:p>
        </w:tc>
        <w:tc>
          <w:tcPr>
            <w:tcW w:w="620" w:type="dxa"/>
            <w:vAlign w:val="bottom"/>
            <w:tcBorders>
              <w:bottom w:val="single" w:sz="8" w:color="DDDDDD"/>
            </w:tcBorders>
            <w:shd w:val="clear" w:color="auto" w:fill="DDDDDD"/>
          </w:tcPr>
          <w:p>
            <w:pPr>
              <w:spacing w:after="0"/>
              <w:rPr>
                <w:sz w:val="19"/>
                <w:szCs w:val="19"/>
                <w:color w:val="auto"/>
              </w:rPr>
            </w:pPr>
          </w:p>
        </w:tc>
        <w:tc>
          <w:tcPr>
            <w:tcW w:w="4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DDDDDD"/>
            </w:tcBorders>
            <w:shd w:val="clear" w:color="auto" w:fill="DDDDDD"/>
          </w:tcPr>
          <w:p>
            <w:pPr>
              <w:spacing w:after="0"/>
              <w:rPr>
                <w:sz w:val="19"/>
                <w:szCs w:val="19"/>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740,418</w:t>
            </w:r>
          </w:p>
        </w:tc>
        <w:tc>
          <w:tcPr>
            <w:tcW w:w="8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shd w:val="clear" w:color="auto" w:fill="DDDDDD"/>
          </w:tcPr>
          <w:p>
            <w:pPr>
              <w:spacing w:after="0"/>
              <w:rPr>
                <w:sz w:val="19"/>
                <w:szCs w:val="19"/>
                <w:color w:val="auto"/>
              </w:rPr>
            </w:pPr>
          </w:p>
        </w:tc>
        <w:tc>
          <w:tcPr>
            <w:tcW w:w="240" w:type="dxa"/>
            <w:vAlign w:val="bottom"/>
            <w:tcBorders>
              <w:bottom w:val="single" w:sz="8" w:color="DDDDDD"/>
            </w:tcBorders>
            <w:shd w:val="clear" w:color="auto" w:fill="DDDDDD"/>
          </w:tcPr>
          <w:p>
            <w:pPr>
              <w:spacing w:after="0"/>
              <w:rPr>
                <w:sz w:val="19"/>
                <w:szCs w:val="19"/>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shd w:val="clear" w:color="auto" w:fill="DDDDDD"/>
          </w:tcPr>
          <w:p>
            <w:pPr>
              <w:spacing w:after="0"/>
              <w:rPr>
                <w:sz w:val="19"/>
                <w:szCs w:val="19"/>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741,423</w:t>
            </w:r>
          </w:p>
        </w:tc>
        <w:tc>
          <w:tcPr>
            <w:tcW w:w="80" w:type="dxa"/>
            <w:vAlign w:val="bottom"/>
            <w:tcBorders>
              <w:bottom w:val="single" w:sz="8" w:color="DDDDDD"/>
            </w:tcBorders>
            <w:shd w:val="clear" w:color="auto" w:fill="DDDDDD"/>
          </w:tcPr>
          <w:p>
            <w:pPr>
              <w:spacing w:after="0"/>
              <w:rPr>
                <w:sz w:val="19"/>
                <w:szCs w:val="19"/>
                <w:color w:val="auto"/>
              </w:rPr>
            </w:pPr>
          </w:p>
        </w:tc>
      </w:tr>
      <w:tr>
        <w:trPr>
          <w:trHeight w:val="182"/>
        </w:trPr>
        <w:tc>
          <w:tcPr>
            <w:tcW w:w="3660" w:type="dxa"/>
            <w:vAlign w:val="bottom"/>
            <w:tcBorders>
              <w:bottom w:val="single" w:sz="8" w:color="DDDDDD"/>
            </w:tcBorders>
          </w:tcPr>
          <w:p>
            <w:pPr>
              <w:spacing w:after="0" w:line="182" w:lineRule="exact"/>
              <w:rPr>
                <w:sz w:val="20"/>
                <w:szCs w:val="20"/>
                <w:color w:val="auto"/>
              </w:rPr>
            </w:pPr>
            <w:r>
              <w:rPr>
                <w:rFonts w:ascii="Times New Roman" w:cs="Times New Roman" w:eastAsia="Times New Roman" w:hAnsi="Times New Roman"/>
                <w:sz w:val="18"/>
                <w:szCs w:val="18"/>
                <w:color w:val="auto"/>
              </w:rPr>
              <w:t>Stock based awards and amortization</w:t>
            </w:r>
          </w:p>
        </w:tc>
        <w:tc>
          <w:tcPr>
            <w:tcW w:w="20" w:type="dxa"/>
            <w:vAlign w:val="bottom"/>
            <w:tcBorders>
              <w:bottom w:val="single" w:sz="8" w:color="DDDDDD"/>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950" w:type="dxa"/>
            <w:vAlign w:val="bottom"/>
            <w:tcBorders>
              <w:bottom w:val="single" w:sz="8" w:color="DDDDDD"/>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90" w:type="dxa"/>
            <w:vAlign w:val="bottom"/>
            <w:tcBorders>
              <w:bottom w:val="single" w:sz="8" w:color="DDDDDD"/>
            </w:tcBorders>
          </w:tcPr>
          <w:p>
            <w:pPr>
              <w:spacing w:after="0"/>
              <w:rPr>
                <w:sz w:val="15"/>
                <w:szCs w:val="15"/>
                <w:color w:val="auto"/>
              </w:rPr>
            </w:pPr>
          </w:p>
        </w:tc>
        <w:tc>
          <w:tcPr>
            <w:tcW w:w="620" w:type="dxa"/>
            <w:vAlign w:val="bottom"/>
            <w:tcBorders>
              <w:bottom w:val="single" w:sz="8" w:color="DDDDDD"/>
            </w:tcBorders>
          </w:tcPr>
          <w:p>
            <w:pPr>
              <w:spacing w:after="0"/>
              <w:rPr>
                <w:sz w:val="15"/>
                <w:szCs w:val="15"/>
                <w:color w:val="auto"/>
              </w:rPr>
            </w:pPr>
          </w:p>
        </w:tc>
        <w:tc>
          <w:tcPr>
            <w:tcW w:w="44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5"/>
                <w:szCs w:val="15"/>
                <w:color w:val="auto"/>
              </w:rPr>
            </w:pPr>
          </w:p>
        </w:tc>
        <w:tc>
          <w:tcPr>
            <w:tcW w:w="22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906</w:t>
            </w:r>
          </w:p>
        </w:tc>
        <w:tc>
          <w:tcPr>
            <w:tcW w:w="8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15"/>
                <w:szCs w:val="15"/>
                <w:color w:val="auto"/>
              </w:rPr>
            </w:pPr>
          </w:p>
        </w:tc>
        <w:tc>
          <w:tcPr>
            <w:tcW w:w="240" w:type="dxa"/>
            <w:vAlign w:val="bottom"/>
            <w:tcBorders>
              <w:bottom w:val="single" w:sz="8" w:color="DDDDDD"/>
            </w:tcBorders>
          </w:tcPr>
          <w:p>
            <w:pPr>
              <w:spacing w:after="0"/>
              <w:rPr>
                <w:sz w:val="15"/>
                <w:szCs w:val="15"/>
                <w:color w:val="auto"/>
              </w:rPr>
            </w:pPr>
          </w:p>
        </w:tc>
        <w:tc>
          <w:tcPr>
            <w:tcW w:w="108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DDDDD"/>
            </w:tcBorders>
          </w:tcPr>
          <w:p>
            <w:pPr>
              <w:spacing w:after="0"/>
              <w:rPr>
                <w:sz w:val="15"/>
                <w:szCs w:val="15"/>
                <w:color w:val="auto"/>
              </w:rPr>
            </w:pPr>
          </w:p>
        </w:tc>
        <w:tc>
          <w:tcPr>
            <w:tcW w:w="860" w:type="dxa"/>
            <w:vAlign w:val="bottom"/>
            <w:tcBorders>
              <w:bottom w:val="single" w:sz="8" w:color="DDDDDD"/>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906</w:t>
            </w:r>
          </w:p>
        </w:tc>
        <w:tc>
          <w:tcPr>
            <w:tcW w:w="80" w:type="dxa"/>
            <w:vAlign w:val="bottom"/>
            <w:tcBorders>
              <w:bottom w:val="single" w:sz="8" w:color="DDDDDD"/>
            </w:tcBorders>
          </w:tcPr>
          <w:p>
            <w:pPr>
              <w:spacing w:after="0"/>
              <w:rPr>
                <w:sz w:val="15"/>
                <w:szCs w:val="15"/>
                <w:color w:val="auto"/>
              </w:rPr>
            </w:pPr>
          </w:p>
        </w:tc>
      </w:tr>
      <w:tr>
        <w:trPr>
          <w:trHeight w:val="195"/>
        </w:trPr>
        <w:tc>
          <w:tcPr>
            <w:tcW w:w="366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Shares repurchased and retired</w:t>
            </w:r>
          </w:p>
        </w:tc>
        <w:tc>
          <w:tcPr>
            <w:tcW w:w="2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85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(1,113</w:t>
            </w:r>
          </w:p>
        </w:tc>
        <w:tc>
          <w:tcPr>
            <w:tcW w:w="9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620" w:type="dxa"/>
            <w:vAlign w:val="bottom"/>
            <w:tcBorders>
              <w:bottom w:val="single" w:sz="8" w:color="auto"/>
            </w:tcBorders>
            <w:shd w:val="clear" w:color="auto" w:fill="DDDDDD"/>
          </w:tcPr>
          <w:p>
            <w:pPr>
              <w:spacing w:after="0"/>
              <w:rPr>
                <w:sz w:val="16"/>
                <w:szCs w:val="16"/>
                <w:color w:val="auto"/>
              </w:rPr>
            </w:pPr>
          </w:p>
        </w:tc>
        <w:tc>
          <w:tcPr>
            <w:tcW w:w="44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(7,249</w:t>
            </w: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DDDDDD"/>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10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(7,260</w:t>
            </w: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30"/>
        </w:trPr>
        <w:tc>
          <w:tcPr>
            <w:tcW w:w="3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Balances, December 31, 2025</w:t>
            </w:r>
          </w:p>
        </w:tc>
        <w:tc>
          <w:tcPr>
            <w:tcW w:w="95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181,986</w:t>
            </w:r>
          </w:p>
        </w:tc>
        <w:tc>
          <w:tcPr>
            <w:tcW w:w="9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1,553,451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(183,741 )</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1,371,948</w:t>
            </w:r>
          </w:p>
        </w:tc>
        <w:tc>
          <w:tcPr>
            <w:tcW w:w="80" w:type="dxa"/>
            <w:vAlign w:val="bottom"/>
            <w:tcBorders>
              <w:bottom w:val="single" w:sz="8" w:color="auto"/>
            </w:tcBorders>
          </w:tcPr>
          <w:p>
            <w:pPr>
              <w:spacing w:after="0"/>
              <w:rPr>
                <w:sz w:val="20"/>
                <w:szCs w:val="20"/>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5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-1833245</wp:posOffset>
                </wp:positionV>
                <wp:extent cx="68580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4.3499pt" to="540.2pt,-144.3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-1426210</wp:posOffset>
                </wp:positionV>
                <wp:extent cx="68580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12.2999pt" to="540.2pt,-112.2999pt" o:allowincell="f" strokecolor="#FFFFFF" strokeweight="0.24pt"/>
            </w:pict>
          </mc:Fallback>
        </mc:AlternateConten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800"/>
          </w:cols>
          <w:pgMar w:left="720" w:top="1064" w:right="720" w:bottom="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ORCHID ISLAND CAPITAL,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20"/>
                <w:szCs w:val="20"/>
                <w:color w:val="auto"/>
              </w:rPr>
            </w:pPr>
          </w:p>
        </w:tc>
      </w:tr>
      <w:tr>
        <w:trPr>
          <w:trHeight w:val="206"/>
        </w:trPr>
        <w:tc>
          <w:tcPr>
            <w:tcW w:w="5940"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159,030</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(39,226 )</w:t>
            </w:r>
          </w:p>
        </w:tc>
      </w:tr>
      <w:tr>
        <w:trPr>
          <w:trHeight w:val="211"/>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1"/>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8"/>
                <w:szCs w:val="18"/>
                <w:color w:val="auto"/>
              </w:rPr>
            </w:pP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discount accretion on U.S. Treasury securities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 on mortgage-backed securities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22,642</w:t>
            </w:r>
          </w:p>
        </w:tc>
        <w:tc>
          <w:tcPr>
            <w:tcW w:w="100" w:type="dxa"/>
            <w:vAlign w:val="bottom"/>
          </w:tcPr>
          <w:p>
            <w:pPr>
              <w:spacing w:after="0"/>
              <w:rPr>
                <w:sz w:val="18"/>
                <w:szCs w:val="18"/>
                <w:color w:val="auto"/>
              </w:rPr>
            </w:pPr>
          </w:p>
        </w:tc>
      </w:tr>
      <w:tr>
        <w:trPr>
          <w:trHeight w:val="211"/>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Unrealized (gains) losses on mortgage-backed securities and U.S. Treasury</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1"/>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(200,231</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79,842</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18,941</w:t>
            </w:r>
          </w:p>
        </w:tc>
        <w:tc>
          <w:tcPr>
            <w:tcW w:w="100" w:type="dxa"/>
            <w:vAlign w:val="bottom"/>
            <w:shd w:val="clear" w:color="auto" w:fill="DDDDDD"/>
          </w:tcPr>
          <w:p>
            <w:pPr>
              <w:spacing w:after="0"/>
              <w:rPr>
                <w:sz w:val="18"/>
                <w:szCs w:val="18"/>
                <w:color w:val="auto"/>
              </w:rPr>
            </w:pPr>
          </w:p>
        </w:tc>
      </w:t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(46,370 )</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100" w:type="dxa"/>
            <w:vAlign w:val="bottom"/>
          </w:tcPr>
          <w:p>
            <w:pPr>
              <w:spacing w:after="0"/>
              <w:rPr>
                <w:sz w:val="18"/>
                <w:szCs w:val="18"/>
                <w:color w:val="auto"/>
              </w:rPr>
            </w:pP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8"/>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(26,083 )</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(8,093 )</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(3,432 )</w:t>
            </w:r>
          </w:p>
        </w:tc>
      </w:tr>
      <w:tr>
        <w:trPr>
          <w:trHeight w:val="216"/>
        </w:trPr>
        <w:tc>
          <w:tcPr>
            <w:tcW w:w="594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(1,270 )</w:t>
            </w:r>
          </w:p>
        </w:tc>
      </w:tr>
      <w:tr>
        <w:trPr>
          <w:trHeight w:val="218"/>
        </w:trPr>
        <w:tc>
          <w:tcPr>
            <w:tcW w:w="594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DDDDDD"/>
          </w:tcPr>
          <w:p>
            <w:pPr>
              <w:spacing w:after="0"/>
              <w:rPr>
                <w:sz w:val="18"/>
                <w:szCs w:val="18"/>
                <w:color w:val="auto"/>
              </w:rPr>
            </w:pPr>
          </w:p>
        </w:tc>
      </w:tr>
      <w:tr>
        <w:trPr>
          <w:trHeight w:val="218"/>
        </w:trPr>
        <w:tc>
          <w:tcPr>
            <w:tcW w:w="5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Due to affiliates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08"/>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120,449</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66,990</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Borders>
              <w:bottom w:val="single" w:sz="8" w:color="auto"/>
            </w:tcBorders>
            <w:shd w:val="clear" w:color="auto" w:fill="DDDDDD"/>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From mortgage-backed securities investments: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94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Purchases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(7,464,907</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(2,393,320</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(1,521,070</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maturities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797,633</w:t>
            </w:r>
          </w:p>
        </w:tc>
        <w:tc>
          <w:tcPr>
            <w:tcW w:w="100" w:type="dxa"/>
            <w:vAlign w:val="bottom"/>
          </w:tcPr>
          <w:p>
            <w:pPr>
              <w:spacing w:after="0"/>
              <w:rPr>
                <w:sz w:val="18"/>
                <w:szCs w:val="18"/>
                <w:color w:val="auto"/>
              </w:rPr>
            </w:pPr>
          </w:p>
        </w:tc>
      </w:tr>
      <w:tr>
        <w:trPr>
          <w:trHeight w:val="218"/>
        </w:trPr>
        <w:tc>
          <w:tcPr>
            <w:tcW w:w="5940" w:type="dxa"/>
            <w:vAlign w:val="bottom"/>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Principal repayments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903,378</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495,306</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326,720</w:t>
            </w:r>
          </w:p>
        </w:tc>
        <w:tc>
          <w:tcPr>
            <w:tcW w:w="100" w:type="dxa"/>
            <w:vAlign w:val="bottom"/>
            <w:shd w:val="clear" w:color="auto" w:fill="DDDDDD"/>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U.S. Treasury securities</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(108,610 )</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(445,866 )</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(97,787 )</w:t>
            </w:r>
          </w:p>
        </w:tc>
      </w:tr>
      <w:tr>
        <w:trPr>
          <w:trHeight w:val="218"/>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Maturity of U.S. Treasury securities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shd w:val="clear" w:color="auto" w:fill="DDDDDD"/>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payments on reverse repurchase agreements</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(128,613 )</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8"/>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(payments on) proceeds from derivative instruments</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(32,383</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tcBorders>
              <w:bottom w:val="single" w:sz="8" w:color="auto"/>
            </w:tcBorders>
            <w:shd w:val="clear" w:color="auto" w:fill="DDDDDD"/>
          </w:tcPr>
          <w:p>
            <w:pPr>
              <w:spacing w:after="0"/>
              <w:rPr>
                <w:sz w:val="18"/>
                <w:szCs w:val="18"/>
                <w:color w:val="auto"/>
              </w:rPr>
            </w:pPr>
          </w:p>
        </w:tc>
      </w:tr>
      <w:tr>
        <w:trPr>
          <w:trHeight w:val="213"/>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(5,376,044 )</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(1,415,487 )</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(441,064 )</w:t>
            </w:r>
          </w:p>
        </w:tc>
      </w:tr>
      <w:tr>
        <w:trPr>
          <w:trHeight w:val="206"/>
        </w:trPr>
        <w:tc>
          <w:tcPr>
            <w:tcW w:w="594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Proceeds from repurchase agreements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65,830,796</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45,596,555</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37,761,388</w:t>
            </w:r>
          </w:p>
        </w:tc>
        <w:tc>
          <w:tcPr>
            <w:tcW w:w="100" w:type="dxa"/>
            <w:vAlign w:val="bottom"/>
            <w:shd w:val="clear" w:color="auto" w:fill="DDDDDD"/>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repurchase agreements</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(60,740,873 )</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(44,276,661 )</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(37,434,184 )</w:t>
            </w:r>
          </w:p>
        </w:tc>
      </w:tr>
      <w:tr>
        <w:trPr>
          <w:trHeight w:val="218"/>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(178,863</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(92,503</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(80,754</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159,438</w:t>
            </w:r>
          </w:p>
        </w:tc>
        <w:tc>
          <w:tcPr>
            <w:tcW w:w="100" w:type="dxa"/>
            <w:vAlign w:val="bottom"/>
          </w:tcPr>
          <w:p>
            <w:pPr>
              <w:spacing w:after="0"/>
              <w:rPr>
                <w:sz w:val="18"/>
                <w:szCs w:val="18"/>
                <w:color w:val="auto"/>
              </w:rPr>
            </w:pPr>
          </w:p>
        </w:tc>
      </w:tr>
      <w:tr>
        <w:trPr>
          <w:trHeight w:val="214"/>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Common stock repurchases, including shares withheld from employee stock</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09"/>
        </w:trPr>
        <w:tc>
          <w:tcPr>
            <w:tcW w:w="5940" w:type="dxa"/>
            <w:vAlign w:val="bottom"/>
            <w:tcBorders>
              <w:bottom w:val="single" w:sz="8" w:color="auto"/>
            </w:tcBorders>
            <w:shd w:val="clear" w:color="auto" w:fill="DDDDDD"/>
          </w:tcPr>
          <w:p>
            <w:pPr>
              <w:ind w:left="180"/>
              <w:spacing w:after="0" w:line="204" w:lineRule="exact"/>
              <w:rPr>
                <w:sz w:val="20"/>
                <w:szCs w:val="20"/>
                <w:color w:val="auto"/>
              </w:rPr>
            </w:pPr>
            <w:r>
              <w:rPr>
                <w:rFonts w:ascii="Times New Roman" w:cs="Times New Roman" w:eastAsia="Times New Roman" w:hAnsi="Times New Roman"/>
                <w:sz w:val="18"/>
                <w:szCs w:val="18"/>
                <w:color w:val="auto"/>
              </w:rPr>
              <w:t>awards for payment of taxes</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line="204" w:lineRule="exact"/>
              <w:rPr>
                <w:sz w:val="20"/>
                <w:szCs w:val="20"/>
                <w:color w:val="auto"/>
              </w:rPr>
            </w:pPr>
            <w:r>
              <w:rPr>
                <w:rFonts w:ascii="Times New Roman" w:cs="Times New Roman" w:eastAsia="Times New Roman" w:hAnsi="Times New Roman"/>
                <w:sz w:val="18"/>
                <w:szCs w:val="18"/>
                <w:color w:val="auto"/>
              </w:rPr>
              <w:t>(7,380</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line="204" w:lineRule="exact"/>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line="204" w:lineRule="exact"/>
              <w:rPr>
                <w:sz w:val="20"/>
                <w:szCs w:val="20"/>
                <w:color w:val="auto"/>
              </w:rPr>
            </w:pPr>
            <w:r>
              <w:rPr>
                <w:rFonts w:ascii="Times New Roman" w:cs="Times New Roman" w:eastAsia="Times New Roman" w:hAnsi="Times New Roman"/>
                <w:sz w:val="18"/>
                <w:szCs w:val="18"/>
                <w:color w:val="auto"/>
              </w:rPr>
              <w:t>(9,757</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5"/>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5,645,103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1,483,261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396,131</w:t>
            </w:r>
          </w:p>
        </w:tc>
        <w:tc>
          <w:tcPr>
            <w:tcW w:w="100" w:type="dxa"/>
            <w:vAlign w:val="bottom"/>
            <w:tcBorders>
              <w:bottom w:val="single" w:sz="8" w:color="auto"/>
            </w:tcBorders>
          </w:tcPr>
          <w:p>
            <w:pPr>
              <w:spacing w:after="0"/>
              <w:rPr>
                <w:sz w:val="18"/>
                <w:szCs w:val="18"/>
                <w:color w:val="auto"/>
              </w:rPr>
            </w:pPr>
          </w:p>
        </w:tc>
      </w:tr>
      <w:tr>
        <w:trPr>
          <w:trHeight w:val="206"/>
        </w:trPr>
        <w:tc>
          <w:tcPr>
            <w:tcW w:w="594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r>
      <w:tr>
        <w:trPr>
          <w:trHeight w:val="195"/>
        </w:trPr>
        <w:tc>
          <w:tcPr>
            <w:tcW w:w="59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(36,930 )</w:t>
            </w:r>
          </w:p>
        </w:tc>
      </w:tr>
      <w:tr>
        <w:trPr>
          <w:trHeight w:val="211"/>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1"/>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335,053</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200,289</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237,219</w:t>
            </w:r>
          </w:p>
        </w:tc>
        <w:tc>
          <w:tcPr>
            <w:tcW w:w="100" w:type="dxa"/>
            <w:vAlign w:val="bottom"/>
            <w:tcBorders>
              <w:bottom w:val="single" w:sz="8" w:color="auto"/>
            </w:tcBorders>
            <w:shd w:val="clear" w:color="auto" w:fill="DDDDDD"/>
          </w:tcPr>
          <w:p>
            <w:pPr>
              <w:spacing w:after="0"/>
              <w:rPr>
                <w:sz w:val="18"/>
                <w:szCs w:val="18"/>
                <w:color w:val="auto"/>
              </w:rPr>
            </w:pPr>
          </w:p>
        </w:tc>
      </w:tr>
      <w:tr>
        <w:trPr>
          <w:trHeight w:val="230"/>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the period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724,561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335,053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200,289</w:t>
            </w:r>
          </w:p>
        </w:tc>
        <w:tc>
          <w:tcPr>
            <w:tcW w:w="100" w:type="dxa"/>
            <w:vAlign w:val="bottom"/>
            <w:tcBorders>
              <w:bottom w:val="single" w:sz="8" w:color="auto"/>
            </w:tcBorders>
          </w:tcPr>
          <w:p>
            <w:pPr>
              <w:spacing w:after="0"/>
              <w:rPr>
                <w:sz w:val="19"/>
                <w:szCs w:val="19"/>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4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285,084</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233,471</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203,188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-3794760</wp:posOffset>
                </wp:positionV>
                <wp:extent cx="68580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98.7999pt" to="540.2pt,-298.7999pt" o:allowincell="f" strokecolor="#FFFFFF" strokeweight="0.24pt"/>
            </w:pict>
          </mc:Fallback>
        </mc:AlternateConten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1064" w:right="720" w:bottom="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ORCHID ISLAND CAPITAL,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ORGANIZATION AND SIGNIFICANT ACCOUNTING POLICIES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 and Business Description</w:t>
      </w:r>
    </w:p>
    <w:p>
      <w:pPr>
        <w:spacing w:after="0" w:line="233" w:lineRule="exact"/>
        <w:rPr>
          <w:sz w:val="20"/>
          <w:szCs w:val="20"/>
          <w:color w:val="auto"/>
        </w:rPr>
      </w:pPr>
    </w:p>
    <w:p>
      <w:pPr>
        <w:ind w:right="100" w:firstLine="499"/>
        <w:spacing w:after="0" w:line="247" w:lineRule="auto"/>
        <w:rPr>
          <w:sz w:val="20"/>
          <w:szCs w:val="20"/>
          <w:color w:val="auto"/>
        </w:rPr>
      </w:pPr>
      <w:r>
        <w:rPr>
          <w:rFonts w:ascii="Times New Roman" w:cs="Times New Roman" w:eastAsia="Times New Roman" w:hAnsi="Times New Roman"/>
          <w:sz w:val="20"/>
          <w:szCs w:val="20"/>
          <w:color w:val="auto"/>
        </w:rPr>
        <w:t>Orchid Island Capital, Inc. (“Orchid” or the “Company”), was incorporated in Maryland on August 17, 2010 for the purpose of creating and managing a leveraged investment portfolio consisting of residential mortgage-backed securities (“RMBS”). From incorporation to the completion of Orchid's initial public offering of its common stock on February 20, 2013 Orchid was a wholly owned subsidiary of Bimini Capital Management, Inc. (“Bimini”). Orchid began operations on November 24, 2010 (the date of commencement of operations). From incorporation through November 24, 2010, Orchid’s only activity was the issuance of common stock to Bimini.</w:t>
      </w:r>
    </w:p>
    <w:p>
      <w:pPr>
        <w:spacing w:after="0" w:line="191" w:lineRule="exact"/>
        <w:rPr>
          <w:sz w:val="20"/>
          <w:szCs w:val="20"/>
          <w:color w:val="auto"/>
        </w:rPr>
      </w:pPr>
    </w:p>
    <w:p>
      <w:pPr>
        <w:ind w:firstLine="499"/>
        <w:spacing w:after="0" w:line="247" w:lineRule="auto"/>
        <w:rPr>
          <w:sz w:val="20"/>
          <w:szCs w:val="20"/>
          <w:color w:val="auto"/>
        </w:rPr>
      </w:pPr>
      <w:r>
        <w:rPr>
          <w:rFonts w:ascii="Times New Roman" w:cs="Times New Roman" w:eastAsia="Times New Roman" w:hAnsi="Times New Roman"/>
          <w:sz w:val="20"/>
          <w:szCs w:val="20"/>
          <w:color w:val="auto"/>
        </w:rPr>
        <w:t>On October 29, 2021, Orchid entered into an equity distribution agreement (the “October 2021 Equity Distribution Agreement”) with four sales agents pursuant to which the Company could offer and sell, from time to time, up to an aggregate amount of $250,000,000 of shares of the Company’s common stock in transactions that were deemed to be “at the market” offerings and privately negotiated transactions. The Company issued a total of 9,742,188 shares under the October 2021 Equity Distribution Agreement for aggregate gross proceeds of approximately $151.8 million, and net proceeds of approximately $149.3 million, after commissions and fees, prior to its termination in March 2023.</w:t>
      </w:r>
    </w:p>
    <w:p>
      <w:pPr>
        <w:spacing w:after="0" w:line="191" w:lineRule="exact"/>
        <w:rPr>
          <w:sz w:val="20"/>
          <w:szCs w:val="20"/>
          <w:color w:val="auto"/>
        </w:rPr>
      </w:pPr>
    </w:p>
    <w:p>
      <w:pPr>
        <w:ind w:right="340" w:firstLine="499"/>
        <w:spacing w:after="0" w:line="247" w:lineRule="auto"/>
        <w:rPr>
          <w:sz w:val="20"/>
          <w:szCs w:val="20"/>
          <w:color w:val="auto"/>
        </w:rPr>
      </w:pPr>
      <w:r>
        <w:rPr>
          <w:rFonts w:ascii="Times New Roman" w:cs="Times New Roman" w:eastAsia="Times New Roman" w:hAnsi="Times New Roman"/>
          <w:sz w:val="20"/>
          <w:szCs w:val="20"/>
          <w:color w:val="auto"/>
        </w:rPr>
        <w:t>On March 7, 2023, Orchid entered into an equity distribution agreement (the “March 2023 Equity Distribution Agreement”) with three sales agents pursuant to which the Company could offer and sell, from time to time, up to an aggregate amount of $250,000,000 of shares of the Company’s common stock in transactions that were deemed to be “at the market” offerings and privately negotiated transactions. The Company issued a total of 24,675,497 shares under the March 2023 Equity Distribution Agreement for aggregate gross proceeds of approximately $228.8 million and net proceeds of approximately $225.0 million, after commissions and fees, prior to its termination in June 2024.</w:t>
      </w:r>
    </w:p>
    <w:p>
      <w:pPr>
        <w:spacing w:after="0" w:line="191" w:lineRule="exact"/>
        <w:rPr>
          <w:sz w:val="20"/>
          <w:szCs w:val="20"/>
          <w:color w:val="auto"/>
        </w:rPr>
      </w:pPr>
    </w:p>
    <w:p>
      <w:pPr>
        <w:ind w:right="80" w:firstLine="499"/>
        <w:spacing w:after="0" w:line="247" w:lineRule="auto"/>
        <w:rPr>
          <w:sz w:val="20"/>
          <w:szCs w:val="20"/>
          <w:color w:val="auto"/>
        </w:rPr>
      </w:pPr>
      <w:r>
        <w:rPr>
          <w:rFonts w:ascii="Times New Roman" w:cs="Times New Roman" w:eastAsia="Times New Roman" w:hAnsi="Times New Roman"/>
          <w:sz w:val="20"/>
          <w:szCs w:val="20"/>
          <w:color w:val="auto"/>
        </w:rPr>
        <w:t>On June 11, 2024, Orchid entered into an equity distribution agreement (the “June 2024 Equity Distribution Agreement”) with three sales agents pursuant to which the Company could offer and sell, from time to time, up to an aggregate amount of $250,000,000 of gross proceeds from the sales of shares of the Company’s common stock in transactions that were deemed to be “at the market” offerings and privately negotiated transactions. The Company issued a total of 30,513,253 shares under the June 2024 Equity Distribution Agreement for aggregate gross proceeds of approximately $250.0 million and net proceeds of approximately $245.8 million, after commissions and fees, prior to its termination in February 2025.</w:t>
      </w:r>
    </w:p>
    <w:p>
      <w:pPr>
        <w:spacing w:after="0" w:line="191"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20"/>
          <w:szCs w:val="20"/>
          <w:color w:val="auto"/>
        </w:rPr>
        <w:t>On February 24, 2025, Orchid entered into an equity distribution agreement (the “February 2025 Equity Distribution Agreement”) with four sales agents pursuant to which the Company could offer and sell, from time to time, up to an aggregate amount of $350,000,000 of gross proceeds from the sales of shares of the Company’s common stock in transactions that are deemed to be “at the market” offerings and privately negotiated transactions. On July 28, 2025, the February 2025 Equity Distribution Agreement was amended to increase the aggregate amount of gross proceeds from the sales of shares that may be offered by $ 150,000,000 to a total of $500,000,000. The Company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On October 27, 2025, Orchid entered into an equity distribution agreement (the “October 2025 Equity Distribution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four sales agents pursuant to which the Company may offer and sell, from time to time, up to an aggregate amount of</w:t>
      </w:r>
    </w:p>
    <w:p>
      <w:pPr>
        <w:spacing w:after="0" w:line="238" w:lineRule="auto"/>
        <w:rPr>
          <w:sz w:val="20"/>
          <w:szCs w:val="20"/>
          <w:color w:val="auto"/>
        </w:rPr>
      </w:pPr>
      <w:r>
        <w:rPr>
          <w:rFonts w:ascii="Times New Roman" w:cs="Times New Roman" w:eastAsia="Times New Roman" w:hAnsi="Times New Roman"/>
          <w:sz w:val="20"/>
          <w:szCs w:val="20"/>
          <w:color w:val="auto"/>
        </w:rPr>
        <w:t>$500,000,000 of shares of the Company’s common stock in transactions that are deemed to be “at the market” offerings and privately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negotiated transactions. Through December 31, 2025, the Company issued a total of 30,265,963 shares under the October 2025 Equity</w:t>
      </w:r>
    </w:p>
    <w:p>
      <w:pPr>
        <w:spacing w:after="0"/>
        <w:rPr>
          <w:sz w:val="20"/>
          <w:szCs w:val="20"/>
          <w:color w:val="auto"/>
        </w:rPr>
      </w:pPr>
      <w:r>
        <w:rPr>
          <w:rFonts w:ascii="Times New Roman" w:cs="Times New Roman" w:eastAsia="Times New Roman" w:hAnsi="Times New Roman"/>
          <w:sz w:val="20"/>
          <w:szCs w:val="20"/>
          <w:color w:val="auto"/>
        </w:rPr>
        <w:t>Distribution Agreement for aggregate gross proceeds of approximately $223.1 million, and net proceeds of approximately $219.7</w:t>
      </w:r>
    </w:p>
    <w:p>
      <w:pPr>
        <w:spacing w:after="0"/>
        <w:rPr>
          <w:sz w:val="20"/>
          <w:szCs w:val="20"/>
          <w:color w:val="auto"/>
        </w:rPr>
      </w:pPr>
      <w:r>
        <w:rPr>
          <w:rFonts w:ascii="Times New Roman" w:cs="Times New Roman" w:eastAsia="Times New Roman" w:hAnsi="Times New Roman"/>
          <w:sz w:val="20"/>
          <w:szCs w:val="20"/>
          <w:color w:val="auto"/>
        </w:rPr>
        <w:t>million, after commissions and fees. Subsequent to December 31, 2025, the Company issued a total of 8,707,492 shares under the</w:t>
      </w:r>
    </w:p>
    <w:p>
      <w:pPr>
        <w:spacing w:after="0"/>
        <w:rPr>
          <w:sz w:val="20"/>
          <w:szCs w:val="20"/>
          <w:color w:val="auto"/>
        </w:rPr>
      </w:pPr>
      <w:r>
        <w:rPr>
          <w:rFonts w:ascii="Times New Roman" w:cs="Times New Roman" w:eastAsia="Times New Roman" w:hAnsi="Times New Roman"/>
          <w:sz w:val="20"/>
          <w:szCs w:val="20"/>
          <w:color w:val="auto"/>
        </w:rPr>
        <w:t>October 2025 Equity Distribution Agreement for aggregate gross proceeds of approximately $66.2 million, and net proceeds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approximately $65.2 million, after commissions and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780"/>
          </w:cols>
          <w:pgMar w:left="720" w:top="784" w:right="740" w:bottom="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Basis of Presentation and Use of Estimates</w:t>
      </w:r>
    </w:p>
    <w:p>
      <w:pPr>
        <w:spacing w:after="0" w:line="233" w:lineRule="exact"/>
        <w:rPr>
          <w:sz w:val="20"/>
          <w:szCs w:val="20"/>
          <w:color w:val="auto"/>
        </w:rPr>
      </w:pPr>
    </w:p>
    <w:p>
      <w:pPr>
        <w:ind w:right="100" w:firstLine="499"/>
        <w:spacing w:after="0" w:line="246" w:lineRule="auto"/>
        <w:rPr>
          <w:sz w:val="20"/>
          <w:szCs w:val="20"/>
          <w:color w:val="auto"/>
        </w:rPr>
      </w:pPr>
      <w:r>
        <w:rPr>
          <w:rFonts w:ascii="Times New Roman" w:cs="Times New Roman" w:eastAsia="Times New Roman" w:hAnsi="Times New Roman"/>
          <w:sz w:val="20"/>
          <w:szCs w:val="20"/>
          <w:color w:val="auto"/>
        </w:rPr>
        <w:t>The accompanying financial statements have been prepared in accordance with accounting principles generally accepted in the United States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significantly differ from those estimates. The significant estimates affecting the accompanying financial statements are the fair values of RMBS and derivatives. Management believes the estimates and assumptions underlying the financial statements are reasonable based on the information available as of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Interest Entities (VIEs)</w:t>
      </w:r>
    </w:p>
    <w:p>
      <w:pPr>
        <w:spacing w:after="0" w:line="235" w:lineRule="exact"/>
        <w:rPr>
          <w:sz w:val="20"/>
          <w:szCs w:val="20"/>
          <w:color w:val="auto"/>
        </w:rPr>
      </w:pPr>
    </w:p>
    <w:p>
      <w:pPr>
        <w:ind w:right="40" w:firstLine="499"/>
        <w:spacing w:after="0" w:line="249" w:lineRule="auto"/>
        <w:rPr>
          <w:sz w:val="20"/>
          <w:szCs w:val="20"/>
          <w:color w:val="auto"/>
        </w:rPr>
      </w:pPr>
      <w:r>
        <w:rPr>
          <w:rFonts w:ascii="Times New Roman" w:cs="Times New Roman" w:eastAsia="Times New Roman" w:hAnsi="Times New Roman"/>
          <w:sz w:val="20"/>
          <w:szCs w:val="20"/>
          <w:color w:val="auto"/>
        </w:rPr>
        <w:t>The Company obtains interests in VIEs through its investments in mortgage- backed securities. The Company's interests in these VIEs are passive in nature and are not expected to result in the Company obtaining a controlling financial interest in these VIEs in the future. As a result, the Company does not consolidate these VIEs and accounts for these interests in these VIEs as mortgage-backed securities. See Note 2 for additional information regarding the Company's investments in mortgage-backed securities. The maximum exposure to loss for these VIEs is the carrying value of the mortgage-backed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w:t>
      </w:r>
    </w:p>
    <w:p>
      <w:pPr>
        <w:spacing w:after="0" w:line="233" w:lineRule="exact"/>
        <w:rPr>
          <w:sz w:val="20"/>
          <w:szCs w:val="20"/>
          <w:color w:val="auto"/>
        </w:rPr>
      </w:pPr>
    </w:p>
    <w:p>
      <w:pPr>
        <w:ind w:right="680" w:firstLine="499"/>
        <w:spacing w:after="0" w:line="259" w:lineRule="auto"/>
        <w:rPr>
          <w:sz w:val="20"/>
          <w:szCs w:val="20"/>
          <w:color w:val="auto"/>
        </w:rPr>
      </w:pPr>
      <w:r>
        <w:rPr>
          <w:rFonts w:ascii="Times New Roman" w:cs="Times New Roman" w:eastAsia="Times New Roman" w:hAnsi="Times New Roman"/>
          <w:sz w:val="20"/>
          <w:szCs w:val="20"/>
          <w:color w:val="auto"/>
        </w:rPr>
        <w:t>Cash and cash equivalents include cash on deposit with financial institutions and highly liquid investments with original maturities of three months or less at the time of purchase. Restricted cash includes cash pledged as collateral for repurchase agreements and other borrowings, and interest rate swaps and other derivative instruments.</w:t>
      </w:r>
    </w:p>
    <w:p>
      <w:pPr>
        <w:spacing w:after="0" w:line="175" w:lineRule="exact"/>
        <w:rPr>
          <w:sz w:val="20"/>
          <w:szCs w:val="20"/>
          <w:color w:val="auto"/>
        </w:rPr>
      </w:pPr>
    </w:p>
    <w:p>
      <w:pPr>
        <w:ind w:right="460" w:firstLine="499"/>
        <w:spacing w:after="0" w:line="277"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45" w:type="dxa"/>
            <w:vAlign w:val="bottom"/>
            <w:tcBorders>
              <w:top w:val="single" w:sz="8" w:color="auto"/>
            </w:tcBorders>
          </w:tcPr>
          <w:p>
            <w:pPr>
              <w:spacing w:after="0"/>
              <w:rPr>
                <w:sz w:val="15"/>
                <w:szCs w:val="15"/>
                <w:color w:val="auto"/>
              </w:rPr>
            </w:pPr>
          </w:p>
        </w:tc>
        <w:tc>
          <w:tcPr>
            <w:tcW w:w="135" w:type="dxa"/>
            <w:vAlign w:val="bottom"/>
            <w:tcBorders>
              <w:top w:val="single" w:sz="8" w:color="auto"/>
            </w:tcBorders>
          </w:tcPr>
          <w:p>
            <w:pPr>
              <w:spacing w:after="0"/>
              <w:rPr>
                <w:sz w:val="15"/>
                <w:szCs w:val="15"/>
                <w:color w:val="auto"/>
              </w:rPr>
            </w:pPr>
          </w:p>
        </w:tc>
        <w:tc>
          <w:tcPr>
            <w:tcW w:w="1479" w:type="dxa"/>
            <w:vAlign w:val="bottom"/>
            <w:tcBorders>
              <w:top w:val="single" w:sz="8" w:color="auto"/>
            </w:tcBorders>
          </w:tcPr>
          <w:p>
            <w:pPr>
              <w:jc w:val="right"/>
              <w:ind w:right="269"/>
              <w:spacing w:after="0" w:line="18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1"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190"/>
              <w:spacing w:after="0" w:line="18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7645" w:type="dxa"/>
            <w:vAlign w:val="bottom"/>
            <w:tcBorders>
              <w:bottom w:val="single" w:sz="8" w:color="auto"/>
            </w:tcBorders>
          </w:tcPr>
          <w:p>
            <w:pPr>
              <w:spacing w:after="0"/>
              <w:rPr>
                <w:sz w:val="20"/>
                <w:szCs w:val="20"/>
                <w:color w:val="auto"/>
              </w:rPr>
            </w:pPr>
          </w:p>
        </w:tc>
        <w:tc>
          <w:tcPr>
            <w:tcW w:w="135" w:type="dxa"/>
            <w:vAlign w:val="bottom"/>
            <w:tcBorders>
              <w:bottom w:val="single" w:sz="8" w:color="auto"/>
            </w:tcBorders>
          </w:tcPr>
          <w:p>
            <w:pPr>
              <w:spacing w:after="0"/>
              <w:rPr>
                <w:sz w:val="20"/>
                <w:szCs w:val="20"/>
                <w:color w:val="auto"/>
              </w:rPr>
            </w:pPr>
          </w:p>
        </w:tc>
        <w:tc>
          <w:tcPr>
            <w:tcW w:w="1479"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1"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6"/>
        </w:trPr>
        <w:tc>
          <w:tcPr>
            <w:tcW w:w="7645"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Cash and cash equivalents</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79" w:type="dxa"/>
            <w:vAlign w:val="bottom"/>
            <w:shd w:val="clear" w:color="auto" w:fill="DDDDDD"/>
          </w:tcPr>
          <w:p>
            <w:pPr>
              <w:jc w:val="right"/>
              <w:ind w:right="89"/>
              <w:spacing w:after="0" w:line="206" w:lineRule="exact"/>
              <w:rPr>
                <w:sz w:val="20"/>
                <w:szCs w:val="20"/>
                <w:color w:val="auto"/>
              </w:rPr>
            </w:pPr>
            <w:r>
              <w:rPr>
                <w:rFonts w:ascii="Times New Roman" w:cs="Times New Roman" w:eastAsia="Times New Roman" w:hAnsi="Times New Roman"/>
                <w:sz w:val="18"/>
                <w:szCs w:val="18"/>
                <w:color w:val="auto"/>
              </w:rPr>
              <w:t>665,865</w:t>
            </w:r>
          </w:p>
        </w:tc>
        <w:tc>
          <w:tcPr>
            <w:tcW w:w="141"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shd w:val="clear" w:color="auto" w:fill="DDDDDD"/>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309,330</w:t>
            </w:r>
          </w:p>
        </w:tc>
      </w:tr>
      <w:tr>
        <w:trPr>
          <w:trHeight w:val="221"/>
        </w:trPr>
        <w:tc>
          <w:tcPr>
            <w:tcW w:w="764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5" w:type="dxa"/>
            <w:vAlign w:val="bottom"/>
            <w:tcBorders>
              <w:bottom w:val="single" w:sz="8" w:color="auto"/>
            </w:tcBorders>
          </w:tcPr>
          <w:p>
            <w:pPr>
              <w:spacing w:after="0"/>
              <w:rPr>
                <w:sz w:val="19"/>
                <w:szCs w:val="19"/>
                <w:color w:val="auto"/>
              </w:rPr>
            </w:pPr>
          </w:p>
        </w:tc>
        <w:tc>
          <w:tcPr>
            <w:tcW w:w="1479"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58,696</w:t>
            </w:r>
          </w:p>
        </w:tc>
        <w:tc>
          <w:tcPr>
            <w:tcW w:w="141"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25,723</w:t>
            </w:r>
          </w:p>
        </w:tc>
      </w:tr>
      <w:tr>
        <w:trPr>
          <w:trHeight w:val="230"/>
        </w:trPr>
        <w:tc>
          <w:tcPr>
            <w:tcW w:w="7645"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35"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479" w:type="dxa"/>
            <w:vAlign w:val="bottom"/>
            <w:tcBorders>
              <w:bottom w:val="single" w:sz="8" w:color="DDDDDD"/>
            </w:tcBorders>
            <w:shd w:val="clear" w:color="auto" w:fill="DDDDDD"/>
          </w:tcPr>
          <w:p>
            <w:pPr>
              <w:jc w:val="right"/>
              <w:ind w:right="89"/>
              <w:spacing w:after="0" w:line="201" w:lineRule="exact"/>
              <w:rPr>
                <w:sz w:val="20"/>
                <w:szCs w:val="20"/>
                <w:color w:val="auto"/>
              </w:rPr>
            </w:pPr>
            <w:r>
              <w:rPr>
                <w:rFonts w:ascii="Times New Roman" w:cs="Times New Roman" w:eastAsia="Times New Roman" w:hAnsi="Times New Roman"/>
                <w:sz w:val="18"/>
                <w:szCs w:val="18"/>
                <w:color w:val="auto"/>
              </w:rPr>
              <w:t>724,561</w:t>
            </w:r>
          </w:p>
        </w:tc>
        <w:tc>
          <w:tcPr>
            <w:tcW w:w="141"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tcBorders>
              <w:bottom w:val="single" w:sz="8" w:color="DDDDDD"/>
            </w:tcBorders>
            <w:shd w:val="clear" w:color="auto" w:fill="DDDDDD"/>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rPr>
              <w:t>335,053</w:t>
            </w:r>
          </w:p>
        </w:tc>
      </w:tr>
      <w:tr>
        <w:trPr>
          <w:trHeight w:val="20"/>
        </w:trPr>
        <w:tc>
          <w:tcPr>
            <w:tcW w:w="764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79" w:type="dxa"/>
            <w:vAlign w:val="bottom"/>
            <w:tcBorders>
              <w:top w:val="single" w:sz="8" w:color="auto"/>
              <w:bottom w:val="single" w:sz="8" w:color="auto"/>
            </w:tcBorders>
          </w:tcPr>
          <w:p>
            <w:pPr>
              <w:spacing w:after="0" w:line="20" w:lineRule="exact"/>
              <w:rPr>
                <w:sz w:val="1"/>
                <w:szCs w:val="1"/>
                <w:color w:val="auto"/>
              </w:rPr>
            </w:pPr>
          </w:p>
        </w:tc>
        <w:tc>
          <w:tcPr>
            <w:tcW w:w="141"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40" w:firstLine="499"/>
        <w:spacing w:after="0" w:line="247" w:lineRule="auto"/>
        <w:rPr>
          <w:sz w:val="20"/>
          <w:szCs w:val="20"/>
          <w:color w:val="auto"/>
        </w:rPr>
      </w:pPr>
      <w:r>
        <w:rPr>
          <w:rFonts w:ascii="Times New Roman" w:cs="Times New Roman" w:eastAsia="Times New Roman" w:hAnsi="Times New Roman"/>
          <w:sz w:val="20"/>
          <w:szCs w:val="20"/>
          <w:color w:val="auto"/>
        </w:rPr>
        <w:t>The Company maintains cash balances at three banks, a government securities backed overnight sweep fund, and excess margin on account with three exchange clearing members. At times, balances may exceed federally insured limits. The Company has not experienced any losses related to these balances. Restricted cash balances are uninsured, but are held in separate customer accounts that are segregated from the general funds of the counterparty. The Company limits uninsured balances to only large, well-known banks and exchange clearing members and believes that it is not exposed to any significant credit risk on cash and cash equivalents or restricted cash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Mortgage-Backed Securities and U.S. Treasury Securities</w:t>
      </w:r>
    </w:p>
    <w:p>
      <w:pPr>
        <w:spacing w:after="0" w:line="235" w:lineRule="exact"/>
        <w:rPr>
          <w:sz w:val="20"/>
          <w:szCs w:val="20"/>
          <w:color w:val="auto"/>
        </w:rPr>
      </w:pPr>
    </w:p>
    <w:p>
      <w:pPr>
        <w:ind w:right="20" w:firstLine="500"/>
        <w:spacing w:after="0" w:line="244" w:lineRule="auto"/>
        <w:rPr>
          <w:sz w:val="20"/>
          <w:szCs w:val="20"/>
          <w:color w:val="auto"/>
        </w:rPr>
      </w:pPr>
      <w:r>
        <w:rPr>
          <w:rFonts w:ascii="Times New Roman" w:cs="Times New Roman" w:eastAsia="Times New Roman" w:hAnsi="Times New Roman"/>
          <w:sz w:val="20"/>
          <w:szCs w:val="20"/>
          <w:color w:val="auto"/>
        </w:rPr>
        <w:t>The Company invests primarily in mortgage pass-through (“PT”) residential mortgage backed securities (“RMBS”) and collateralized mortgage obligations (“CMOs”) issued by Freddie Mac, Fannie Mae or Ginnie Mae, interest-only (“IO”) securities and inverse interest-only (“IIO”) securities representing interest in or obligations backed by pools of RMBS. The Company refers to RMBS and CMOs as PT RMBS and IO and IIO securities as structured RMBS. The Company also invests in U.S. Treasury Notes (T-Notes) and U.S. Treasury Bills (collectively, "U.S. Treasury securities"), primarily to satisfy collateral requirements of derivative counterparties. The Company has elected to account for its investment in RMBS and its U.S. Treasury securities acquired before September 2023 under the fair value option. The Company recorded changes in fair value in net income. The Company has designated its U.S. Treasury securities acquired after August 2023 as available-for-sale, and changes in fair value during the period for reasons other than expected credit losses are recognized in other comprehensive income (loss).</w:t>
      </w:r>
    </w:p>
    <w:p>
      <w:pPr>
        <w:spacing w:after="0" w:line="196" w:lineRule="exact"/>
        <w:rPr>
          <w:sz w:val="20"/>
          <w:szCs w:val="20"/>
          <w:color w:val="auto"/>
        </w:rPr>
      </w:pPr>
    </w:p>
    <w:p>
      <w:pPr>
        <w:jc w:val="both"/>
        <w:ind w:right="220" w:firstLine="499"/>
        <w:spacing w:after="0" w:line="257" w:lineRule="auto"/>
        <w:rPr>
          <w:sz w:val="20"/>
          <w:szCs w:val="20"/>
          <w:color w:val="auto"/>
        </w:rPr>
      </w:pPr>
      <w:r>
        <w:rPr>
          <w:rFonts w:ascii="Times New Roman" w:cs="Times New Roman" w:eastAsia="Times New Roman" w:hAnsi="Times New Roman"/>
          <w:sz w:val="20"/>
          <w:szCs w:val="20"/>
          <w:color w:val="auto"/>
        </w:rPr>
        <w:t>The Company records securities transactions on the trade date. Security purchases that have not settled as of the balance sheet date are included in the portfolio balance with an offsetting liability recorded, whereas securities sold that have not settled as of the balance sheet date are removed from the portfolio balance with an offsetting receivable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800"/>
          </w:cols>
          <w:pgMar w:left="720" w:top="784" w:right="720" w:bottom="0" w:gutter="0" w:footer="0" w:header="0"/>
        </w:sectPr>
      </w:pPr>
    </w:p>
    <w:bookmarkStart w:id="81" w:name="page82"/>
    <w:bookmarkEnd w:id="81"/>
    <w:p>
      <w:pPr>
        <w:ind w:right="80" w:firstLine="499"/>
        <w:spacing w:after="0" w:line="247"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the asset or paid to transfer the liability in an orderly transaction between market participants at the measurement date. The fair value measurement assumes that the transaction to sell the asset or transfer the liability either occurs in the principal market for the asset or liability, or in the absence of a principal market, occurs in the most advantageous market for the asset or liability. Estimated fair values for RMBS are based on independent pricing sources and/or third party broker quotes, when available. Estimated fair values for U.S. Treasury securities are based on quoted prices for identical assets in active markets.</w:t>
      </w:r>
    </w:p>
    <w:p>
      <w:pPr>
        <w:spacing w:after="0" w:line="188"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Income on PT RMBS, and U.S. Treasury securities acquired before September, 2023, is based on the stated interest rate of the security. Premiums or discounts present at the date of purchase are not amortized. Premium lost and discount accretion resulting from monthly principal repayments are reflected in unrealized gains (losses) on RMBS in the statements of comprehensive income (loss). For IO securities, the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and the contractual terms of the security. For IIO securities, effective yield and income recognition calculations also take into account the index value applicable to the security. Income on U.S. Treasury securities acquired after August, 2023, is based on the stated interest rate (if any) of the security. Premiums or discounts associated with the purchase are amortized or accreted income over the life of the investment and reported in the statements of comprehensive income (loss) as interest income.</w:t>
      </w:r>
    </w:p>
    <w:p>
      <w:pPr>
        <w:spacing w:after="0" w:line="195" w:lineRule="exact"/>
        <w:rPr>
          <w:sz w:val="20"/>
          <w:szCs w:val="20"/>
          <w:color w:val="auto"/>
        </w:rPr>
      </w:pPr>
    </w:p>
    <w:p>
      <w:pPr>
        <w:ind w:right="20" w:firstLine="500"/>
        <w:spacing w:after="0" w:line="245" w:lineRule="auto"/>
        <w:rPr>
          <w:sz w:val="20"/>
          <w:szCs w:val="20"/>
          <w:color w:val="auto"/>
        </w:rPr>
      </w:pPr>
      <w:r>
        <w:rPr>
          <w:rFonts w:ascii="Times New Roman" w:cs="Times New Roman" w:eastAsia="Times New Roman" w:hAnsi="Times New Roman"/>
          <w:sz w:val="20"/>
          <w:szCs w:val="20"/>
          <w:color w:val="auto"/>
        </w:rPr>
        <w:t>Changes in fair value of investments for which the fair value option is elected are recorded in earnings and reported as unrealized gains or losses on mortgage- backed securities and U.S. Treasury securities in the accompanying statements of comprehensive income (loss). Realized gains and losses on sales of investments for which the fair value option has been elected, using the specific identification method, are reported as a separate component of net portfolio income on the statements of comprehensive income (loss). Changes in fair value of U.S. Treasury securities that are classified as available-for- sale are reported in accumulated other comprehensive income ("OCI"). Upon the sale of a security designated as available-for-sale, we determine the cost of the security and the amount of unrealized gain or loss to reclassify out of accumulated OCI into earnings based on the specific identification method.</w:t>
      </w:r>
    </w:p>
    <w:p>
      <w:pPr>
        <w:spacing w:after="0" w:line="191" w:lineRule="exact"/>
        <w:rPr>
          <w:sz w:val="20"/>
          <w:szCs w:val="20"/>
          <w:color w:val="auto"/>
        </w:rPr>
      </w:pPr>
    </w:p>
    <w:p>
      <w:pPr>
        <w:jc w:val="both"/>
        <w:ind w:right="240" w:firstLine="499"/>
        <w:spacing w:after="0" w:line="259" w:lineRule="auto"/>
        <w:rPr>
          <w:sz w:val="20"/>
          <w:szCs w:val="20"/>
          <w:color w:val="auto"/>
        </w:rPr>
      </w:pPr>
      <w:r>
        <w:rPr>
          <w:rFonts w:ascii="Times New Roman" w:cs="Times New Roman" w:eastAsia="Times New Roman" w:hAnsi="Times New Roman"/>
          <w:sz w:val="20"/>
          <w:szCs w:val="20"/>
          <w:color w:val="auto"/>
        </w:rPr>
        <w:t>The Company evaluated securities for allowance for credit losses and since all of the Company's available-for-sale securities designated investments consist of U.S. Treasury securities, which are backed by the full faith and credit of the U.S. government, the Company does not record an allowance for credit losses.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Financial Instruments</w:t>
      </w:r>
    </w:p>
    <w:p>
      <w:pPr>
        <w:spacing w:after="0" w:line="235" w:lineRule="exact"/>
        <w:rPr>
          <w:sz w:val="20"/>
          <w:szCs w:val="20"/>
          <w:color w:val="auto"/>
        </w:rPr>
      </w:pPr>
    </w:p>
    <w:p>
      <w:pPr>
        <w:ind w:right="80" w:firstLine="500"/>
        <w:spacing w:after="0" w:line="247" w:lineRule="auto"/>
        <w:rPr>
          <w:sz w:val="20"/>
          <w:szCs w:val="20"/>
          <w:color w:val="auto"/>
        </w:rPr>
      </w:pPr>
      <w:r>
        <w:rPr>
          <w:rFonts w:ascii="Times New Roman" w:cs="Times New Roman" w:eastAsia="Times New Roman" w:hAnsi="Times New Roman"/>
          <w:sz w:val="20"/>
          <w:szCs w:val="20"/>
          <w:color w:val="auto"/>
        </w:rPr>
        <w:t>The Company uses derivative and other hedging instruments to manage interest rate risk, facilitate asset/liability strategies and manage other exposures, and it may continue to do so in the future. The principal instruments that the Company has used to date are T-Note, Secured Overnight Financing Rate ("SOFR"), federal funds ("Fed Funds") and ERIS SOFR Swap futures contracts, short positions in U.S. Treasury securities, interest rate swaps, options to enter in interest rate swaps (“interest rate swaptions”), dual digital options, interest rate caps and floors, and "to-be-announced" ("TBA") securities transactions, but the Company may enter into other derivative and other hedging instruments in the future.</w:t>
      </w:r>
    </w:p>
    <w:p>
      <w:pPr>
        <w:spacing w:after="0" w:line="191" w:lineRule="exact"/>
        <w:rPr>
          <w:sz w:val="20"/>
          <w:szCs w:val="20"/>
          <w:color w:val="auto"/>
        </w:rPr>
      </w:pPr>
    </w:p>
    <w:p>
      <w:pPr>
        <w:jc w:val="center"/>
        <w:ind w:right="380"/>
        <w:spacing w:after="0" w:line="275" w:lineRule="auto"/>
        <w:rPr>
          <w:sz w:val="20"/>
          <w:szCs w:val="20"/>
          <w:color w:val="auto"/>
        </w:rPr>
      </w:pPr>
      <w:r>
        <w:rPr>
          <w:rFonts w:ascii="Times New Roman" w:cs="Times New Roman" w:eastAsia="Times New Roman" w:hAnsi="Times New Roman"/>
          <w:sz w:val="20"/>
          <w:szCs w:val="20"/>
          <w:color w:val="auto"/>
        </w:rPr>
        <w:t>The Company accounts for TBA securities as derivative instruments. Gains and losses associated with TBA securities transactions are reported in gain (loss) on derivative instruments in the accompanying statements of comprehensive income (loss).</w:t>
      </w:r>
    </w:p>
    <w:p>
      <w:pPr>
        <w:spacing w:after="0" w:line="162" w:lineRule="exact"/>
        <w:rPr>
          <w:sz w:val="20"/>
          <w:szCs w:val="20"/>
          <w:color w:val="auto"/>
        </w:rPr>
      </w:pPr>
    </w:p>
    <w:p>
      <w:pPr>
        <w:ind w:right="100" w:firstLine="499"/>
        <w:spacing w:after="0" w:line="249" w:lineRule="auto"/>
        <w:rPr>
          <w:sz w:val="20"/>
          <w:szCs w:val="20"/>
          <w:color w:val="auto"/>
        </w:rPr>
      </w:pPr>
      <w:r>
        <w:rPr>
          <w:rFonts w:ascii="Times New Roman" w:cs="Times New Roman" w:eastAsia="Times New Roman" w:hAnsi="Times New Roman"/>
          <w:sz w:val="20"/>
          <w:szCs w:val="20"/>
          <w:color w:val="auto"/>
        </w:rPr>
        <w:t>The Company enters into short-sales of U.S. Treasury securities by borrowing the securities under reverse repurchase agreements and selling them into the market. The Company account for these as securities borrowing transactions and recognize an obligation to return the borrowed securities at fair value on our accompanying balance sheets based on the value of the underlying U.S. Treasury security as of the reporting date. Gains and losses associated with U.S. Treasury security short positions are recognized in gain (loss) on derivative instruments, net in our statements of comprehensive income (loss).</w:t>
      </w:r>
    </w:p>
    <w:p>
      <w:pPr>
        <w:spacing w:after="0" w:line="187" w:lineRule="exact"/>
        <w:rPr>
          <w:sz w:val="20"/>
          <w:szCs w:val="20"/>
          <w:color w:val="auto"/>
        </w:rPr>
      </w:pPr>
    </w:p>
    <w:p>
      <w:pPr>
        <w:ind w:right="20" w:firstLine="499"/>
        <w:spacing w:after="0" w:line="247" w:lineRule="auto"/>
        <w:rPr>
          <w:sz w:val="20"/>
          <w:szCs w:val="20"/>
          <w:color w:val="auto"/>
        </w:rPr>
      </w:pPr>
      <w:r>
        <w:rPr>
          <w:rFonts w:ascii="Times New Roman" w:cs="Times New Roman" w:eastAsia="Times New Roman" w:hAnsi="Times New Roman"/>
          <w:sz w:val="20"/>
          <w:szCs w:val="20"/>
          <w:color w:val="auto"/>
        </w:rPr>
        <w:t>Derivative and other hedging instruments are carried at fair value, and changes in fair value are recorded in income as gains or losses on derivative and other hedging instruments for each period. The Company’s derivative financial instruments are not designated as hedge accounting relationships, but rather are used as economic hedges of its portfolio assets and liabilities. Gains and losses on derivatives, except those that result in cash receipts or payments, are included in operating activities on the statements of cash flows. Cash payments and cash receipts from settlements of derivatives, including current period net cash settlements on interest rate swaps, are classified as an investing activity on the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800"/>
          </w:cols>
          <w:pgMar w:left="720" w:top="788" w:right="720" w:bottom="0" w:gutter="0" w:footer="0" w:header="0"/>
        </w:sectPr>
      </w:pPr>
    </w:p>
    <w:bookmarkStart w:id="82" w:name="page83"/>
    <w:bookmarkEnd w:id="82"/>
    <w:p>
      <w:pPr>
        <w:ind w:left="40" w:right="40" w:firstLine="499"/>
        <w:spacing w:after="0" w:line="265" w:lineRule="auto"/>
        <w:rPr>
          <w:sz w:val="20"/>
          <w:szCs w:val="20"/>
          <w:color w:val="auto"/>
        </w:rPr>
      </w:pPr>
      <w:r>
        <w:rPr>
          <w:rFonts w:ascii="Times New Roman" w:cs="Times New Roman" w:eastAsia="Times New Roman" w:hAnsi="Times New Roman"/>
          <w:sz w:val="19"/>
          <w:szCs w:val="19"/>
          <w:color w:val="auto"/>
        </w:rPr>
        <w:t>Holding derivatives creates exposure to credit risk related to the potential for failure on the part of counterparties and exchanges to honor their commitments. In the event of default by a counterparty, the Company may have difficulty recovering its collateral and may not receive payments provided for under the terms of the agreement. The Company’s derivative agreements require it to post or receive collateral to mitigate such risk. In addition, the Company uses only registered central clearing exchanges and well-established commercial banks as counterparties, monitors positions with individual counterparties and adjusts posted collateral as required.</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Financial Instruments</w:t>
      </w:r>
    </w:p>
    <w:p>
      <w:pPr>
        <w:spacing w:after="0" w:line="233" w:lineRule="exact"/>
        <w:rPr>
          <w:sz w:val="20"/>
          <w:szCs w:val="20"/>
          <w:color w:val="auto"/>
        </w:rPr>
      </w:pPr>
    </w:p>
    <w:p>
      <w:pPr>
        <w:ind w:left="40" w:right="360" w:firstLine="499"/>
        <w:spacing w:after="0" w:line="249" w:lineRule="auto"/>
        <w:rPr>
          <w:sz w:val="20"/>
          <w:szCs w:val="20"/>
          <w:color w:val="auto"/>
        </w:rPr>
      </w:pPr>
      <w:r>
        <w:rPr>
          <w:rFonts w:ascii="Times New Roman" w:cs="Times New Roman" w:eastAsia="Times New Roman" w:hAnsi="Times New Roman"/>
          <w:sz w:val="20"/>
          <w:szCs w:val="20"/>
          <w:color w:val="auto"/>
        </w:rPr>
        <w:t>The fair value of financial instruments for which it is practicable to estimate that value is disclosed, either in the body of the financial statements or in the accompanying notes. RMBS, Fed Funds, SOFR and T-Note futures contracts, interest rate swaps, interest rate swaptions, dual digital options, interest rate floors and caps, and TBA securities are accounted for at fair value in the balance sheets. The methods and assumptions used to estimate fair value for these instruments are presented in Note 13 of the financial statements.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Repurchase Agreements</w:t>
      </w:r>
    </w:p>
    <w:p>
      <w:pPr>
        <w:spacing w:after="0" w:line="235" w:lineRule="exact"/>
        <w:rPr>
          <w:sz w:val="20"/>
          <w:szCs w:val="20"/>
          <w:color w:val="auto"/>
        </w:rPr>
      </w:pPr>
    </w:p>
    <w:p>
      <w:pPr>
        <w:ind w:left="40" w:right="260" w:firstLine="499"/>
        <w:spacing w:after="0" w:line="259" w:lineRule="auto"/>
        <w:rPr>
          <w:sz w:val="20"/>
          <w:szCs w:val="20"/>
          <w:color w:val="auto"/>
        </w:rPr>
      </w:pPr>
      <w:r>
        <w:rPr>
          <w:rFonts w:ascii="Times New Roman" w:cs="Times New Roman" w:eastAsia="Times New Roman" w:hAnsi="Times New Roman"/>
          <w:sz w:val="20"/>
          <w:szCs w:val="20"/>
          <w:color w:val="auto"/>
        </w:rPr>
        <w:t>The Company finances the acquisition of the majority of its RMBS through the use of repurchase agreements under master repurchase agreements. Repurchase agreements are accounted for as collateralized financing transactions, which are carried at their contractual amounts, including accrued interest, as specified in the respective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Reverse Repurchase Agreements and Obligations to Return Securities Borrowed under Reverse Repurchase Agreements</w:t>
      </w:r>
    </w:p>
    <w:p>
      <w:pPr>
        <w:spacing w:after="0" w:line="235" w:lineRule="exact"/>
        <w:rPr>
          <w:sz w:val="20"/>
          <w:szCs w:val="20"/>
          <w:color w:val="auto"/>
        </w:rPr>
      </w:pPr>
    </w:p>
    <w:p>
      <w:pPr>
        <w:ind w:left="40" w:firstLine="499"/>
        <w:spacing w:after="0" w:line="249" w:lineRule="auto"/>
        <w:rPr>
          <w:sz w:val="20"/>
          <w:szCs w:val="20"/>
          <w:color w:val="auto"/>
        </w:rPr>
      </w:pPr>
      <w:r>
        <w:rPr>
          <w:rFonts w:ascii="Times New Roman" w:cs="Times New Roman" w:eastAsia="Times New Roman" w:hAnsi="Times New Roman"/>
          <w:sz w:val="20"/>
          <w:szCs w:val="20"/>
          <w:color w:val="auto"/>
        </w:rPr>
        <w:t>The Company borrows securities to cover short sales of U.S. Treasury securities through reverse repurchase transactions under our master repurchase agreements. We account for these as securities borrowing transactions and recognize an obligation to return the borrowed securities at fair value on the balance sheet based on the value of the underlying borrowed securities as of the reporting date. The securities received as collateral in connection with our reverse repurchase agreements mitigate our credit risk exposure to counterparties. Our reverse repurchase agreements typically have maturities of 30 days or less.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Manager Compensation</w:t>
      </w:r>
    </w:p>
    <w:p>
      <w:pPr>
        <w:spacing w:after="0" w:line="233" w:lineRule="exact"/>
        <w:rPr>
          <w:sz w:val="20"/>
          <w:szCs w:val="20"/>
          <w:color w:val="auto"/>
        </w:rPr>
      </w:pPr>
    </w:p>
    <w:p>
      <w:pPr>
        <w:ind w:left="40" w:right="320" w:firstLine="499"/>
        <w:spacing w:after="0" w:line="252" w:lineRule="auto"/>
        <w:rPr>
          <w:sz w:val="20"/>
          <w:szCs w:val="20"/>
          <w:color w:val="auto"/>
        </w:rPr>
      </w:pPr>
      <w:r>
        <w:rPr>
          <w:rFonts w:ascii="Times New Roman" w:cs="Times New Roman" w:eastAsia="Times New Roman" w:hAnsi="Times New Roman"/>
          <w:sz w:val="20"/>
          <w:szCs w:val="20"/>
          <w:color w:val="auto"/>
        </w:rPr>
        <w:t>The Company is externally managed by Bimini Advisors, LLC (the “Manager” or “Bimini Advisors”), a Maryland limited liability company and wholly -owned subsidiary of Bimini. The Company’s management agreement with the Manager provides for payment to the Manager of a management fee and reimbursement of certain operating expenses, which are accrued and expensed during the period for which they are earned or incurred. Refer to Note 14 for the terms of the management agreement.</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33" w:lineRule="exact"/>
        <w:rPr>
          <w:sz w:val="20"/>
          <w:szCs w:val="20"/>
          <w:color w:val="auto"/>
        </w:rPr>
      </w:pPr>
    </w:p>
    <w:p>
      <w:pPr>
        <w:ind w:left="40" w:right="20" w:firstLine="499"/>
        <w:spacing w:after="0" w:line="252" w:lineRule="auto"/>
        <w:rPr>
          <w:sz w:val="20"/>
          <w:szCs w:val="20"/>
          <w:color w:val="auto"/>
        </w:rPr>
      </w:pPr>
      <w:r>
        <w:rPr>
          <w:rFonts w:ascii="Times New Roman" w:cs="Times New Roman" w:eastAsia="Times New Roman" w:hAnsi="Times New Roman"/>
          <w:sz w:val="20"/>
          <w:szCs w:val="20"/>
          <w:color w:val="auto"/>
        </w:rPr>
        <w:t>Basic earnings per share (“EPS”) is calculated as net income or loss attributable to common stockholders divided by the weighted average number of shares of common stock outstanding during the period. Diluted EPS is calculated using the treasury stock or two-class method, as applicable, for common stock equivalents, if any. However, the common stock equivalents are not included in computing diluted EPS if the result is anti-dilutive.</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35" w:lineRule="exact"/>
        <w:rPr>
          <w:sz w:val="20"/>
          <w:szCs w:val="20"/>
          <w:color w:val="auto"/>
        </w:rPr>
      </w:pPr>
    </w:p>
    <w:p>
      <w:pPr>
        <w:ind w:left="40" w:right="120" w:firstLine="499"/>
        <w:spacing w:after="0" w:line="247" w:lineRule="auto"/>
        <w:rPr>
          <w:sz w:val="20"/>
          <w:szCs w:val="20"/>
          <w:color w:val="auto"/>
        </w:rPr>
      </w:pPr>
      <w:r>
        <w:rPr>
          <w:rFonts w:ascii="Times New Roman" w:cs="Times New Roman" w:eastAsia="Times New Roman" w:hAnsi="Times New Roman"/>
          <w:sz w:val="20"/>
          <w:szCs w:val="20"/>
          <w:color w:val="auto"/>
        </w:rPr>
        <w:t>The Company may grant equity-based compensation to non-employee members of its board of directors and to the executive officers and employees of the Manager. Stock-based awards issued include Performance Units ("PUs"), Deferred Stock Units ("DSUs") and immediately vested common stock awards. Compensation expense is measured and recognized for all stock-based payment awards made to employees and non-employee directors based on the fair value of our common stock on the date of grant. Compensation expense is recognized over each award’s respective service period using the graded vesting attribution method. We do not estimate forfeiture rates; rather, we adjust for forfeitures in the periods in which they occur.</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ind w:left="40" w:right="100" w:firstLine="499"/>
        <w:spacing w:after="0" w:line="252" w:lineRule="auto"/>
        <w:rPr>
          <w:sz w:val="20"/>
          <w:szCs w:val="20"/>
          <w:color w:val="auto"/>
        </w:rPr>
      </w:pPr>
      <w:r>
        <w:rPr>
          <w:rFonts w:ascii="Times New Roman" w:cs="Times New Roman" w:eastAsia="Times New Roman" w:hAnsi="Times New Roman"/>
          <w:sz w:val="20"/>
          <w:szCs w:val="20"/>
          <w:color w:val="auto"/>
        </w:rPr>
        <w:t>Orchid elected and is organized and operated so as to qualify to be taxed as a REIT under the Code. REITs are generally not subject to U.S. federal income tax on their REIT taxable income provided that they distribute to their stockholders all of their REIT taxable income on an annual basis. A REIT must distribute at least 90% of its REIT taxable income, determined without regard to the deductions for dividends paid and excluding net capital gain, and meet other requirements of the Code to retain its tax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820"/>
          </w:cols>
          <w:pgMar w:left="680" w:top="788" w:right="740" w:bottom="0" w:gutter="0" w:footer="0" w:header="0"/>
        </w:sectPr>
      </w:pPr>
    </w:p>
    <w:bookmarkStart w:id="83" w:name="page84"/>
    <w:bookmarkEnd w:id="83"/>
    <w:p>
      <w:pPr>
        <w:ind w:left="40" w:right="140" w:firstLine="499"/>
        <w:spacing w:after="0" w:line="252" w:lineRule="auto"/>
        <w:rPr>
          <w:sz w:val="20"/>
          <w:szCs w:val="20"/>
          <w:color w:val="auto"/>
        </w:rPr>
      </w:pPr>
      <w:r>
        <w:rPr>
          <w:rFonts w:ascii="Times New Roman" w:cs="Times New Roman" w:eastAsia="Times New Roman" w:hAnsi="Times New Roman"/>
          <w:sz w:val="20"/>
          <w:szCs w:val="20"/>
          <w:color w:val="auto"/>
        </w:rPr>
        <w:t>Orchid assesses the likelihood, based on their technical merit, that uncertain tax positions will be sustained upon examination based on the facts, circumstances and information available at the end of each period. All of Orchid’s tax positions are categorized as highly certain. There is no accrual for any tax, interest or penalties related to Orchid’s tax position assessment. The measurement of uncertain tax positions is adjusted when new information is available, or when an event occurs that requires a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ind w:left="40" w:right="120" w:firstLine="499"/>
        <w:spacing w:after="0" w:line="247" w:lineRule="auto"/>
        <w:rPr>
          <w:sz w:val="20"/>
          <w:szCs w:val="20"/>
          <w:color w:val="auto"/>
        </w:rPr>
      </w:pPr>
      <w:r>
        <w:rPr>
          <w:rFonts w:ascii="Times New Roman" w:cs="Times New Roman" w:eastAsia="Times New Roman" w:hAnsi="Times New Roman"/>
          <w:sz w:val="20"/>
          <w:szCs w:val="20"/>
          <w:color w:val="auto"/>
        </w:rPr>
        <w:t xml:space="preserve">In November 2024, the Financial Accounting Standards Board ("FASB") issued ASU No. 2024-03, </w:t>
      </w:r>
      <w:r>
        <w:rPr>
          <w:rFonts w:ascii="Times New Roman" w:cs="Times New Roman" w:eastAsia="Times New Roman" w:hAnsi="Times New Roman"/>
          <w:sz w:val="20"/>
          <w:szCs w:val="20"/>
          <w:i w:val="1"/>
          <w:iCs w:val="1"/>
          <w:color w:val="auto"/>
        </w:rPr>
        <w:t>"Income 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Reporting Comprehensive Income—Expense Disaggregation Disclosures (Subtopic 220-40): Disaggregation of Income Statement Expenses</w:t>
      </w:r>
      <w:r>
        <w:rPr>
          <w:rFonts w:ascii="Times New Roman" w:cs="Times New Roman" w:eastAsia="Times New Roman" w:hAnsi="Times New Roman"/>
          <w:sz w:val="20"/>
          <w:szCs w:val="20"/>
          <w:color w:val="auto"/>
        </w:rPr>
        <w:t>". The amendments in the ASU require disclosures about specific types of expenses included in the expense captions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presented on the Statements of Income, as well as disclosures about selling expenses. ASU 2024-03 is effective for fiscal years beginning after December 15, 2026, with early adoption allowed. We are currently evaluating the impact of adoption on our financial disclosures.</w:t>
      </w: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2. MORTGAGE-BACKED SECURITIES AND U.S. TREASURY SECURITIES, AT FAIR VALUE</w:t>
      </w:r>
    </w:p>
    <w:p>
      <w:pPr>
        <w:spacing w:after="0" w:line="235" w:lineRule="exact"/>
        <w:rPr>
          <w:sz w:val="20"/>
          <w:szCs w:val="20"/>
          <w:color w:val="auto"/>
        </w:rPr>
      </w:pPr>
    </w:p>
    <w:p>
      <w:pPr>
        <w:ind w:left="40" w:right="60" w:firstLine="499"/>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Company’s RMBS portfolio that are remeasured at fair value through earnings as of December 31, 2025 and December 31, 2024:</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51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r>
      <w:tr>
        <w:trPr>
          <w:trHeight w:val="210"/>
        </w:trPr>
        <w:tc>
          <w:tcPr>
            <w:tcW w:w="3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9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xml:space="preserve">Cost </w:t>
            </w:r>
            <w:r>
              <w:rPr>
                <w:rFonts w:ascii="Times New Roman" w:cs="Times New Roman" w:eastAsia="Times New Roman" w:hAnsi="Times New Roman"/>
                <w:sz w:val="10"/>
                <w:szCs w:val="10"/>
                <w:b w:val="1"/>
                <w:bCs w:val="1"/>
                <w:color w:val="auto"/>
              </w:rPr>
              <w:t>(1)</w:t>
            </w:r>
          </w:p>
        </w:tc>
        <w:tc>
          <w:tcPr>
            <w:tcW w:w="11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xml:space="preserve">Cost </w:t>
            </w:r>
            <w:r>
              <w:rPr>
                <w:rFonts w:ascii="Times New Roman" w:cs="Times New Roman" w:eastAsia="Times New Roman" w:hAnsi="Times New Roman"/>
                <w:sz w:val="10"/>
                <w:szCs w:val="10"/>
                <w:b w:val="1"/>
                <w:bCs w:val="1"/>
                <w:color w:val="auto"/>
              </w:rPr>
              <w:t>(1)</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1"/>
        </w:trPr>
        <w:tc>
          <w:tcPr>
            <w:tcW w:w="3140" w:type="dxa"/>
            <w:vAlign w:val="bottom"/>
            <w:tcBorders>
              <w:bottom w:val="single" w:sz="8" w:color="DDDDDD"/>
            </w:tcBorders>
            <w:shd w:val="clear" w:color="auto" w:fill="DDDDDD"/>
          </w:tcPr>
          <w:p>
            <w:pPr>
              <w:ind w:left="180"/>
              <w:spacing w:after="0" w:line="201" w:lineRule="exact"/>
              <w:rPr>
                <w:sz w:val="20"/>
                <w:szCs w:val="20"/>
                <w:color w:val="auto"/>
              </w:rPr>
            </w:pPr>
            <w:r>
              <w:rPr>
                <w:rFonts w:ascii="Times New Roman" w:cs="Times New Roman" w:eastAsia="Times New Roman" w:hAnsi="Times New Roman"/>
                <w:sz w:val="18"/>
                <w:szCs w:val="18"/>
                <w:color w:val="auto"/>
              </w:rPr>
              <w:t>Fixed-rate RMBS</w:t>
            </w: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10,345,029</w:t>
            </w:r>
          </w:p>
        </w:tc>
        <w:tc>
          <w:tcPr>
            <w:tcW w:w="2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190" w:type="dxa"/>
            <w:vAlign w:val="bottom"/>
            <w:tcBorders>
              <w:bottom w:val="single" w:sz="8" w:color="DDDDDD"/>
            </w:tcBorders>
            <w:shd w:val="clear" w:color="auto" w:fill="DDDDDD"/>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highlight w:val="lightGray"/>
              </w:rPr>
              <w:t>10,558,236</w:t>
            </w:r>
          </w:p>
        </w:tc>
        <w:tc>
          <w:tcPr>
            <w:tcW w:w="11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080" w:type="dxa"/>
            <w:vAlign w:val="bottom"/>
            <w:tcBorders>
              <w:bottom w:val="single" w:sz="8" w:color="DDDDDD"/>
            </w:tcBorders>
            <w:shd w:val="clear" w:color="auto" w:fill="DDDDDD"/>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10,615,570</w:t>
            </w: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5,431,274</w:t>
            </w:r>
          </w:p>
        </w:tc>
        <w:tc>
          <w:tcPr>
            <w:tcW w:w="32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200" w:type="dxa"/>
            <w:vAlign w:val="bottom"/>
            <w:tcBorders>
              <w:bottom w:val="single" w:sz="8" w:color="DDDDDD"/>
            </w:tcBorders>
            <w:shd w:val="clear" w:color="auto" w:fill="DDDDDD"/>
          </w:tcPr>
          <w:p>
            <w:pPr>
              <w:jc w:val="right"/>
              <w:ind w:right="130"/>
              <w:spacing w:after="0" w:line="201" w:lineRule="exact"/>
              <w:rPr>
                <w:sz w:val="20"/>
                <w:szCs w:val="20"/>
                <w:color w:val="auto"/>
              </w:rPr>
            </w:pPr>
            <w:r>
              <w:rPr>
                <w:rFonts w:ascii="Times New Roman" w:cs="Times New Roman" w:eastAsia="Times New Roman" w:hAnsi="Times New Roman"/>
                <w:sz w:val="18"/>
                <w:szCs w:val="18"/>
                <w:color w:val="auto"/>
              </w:rPr>
              <w:t>5,540,596</w:t>
            </w: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1080" w:type="dxa"/>
            <w:vAlign w:val="bottom"/>
            <w:tcBorders>
              <w:bottom w:val="single" w:sz="8" w:color="DDDDDD"/>
            </w:tcBorders>
            <w:shd w:val="clear" w:color="auto" w:fill="DDDDDD"/>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rPr>
              <w:t>5,237,812</w:t>
            </w:r>
          </w:p>
        </w:tc>
      </w:tr>
      <w:tr>
        <w:trPr>
          <w:trHeight w:val="206"/>
        </w:trPr>
        <w:tc>
          <w:tcPr>
            <w:tcW w:w="3140" w:type="dxa"/>
            <w:vAlign w:val="bottom"/>
            <w:tcBorders>
              <w:bottom w:val="single" w:sz="8" w:color="auto"/>
            </w:tcBorders>
          </w:tcPr>
          <w:p>
            <w:pPr>
              <w:ind w:left="180"/>
              <w:spacing w:after="0" w:line="206"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90" w:type="dxa"/>
            <w:vAlign w:val="bottom"/>
            <w:tcBorders>
              <w:bottom w:val="single" w:sz="8" w:color="auto"/>
            </w:tcBorders>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16,103</w:t>
            </w:r>
          </w:p>
        </w:tc>
        <w:tc>
          <w:tcPr>
            <w:tcW w:w="11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206" w:lineRule="exact"/>
              <w:rPr>
                <w:sz w:val="20"/>
                <w:szCs w:val="20"/>
                <w:color w:val="auto"/>
              </w:rPr>
            </w:pPr>
            <w:r>
              <w:rPr>
                <w:rFonts w:ascii="Times New Roman" w:cs="Times New Roman" w:eastAsia="Times New Roman" w:hAnsi="Times New Roman"/>
                <w:sz w:val="18"/>
                <w:szCs w:val="18"/>
                <w:color w:val="auto"/>
              </w:rPr>
              <w:t>13,088</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0"/>
              <w:spacing w:after="0" w:line="206" w:lineRule="exact"/>
              <w:rPr>
                <w:sz w:val="20"/>
                <w:szCs w:val="20"/>
                <w:color w:val="auto"/>
              </w:rPr>
            </w:pPr>
            <w:r>
              <w:rPr>
                <w:rFonts w:ascii="Times New Roman" w:cs="Times New Roman" w:eastAsia="Times New Roman" w:hAnsi="Times New Roman"/>
                <w:sz w:val="18"/>
                <w:szCs w:val="18"/>
                <w:color w:val="auto"/>
              </w:rPr>
              <w:t>18,832</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15,498</w:t>
            </w:r>
          </w:p>
        </w:tc>
      </w:tr>
      <w:tr>
        <w:trPr>
          <w:trHeight w:val="229"/>
        </w:trPr>
        <w:tc>
          <w:tcPr>
            <w:tcW w:w="314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10,345,029</w:t>
            </w:r>
          </w:p>
        </w:tc>
        <w:tc>
          <w:tcPr>
            <w:tcW w:w="2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190" w:type="dxa"/>
            <w:vAlign w:val="bottom"/>
            <w:tcBorders>
              <w:bottom w:val="single" w:sz="8" w:color="DDDDDD"/>
            </w:tcBorders>
            <w:shd w:val="clear" w:color="auto" w:fill="DDDDDD"/>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highlight w:val="lightGray"/>
              </w:rPr>
              <w:t>10,574,339</w:t>
            </w:r>
          </w:p>
        </w:tc>
        <w:tc>
          <w:tcPr>
            <w:tcW w:w="11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080" w:type="dxa"/>
            <w:vAlign w:val="bottom"/>
            <w:tcBorders>
              <w:bottom w:val="single" w:sz="8" w:color="DDDDDD"/>
            </w:tcBorders>
            <w:shd w:val="clear" w:color="auto" w:fill="DDDDDD"/>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10,628,658</w:t>
            </w:r>
          </w:p>
        </w:tc>
        <w:tc>
          <w:tcPr>
            <w:tcW w:w="10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5,431,274</w:t>
            </w:r>
          </w:p>
        </w:tc>
        <w:tc>
          <w:tcPr>
            <w:tcW w:w="32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200" w:type="dxa"/>
            <w:vAlign w:val="bottom"/>
            <w:tcBorders>
              <w:bottom w:val="single" w:sz="8" w:color="DDDDDD"/>
            </w:tcBorders>
            <w:shd w:val="clear" w:color="auto" w:fill="DDDDDD"/>
          </w:tcPr>
          <w:p>
            <w:pPr>
              <w:jc w:val="right"/>
              <w:ind w:right="130"/>
              <w:spacing w:after="0" w:line="201" w:lineRule="exact"/>
              <w:rPr>
                <w:sz w:val="20"/>
                <w:szCs w:val="20"/>
                <w:color w:val="auto"/>
              </w:rPr>
            </w:pPr>
            <w:r>
              <w:rPr>
                <w:rFonts w:ascii="Times New Roman" w:cs="Times New Roman" w:eastAsia="Times New Roman" w:hAnsi="Times New Roman"/>
                <w:sz w:val="18"/>
                <w:szCs w:val="18"/>
                <w:color w:val="auto"/>
              </w:rPr>
              <w:t>5,559,428</w:t>
            </w:r>
          </w:p>
        </w:tc>
        <w:tc>
          <w:tcPr>
            <w:tcW w:w="1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1080" w:type="dxa"/>
            <w:vAlign w:val="bottom"/>
            <w:tcBorders>
              <w:bottom w:val="single" w:sz="8" w:color="DDDDDD"/>
            </w:tcBorders>
            <w:shd w:val="clear" w:color="auto" w:fill="DDDDDD"/>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rPr>
              <w:t>5,253,310</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9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360" w:right="540" w:hanging="315"/>
        <w:spacing w:after="0" w:line="260"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information in the table above represents the aggregate current par value, multiplied by the purchase price of each security in the portfolio.</w:t>
      </w:r>
    </w:p>
    <w:p>
      <w:pPr>
        <w:ind w:left="360" w:right="820" w:hanging="315"/>
        <w:spacing w:after="0" w:line="244"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balance for the interest-only securities portfolio was $72.9 million and $85.8 million as of December 31, 2025 and 2024, respectively.</w:t>
      </w:r>
    </w:p>
    <w:p>
      <w:pPr>
        <w:spacing w:after="0" w:line="1" w:lineRule="exact"/>
        <w:rPr>
          <w:rFonts w:ascii="Times New Roman" w:cs="Times New Roman" w:eastAsia="Times New Roman" w:hAnsi="Times New Roman"/>
          <w:sz w:val="18"/>
          <w:szCs w:val="18"/>
          <w:color w:val="auto"/>
        </w:rPr>
      </w:pPr>
    </w:p>
    <w:p>
      <w:pPr>
        <w:ind w:left="360" w:right="260" w:hanging="315"/>
        <w:spacing w:after="0" w:line="252"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balance for the inverse interest-only securities portfolio was $17.7 million and $22.0 million as of December 31, 2025 and 2024, respectively.</w:t>
      </w:r>
    </w:p>
    <w:p>
      <w:pPr>
        <w:spacing w:after="0" w:line="192" w:lineRule="exact"/>
        <w:rPr>
          <w:sz w:val="20"/>
          <w:szCs w:val="20"/>
          <w:color w:val="auto"/>
        </w:rPr>
      </w:pPr>
    </w:p>
    <w:p>
      <w:pPr>
        <w:ind w:left="40" w:right="360" w:firstLine="499"/>
        <w:spacing w:after="0" w:line="277" w:lineRule="auto"/>
        <w:rPr>
          <w:sz w:val="20"/>
          <w:szCs w:val="20"/>
          <w:color w:val="auto"/>
        </w:rPr>
      </w:pPr>
      <w:r>
        <w:rPr>
          <w:rFonts w:ascii="Times New Roman" w:cs="Times New Roman" w:eastAsia="Times New Roman" w:hAnsi="Times New Roman"/>
          <w:sz w:val="20"/>
          <w:szCs w:val="20"/>
          <w:color w:val="auto"/>
        </w:rPr>
        <w:t>The following table is a summary of the Company's net gain (loss) from the sale of mortgage-backed securities for the years ended December 31, 2025, 2024 and 2023.</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25" w:type="dxa"/>
            <w:vAlign w:val="bottom"/>
            <w:tcBorders>
              <w:top w:val="single" w:sz="8" w:color="auto"/>
              <w:bottom w:val="single" w:sz="8" w:color="auto"/>
            </w:tcBorders>
          </w:tcPr>
          <w:p>
            <w:pPr>
              <w:spacing w:after="0"/>
              <w:rPr>
                <w:sz w:val="18"/>
                <w:szCs w:val="18"/>
                <w:color w:val="auto"/>
              </w:rPr>
            </w:pPr>
          </w:p>
        </w:tc>
        <w:tc>
          <w:tcPr>
            <w:tcW w:w="135"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5" w:type="dxa"/>
            <w:vAlign w:val="bottom"/>
            <w:tcBorders>
              <w:top w:val="single" w:sz="8" w:color="auto"/>
              <w:bottom w:val="single" w:sz="8" w:color="auto"/>
            </w:tcBorders>
          </w:tcPr>
          <w:p>
            <w:pPr>
              <w:spacing w:after="0"/>
              <w:rPr>
                <w:sz w:val="18"/>
                <w:szCs w:val="18"/>
                <w:color w:val="auto"/>
              </w:rPr>
            </w:pPr>
          </w:p>
        </w:tc>
        <w:tc>
          <w:tcPr>
            <w:tcW w:w="135"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5" w:type="dxa"/>
            <w:vAlign w:val="bottom"/>
            <w:tcBorders>
              <w:top w:val="single" w:sz="8" w:color="auto"/>
              <w:bottom w:val="single" w:sz="8" w:color="auto"/>
            </w:tcBorders>
          </w:tcPr>
          <w:p>
            <w:pPr>
              <w:spacing w:after="0"/>
              <w:rPr>
                <w:sz w:val="18"/>
                <w:szCs w:val="18"/>
                <w:color w:val="auto"/>
              </w:rPr>
            </w:pPr>
          </w:p>
        </w:tc>
        <w:tc>
          <w:tcPr>
            <w:tcW w:w="135"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r>
      <w:tr>
        <w:trPr>
          <w:trHeight w:val="20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Proceeds from sales of RMBS</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1,380,091</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454,272</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797,633</w:t>
            </w:r>
          </w:p>
        </w:tc>
        <w:tc>
          <w:tcPr>
            <w:tcW w:w="100" w:type="dxa"/>
            <w:vAlign w:val="bottom"/>
            <w:shd w:val="clear" w:color="auto" w:fill="DDDDDD"/>
          </w:tcPr>
          <w:p>
            <w:pPr>
              <w:spacing w:after="0"/>
              <w:rPr>
                <w:sz w:val="18"/>
                <w:szCs w:val="18"/>
                <w:color w:val="auto"/>
              </w:rPr>
            </w:pPr>
          </w:p>
        </w:tc>
      </w:tr>
      <w:tr>
        <w:trPr>
          <w:trHeight w:val="218"/>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Carrying value of RMBS sold</w:t>
            </w:r>
          </w:p>
        </w:tc>
        <w:tc>
          <w:tcPr>
            <w:tcW w:w="135" w:type="dxa"/>
            <w:vAlign w:val="bottom"/>
            <w:tcBorders>
              <w:bottom w:val="single" w:sz="8" w:color="auto"/>
            </w:tcBorders>
          </w:tcPr>
          <w:p>
            <w:pPr>
              <w:spacing w:after="0"/>
              <w:rPr>
                <w:sz w:val="18"/>
                <w:szCs w:val="18"/>
                <w:color w:val="auto"/>
              </w:rPr>
            </w:pPr>
          </w:p>
        </w:tc>
        <w:tc>
          <w:tcPr>
            <w:tcW w:w="1485"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(1,386,412 )</w:t>
            </w:r>
          </w:p>
        </w:tc>
        <w:tc>
          <w:tcPr>
            <w:tcW w:w="135" w:type="dxa"/>
            <w:vAlign w:val="bottom"/>
            <w:tcBorders>
              <w:bottom w:val="single" w:sz="8" w:color="auto"/>
            </w:tcBorders>
          </w:tcPr>
          <w:p>
            <w:pPr>
              <w:spacing w:after="0"/>
              <w:rPr>
                <w:sz w:val="18"/>
                <w:szCs w:val="18"/>
                <w:color w:val="auto"/>
              </w:rPr>
            </w:pPr>
          </w:p>
        </w:tc>
        <w:tc>
          <w:tcPr>
            <w:tcW w:w="1485"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(458,874 )</w:t>
            </w:r>
          </w:p>
        </w:tc>
        <w:tc>
          <w:tcPr>
            <w:tcW w:w="135"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(820,275 )</w:t>
            </w:r>
          </w:p>
        </w:tc>
      </w:tr>
      <w:tr>
        <w:trPr>
          <w:trHeight w:val="230"/>
        </w:trPr>
        <w:tc>
          <w:tcPr>
            <w:tcW w:w="6025"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Net loss on sales of RMBS</w:t>
            </w:r>
          </w:p>
        </w:tc>
        <w:tc>
          <w:tcPr>
            <w:tcW w:w="135"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(6,321</w:t>
            </w:r>
          </w:p>
        </w:tc>
        <w:tc>
          <w:tcPr>
            <w:tcW w:w="185" w:type="dxa"/>
            <w:vAlign w:val="bottom"/>
            <w:tcBorders>
              <w:bottom w:val="single" w:sz="8" w:color="DDDDDD"/>
            </w:tcBorders>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(4,602</w:t>
            </w:r>
          </w:p>
        </w:tc>
        <w:tc>
          <w:tcPr>
            <w:tcW w:w="185" w:type="dxa"/>
            <w:vAlign w:val="bottom"/>
            <w:tcBorders>
              <w:bottom w:val="single" w:sz="8" w:color="DDDDDD"/>
            </w:tcBorders>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(22,642</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0"/>
        </w:trPr>
        <w:tc>
          <w:tcPr>
            <w:tcW w:w="602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025"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5"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5"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Gross gain on sales of RMBS</w:t>
            </w: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shd w:val="clear" w:color="auto" w:fill="DDDDDD"/>
          </w:tcPr>
          <w:p>
            <w:pPr>
              <w:spacing w:after="0"/>
              <w:rPr>
                <w:sz w:val="18"/>
                <w:szCs w:val="18"/>
                <w:color w:val="auto"/>
              </w:rPr>
            </w:pPr>
          </w:p>
        </w:tc>
      </w:tr>
      <w:tr>
        <w:trPr>
          <w:trHeight w:val="217"/>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loss on sales of RMBS</w:t>
            </w:r>
          </w:p>
        </w:tc>
        <w:tc>
          <w:tcPr>
            <w:tcW w:w="135"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85"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35"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85"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35"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56"/>
        </w:trPr>
        <w:tc>
          <w:tcPr>
            <w:tcW w:w="6025"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 on sales of RMBS</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85" w:type="dxa"/>
            <w:vAlign w:val="bottom"/>
            <w:tcBorders>
              <w:bottom w:val="single" w:sz="8" w:color="DDDDDD"/>
            </w:tcBorders>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85" w:type="dxa"/>
            <w:vAlign w:val="bottom"/>
            <w:tcBorders>
              <w:bottom w:val="single" w:sz="8" w:color="DDDDDD"/>
            </w:tcBorders>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(22,642</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5"/>
                <w:szCs w:val="15"/>
                <w:color w:val="auto"/>
                <w:highlight w:val="lightGray"/>
                <w:w w:val="79"/>
              </w:rPr>
              <w:t>)</w:t>
            </w:r>
          </w:p>
        </w:tc>
      </w:tr>
      <w:tr>
        <w:trPr>
          <w:trHeight w:val="20"/>
        </w:trPr>
        <w:tc>
          <w:tcPr>
            <w:tcW w:w="602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-610235</wp:posOffset>
                </wp:positionV>
                <wp:extent cx="68580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48.0499pt" to="542.2pt,-48.0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-201295</wp:posOffset>
                </wp:positionV>
                <wp:extent cx="68580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15.8499pt" to="542.2pt,-15.8499pt" o:allowincell="f" strokecolor="#FFFFFF" strokeweight="0.36pt"/>
            </w:pict>
          </mc:Fallback>
        </mc:AlternateContent>
      </w:r>
    </w:p>
    <w:p>
      <w:pPr>
        <w:spacing w:after="0" w:line="192" w:lineRule="exact"/>
        <w:rPr>
          <w:sz w:val="20"/>
          <w:szCs w:val="20"/>
          <w:color w:val="auto"/>
        </w:rPr>
      </w:pPr>
    </w:p>
    <w:p>
      <w:pPr>
        <w:ind w:left="200" w:right="200" w:firstLine="540"/>
        <w:spacing w:after="0" w:line="257" w:lineRule="auto"/>
        <w:rPr>
          <w:sz w:val="20"/>
          <w:szCs w:val="20"/>
          <w:color w:val="auto"/>
        </w:rPr>
      </w:pPr>
      <w:r>
        <w:rPr>
          <w:rFonts w:ascii="Times New Roman" w:cs="Times New Roman" w:eastAsia="Times New Roman" w:hAnsi="Times New Roman"/>
          <w:sz w:val="20"/>
          <w:szCs w:val="20"/>
          <w:color w:val="auto"/>
        </w:rPr>
        <w:t>During the year ended December 31, 2024, the Company resecuritized RMBS with a fair value of $221.7 million by transferring the RMBS into a larger RMBS backed by the transferred RMBS. The Company retained the larger RMBS. No gain or loss was recorded on this resecuritization.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840"/>
          </w:cols>
          <w:pgMar w:left="680" w:top="788" w:right="720" w:bottom="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NOTE 3. U.S. TREASURY SECURITIES, AVAILABLE-FOR-SALE</w:t>
      </w:r>
    </w:p>
    <w:p>
      <w:pPr>
        <w:spacing w:after="0" w:line="233" w:lineRule="exact"/>
        <w:rPr>
          <w:sz w:val="20"/>
          <w:szCs w:val="20"/>
          <w:color w:val="auto"/>
        </w:rPr>
      </w:pPr>
    </w:p>
    <w:p>
      <w:pPr>
        <w:jc w:val="both"/>
        <w:ind w:left="20" w:right="240" w:firstLine="499"/>
        <w:spacing w:after="0" w:line="259" w:lineRule="auto"/>
        <w:rPr>
          <w:sz w:val="20"/>
          <w:szCs w:val="20"/>
          <w:color w:val="auto"/>
        </w:rPr>
      </w:pPr>
      <w:r>
        <w:rPr>
          <w:rFonts w:ascii="Times New Roman" w:cs="Times New Roman" w:eastAsia="Times New Roman" w:hAnsi="Times New Roman"/>
          <w:sz w:val="20"/>
          <w:szCs w:val="20"/>
          <w:color w:val="auto"/>
        </w:rPr>
        <w:t>The following table presents the amortized cost, gross unrealized holding gains and losses, and fair value of available-for-sale investments as of December 31, 2025 and 2024. U.S. Treasury securities are held primarily to satisfy collateral requirements of the Company's repurchase and derivative counterparties.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3"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5" w:type="dxa"/>
            <w:vAlign w:val="bottom"/>
            <w:tcBorders>
              <w:top w:val="single" w:sz="8" w:color="auto"/>
            </w:tcBorders>
          </w:tcPr>
          <w:p>
            <w:pPr>
              <w:spacing w:after="0"/>
              <w:rPr>
                <w:sz w:val="16"/>
                <w:szCs w:val="16"/>
                <w:color w:val="auto"/>
              </w:rPr>
            </w:pPr>
          </w:p>
        </w:tc>
        <w:tc>
          <w:tcPr>
            <w:tcW w:w="115"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6"/>
        </w:trPr>
        <w:tc>
          <w:tcPr>
            <w:tcW w:w="5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5" w:type="dxa"/>
            <w:vAlign w:val="bottom"/>
            <w:tcBorders>
              <w:bottom w:val="single" w:sz="8" w:color="auto"/>
            </w:tcBorders>
          </w:tcPr>
          <w:p>
            <w:pPr>
              <w:spacing w:after="0"/>
              <w:rPr>
                <w:sz w:val="20"/>
                <w:szCs w:val="20"/>
                <w:color w:val="auto"/>
              </w:rPr>
            </w:pPr>
          </w:p>
        </w:tc>
        <w:tc>
          <w:tcPr>
            <w:tcW w:w="115"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8"/>
        </w:trPr>
        <w:tc>
          <w:tcPr>
            <w:tcW w:w="56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205" w:type="dxa"/>
            <w:vAlign w:val="bottom"/>
            <w:shd w:val="clear" w:color="auto" w:fill="DDDDDD"/>
          </w:tcPr>
          <w:p>
            <w:pPr>
              <w:spacing w:after="0"/>
              <w:rPr>
                <w:sz w:val="18"/>
                <w:szCs w:val="18"/>
                <w:color w:val="auto"/>
              </w:rPr>
            </w:pPr>
          </w:p>
        </w:tc>
        <w:tc>
          <w:tcPr>
            <w:tcW w:w="115" w:type="dxa"/>
            <w:vAlign w:val="bottom"/>
            <w:shd w:val="clear" w:color="auto" w:fill="DDDDDD"/>
          </w:tcPr>
          <w:p>
            <w:pPr>
              <w:spacing w:after="0"/>
              <w:rPr>
                <w:sz w:val="18"/>
                <w:szCs w:val="18"/>
                <w:color w:val="auto"/>
              </w:rPr>
            </w:pPr>
          </w:p>
        </w:tc>
        <w:tc>
          <w:tcPr>
            <w:tcW w:w="1080" w:type="dxa"/>
            <w:vAlign w:val="bottom"/>
            <w:shd w:val="clear" w:color="auto" w:fill="DDDDDD"/>
          </w:tcPr>
          <w:p>
            <w:pPr>
              <w:spacing w:after="0"/>
              <w:rPr>
                <w:sz w:val="18"/>
                <w:szCs w:val="18"/>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Note, 4.625%, 6/30/2026 Maturity</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5" w:type="dxa"/>
            <w:vAlign w:val="bottom"/>
          </w:tcPr>
          <w:p>
            <w:pPr>
              <w:spacing w:after="0"/>
              <w:rPr>
                <w:sz w:val="18"/>
                <w:szCs w:val="18"/>
                <w:color w:val="auto"/>
              </w:rPr>
            </w:pPr>
          </w:p>
        </w:tc>
        <w:tc>
          <w:tcPr>
            <w:tcW w:w="115"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100,531</w:t>
            </w:r>
          </w:p>
        </w:tc>
      </w:tr>
      <w:tr>
        <w:trPr>
          <w:trHeight w:val="220"/>
        </w:trPr>
        <w:tc>
          <w:tcPr>
            <w:tcW w:w="56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U.S. Treasury Note, 0.75%, 5/31/2026 Maturity</w:t>
            </w:r>
          </w:p>
        </w:tc>
        <w:tc>
          <w:tcPr>
            <w:tcW w:w="2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30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5" w:type="dxa"/>
            <w:vAlign w:val="bottom"/>
            <w:tcBorders>
              <w:bottom w:val="single" w:sz="8" w:color="auto"/>
            </w:tcBorders>
            <w:shd w:val="clear" w:color="auto" w:fill="DDDDDD"/>
          </w:tcPr>
          <w:p>
            <w:pPr>
              <w:spacing w:after="0"/>
              <w:rPr>
                <w:sz w:val="19"/>
                <w:szCs w:val="19"/>
                <w:color w:val="auto"/>
              </w:rPr>
            </w:pPr>
          </w:p>
        </w:tc>
        <w:tc>
          <w:tcPr>
            <w:tcW w:w="115"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34,602</w:t>
            </w:r>
          </w:p>
        </w:tc>
      </w:tr>
      <w:tr>
        <w:trPr>
          <w:trHeight w:val="225"/>
        </w:trPr>
        <w:tc>
          <w:tcPr>
            <w:tcW w:w="5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134,715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135,133</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5" w:type="dxa"/>
            <w:vAlign w:val="bottom"/>
            <w:tcBorders>
              <w:bottom w:val="single" w:sz="8" w:color="auto"/>
            </w:tcBorders>
          </w:tcPr>
          <w:p>
            <w:pPr>
              <w:spacing w:after="0" w:line="20" w:lineRule="exact"/>
              <w:rPr>
                <w:sz w:val="1"/>
                <w:szCs w:val="1"/>
                <w:color w:val="auto"/>
              </w:rPr>
            </w:pPr>
          </w:p>
        </w:tc>
        <w:tc>
          <w:tcPr>
            <w:tcW w:w="115"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620" w:type="dxa"/>
            <w:vAlign w:val="bottom"/>
            <w:shd w:val="clear" w:color="auto" w:fill="DDDDDD"/>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205" w:type="dxa"/>
            <w:vAlign w:val="bottom"/>
            <w:shd w:val="clear" w:color="auto" w:fill="DDDDDD"/>
          </w:tcPr>
          <w:p>
            <w:pPr>
              <w:spacing w:after="0"/>
              <w:rPr>
                <w:sz w:val="17"/>
                <w:szCs w:val="17"/>
                <w:color w:val="auto"/>
              </w:rPr>
            </w:pPr>
          </w:p>
        </w:tc>
        <w:tc>
          <w:tcPr>
            <w:tcW w:w="115"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r>
      <w:tr>
        <w:trPr>
          <w:trHeight w:val="221"/>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Treasury Note, 4.625%, 6/30/2026 Maturity</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100,412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100,551</w:t>
            </w:r>
          </w:p>
        </w:tc>
      </w:tr>
      <w:tr>
        <w:trPr>
          <w:trHeight w:val="231"/>
        </w:trPr>
        <w:tc>
          <w:tcPr>
            <w:tcW w:w="562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100,412</w:t>
            </w:r>
          </w:p>
        </w:tc>
        <w:tc>
          <w:tcPr>
            <w:tcW w:w="3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5" w:type="dxa"/>
            <w:vAlign w:val="bottom"/>
            <w:tcBorders>
              <w:bottom w:val="single" w:sz="8" w:color="DDDDDD"/>
            </w:tcBorders>
            <w:shd w:val="clear" w:color="auto" w:fill="DDDDDD"/>
          </w:tcPr>
          <w:p>
            <w:pPr>
              <w:spacing w:after="0"/>
              <w:rPr>
                <w:sz w:val="19"/>
                <w:szCs w:val="19"/>
                <w:color w:val="auto"/>
              </w:rPr>
            </w:pPr>
          </w:p>
        </w:tc>
        <w:tc>
          <w:tcPr>
            <w:tcW w:w="115"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tcBorders>
              <w:bottom w:val="single" w:sz="8" w:color="DDDDDD"/>
            </w:tcBorders>
            <w:shd w:val="clear" w:color="auto" w:fill="DDDDDD"/>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100,551</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5" w:type="dxa"/>
            <w:vAlign w:val="bottom"/>
            <w:tcBorders>
              <w:top w:val="single" w:sz="8" w:color="auto"/>
              <w:bottom w:val="single" w:sz="8" w:color="auto"/>
            </w:tcBorders>
          </w:tcPr>
          <w:p>
            <w:pPr>
              <w:spacing w:after="0" w:line="20" w:lineRule="exact"/>
              <w:rPr>
                <w:sz w:val="1"/>
                <w:szCs w:val="1"/>
                <w:color w:val="auto"/>
              </w:rPr>
            </w:pPr>
          </w:p>
        </w:tc>
        <w:tc>
          <w:tcPr>
            <w:tcW w:w="115"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0" w:right="360" w:firstLine="499"/>
        <w:spacing w:after="0" w:line="277" w:lineRule="auto"/>
        <w:rPr>
          <w:sz w:val="20"/>
          <w:szCs w:val="20"/>
          <w:color w:val="auto"/>
        </w:rPr>
      </w:pPr>
      <w:r>
        <w:rPr>
          <w:rFonts w:ascii="Times New Roman" w:cs="Times New Roman" w:eastAsia="Times New Roman" w:hAnsi="Times New Roman"/>
          <w:sz w:val="20"/>
          <w:szCs w:val="20"/>
          <w:color w:val="auto"/>
        </w:rPr>
        <w:t>Because all of the Company's available-for-sale securities are backed by the full faith and credit of the U.S. government, the Company has not recorded an allowance for credit losses.</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 4. REPURCHASE AGREEMENTS AND REVERSE REPURCHASE AGREEMENTS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Repurchase Agreements</w:t>
      </w:r>
    </w:p>
    <w:p>
      <w:pPr>
        <w:spacing w:after="0" w:line="235" w:lineRule="exact"/>
        <w:rPr>
          <w:sz w:val="20"/>
          <w:szCs w:val="20"/>
          <w:color w:val="auto"/>
        </w:rPr>
      </w:pPr>
    </w:p>
    <w:p>
      <w:pPr>
        <w:ind w:left="20" w:firstLine="499"/>
        <w:spacing w:after="0" w:line="247" w:lineRule="auto"/>
        <w:rPr>
          <w:sz w:val="20"/>
          <w:szCs w:val="20"/>
          <w:color w:val="auto"/>
        </w:rPr>
      </w:pPr>
      <w:r>
        <w:rPr>
          <w:rFonts w:ascii="Times New Roman" w:cs="Times New Roman" w:eastAsia="Times New Roman" w:hAnsi="Times New Roman"/>
          <w:sz w:val="20"/>
          <w:szCs w:val="20"/>
          <w:color w:val="auto"/>
        </w:rPr>
        <w:t>The Company pledges certain of its RMBS as collateral under repurchase agreements with financial institutions. Interest rates are generally fixed based on prevailing rates corresponding to the terms of the borrowings, and interest is generally paid at the termination of a borrowing. If the fair value of the pledged securities declines, lenders will typically require the Company to post additional collateral or pay down borrowings to re- establish agreed upon collateral requirements, referred to as "margin calls." Similarly, if the fair value of the pledged securities increases, lenders may release collateral back to the Company. As of December 31, 2025, the Company had met all margin call requirements.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As of December 31, 2025 and 2024, the Company’s repurchase agreements had remaining maturities as summarized below:</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BETWEEN</w:t>
            </w:r>
          </w:p>
        </w:tc>
        <w:tc>
          <w:tcPr>
            <w:tcW w:w="1320" w:type="dxa"/>
            <w:vAlign w:val="bottom"/>
            <w:tcBorders>
              <w:top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BETWEEN</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50" w:type="dxa"/>
            <w:vAlign w:val="bottom"/>
            <w:tcBorders>
              <w:top w:val="single" w:sz="8" w:color="auto"/>
            </w:tcBorders>
          </w:tcPr>
          <w:p>
            <w:pPr>
              <w:spacing w:after="0"/>
              <w:rPr>
                <w:sz w:val="15"/>
                <w:szCs w:val="15"/>
                <w:color w:val="auto"/>
              </w:rPr>
            </w:pPr>
          </w:p>
        </w:tc>
        <w:tc>
          <w:tcPr>
            <w:tcW w:w="150" w:type="dxa"/>
            <w:vAlign w:val="bottom"/>
            <w:tcBorders>
              <w:top w:val="single" w:sz="8" w:color="auto"/>
            </w:tcBorders>
          </w:tcPr>
          <w:p>
            <w:pPr>
              <w:spacing w:after="0"/>
              <w:rPr>
                <w:sz w:val="15"/>
                <w:szCs w:val="15"/>
                <w:color w:val="auto"/>
              </w:rPr>
            </w:pPr>
          </w:p>
        </w:tc>
      </w:tr>
      <w:tr>
        <w:trPr>
          <w:trHeight w:val="216"/>
        </w:trPr>
        <w:tc>
          <w:tcPr>
            <w:tcW w:w="43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OVERNIGHT</w:t>
            </w:r>
          </w:p>
        </w:tc>
        <w:tc>
          <w:tcPr>
            <w:tcW w:w="2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1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GREATER</w:t>
            </w:r>
          </w:p>
        </w:tc>
        <w:tc>
          <w:tcPr>
            <w:tcW w:w="20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150" w:type="dxa"/>
            <w:vAlign w:val="bottom"/>
          </w:tcPr>
          <w:p>
            <w:pPr>
              <w:spacing w:after="0"/>
              <w:rPr>
                <w:sz w:val="18"/>
                <w:szCs w:val="18"/>
                <w:color w:val="auto"/>
              </w:rPr>
            </w:pPr>
          </w:p>
        </w:tc>
      </w:tr>
      <w:tr>
        <w:trPr>
          <w:trHeight w:val="218"/>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 DAY OR</w:t>
            </w:r>
          </w:p>
        </w:tc>
        <w:tc>
          <w:tcPr>
            <w:tcW w:w="280" w:type="dxa"/>
            <w:vAlign w:val="bottom"/>
          </w:tcPr>
          <w:p>
            <w:pPr>
              <w:spacing w:after="0"/>
              <w:rPr>
                <w:sz w:val="18"/>
                <w:szCs w:val="18"/>
                <w:color w:val="auto"/>
              </w:rPr>
            </w:pPr>
          </w:p>
        </w:tc>
        <w:tc>
          <w:tcPr>
            <w:tcW w:w="110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AND</w:t>
            </w:r>
          </w:p>
        </w:tc>
        <w:tc>
          <w:tcPr>
            <w:tcW w:w="200" w:type="dxa"/>
            <w:vAlign w:val="bottom"/>
          </w:tcPr>
          <w:p>
            <w:pPr>
              <w:spacing w:after="0"/>
              <w:rPr>
                <w:sz w:val="18"/>
                <w:szCs w:val="18"/>
                <w:color w:val="auto"/>
              </w:rPr>
            </w:pPr>
          </w:p>
        </w:tc>
        <w:tc>
          <w:tcPr>
            <w:tcW w:w="11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AND</w:t>
            </w:r>
          </w:p>
        </w:tc>
        <w:tc>
          <w:tcPr>
            <w:tcW w:w="180" w:type="dxa"/>
            <w:vAlign w:val="bottom"/>
          </w:tcPr>
          <w:p>
            <w:pPr>
              <w:spacing w:after="0"/>
              <w:rPr>
                <w:sz w:val="18"/>
                <w:szCs w:val="18"/>
                <w:color w:val="auto"/>
              </w:rPr>
            </w:pPr>
          </w:p>
        </w:tc>
        <w:tc>
          <w:tcPr>
            <w:tcW w:w="11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THAN</w:t>
            </w:r>
          </w:p>
        </w:tc>
        <w:tc>
          <w:tcPr>
            <w:tcW w:w="20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150" w:type="dxa"/>
            <w:vAlign w:val="bottom"/>
          </w:tcPr>
          <w:p>
            <w:pPr>
              <w:spacing w:after="0"/>
              <w:rPr>
                <w:sz w:val="18"/>
                <w:szCs w:val="18"/>
                <w:color w:val="auto"/>
              </w:rPr>
            </w:pPr>
          </w:p>
        </w:tc>
      </w:tr>
      <w:tr>
        <w:trPr>
          <w:trHeight w:val="234"/>
        </w:trPr>
        <w:tc>
          <w:tcPr>
            <w:tcW w:w="4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LESS)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30 DAYS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90 DAYS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50" w:type="dxa"/>
            <w:vAlign w:val="bottom"/>
            <w:tcBorders>
              <w:bottom w:val="single" w:sz="8" w:color="auto"/>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r>
      <w:tr>
        <w:trPr>
          <w:trHeight w:val="201"/>
        </w:trPr>
        <w:tc>
          <w:tcPr>
            <w:tcW w:w="4300" w:type="dxa"/>
            <w:vAlign w:val="bottom"/>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Fair market value of securities pledged, including accrued</w:t>
            </w:r>
          </w:p>
        </w:tc>
        <w:tc>
          <w:tcPr>
            <w:tcW w:w="20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50" w:type="dxa"/>
            <w:vAlign w:val="bottom"/>
            <w:shd w:val="clear" w:color="auto" w:fill="DDDDDD"/>
          </w:tcPr>
          <w:p>
            <w:pPr>
              <w:spacing w:after="0"/>
              <w:rPr>
                <w:sz w:val="17"/>
                <w:szCs w:val="17"/>
                <w:color w:val="auto"/>
              </w:rPr>
            </w:pPr>
          </w:p>
        </w:tc>
        <w:tc>
          <w:tcPr>
            <w:tcW w:w="150" w:type="dxa"/>
            <w:vAlign w:val="bottom"/>
            <w:shd w:val="clear" w:color="auto" w:fill="DDDDDD"/>
          </w:tcPr>
          <w:p>
            <w:pPr>
              <w:spacing w:after="0"/>
              <w:rPr>
                <w:sz w:val="17"/>
                <w:szCs w:val="17"/>
                <w:color w:val="auto"/>
              </w:rPr>
            </w:pPr>
          </w:p>
        </w:tc>
      </w:tr>
      <w:tr>
        <w:trPr>
          <w:trHeight w:val="209"/>
        </w:trPr>
        <w:tc>
          <w:tcPr>
            <w:tcW w:w="430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Borders>
              <w:bottom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highlight w:val="lightGray"/>
                <w:w w:val="88"/>
              </w:rPr>
              <w:t>$</w:t>
            </w: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6,821,306</w:t>
            </w:r>
          </w:p>
        </w:tc>
        <w:tc>
          <w:tcPr>
            <w:tcW w:w="14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3,445,678</w:t>
            </w:r>
          </w:p>
        </w:tc>
        <w:tc>
          <w:tcPr>
            <w:tcW w:w="16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284,296</w:t>
            </w:r>
          </w:p>
        </w:tc>
        <w:tc>
          <w:tcPr>
            <w:tcW w:w="14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5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10,551,280</w:t>
            </w:r>
          </w:p>
        </w:tc>
        <w:tc>
          <w:tcPr>
            <w:tcW w:w="150" w:type="dxa"/>
            <w:vAlign w:val="bottom"/>
            <w:tcBorders>
              <w:bottom w:val="single" w:sz="8" w:color="DDDDDD"/>
            </w:tcBorders>
            <w:shd w:val="clear" w:color="auto" w:fill="DDDDDD"/>
          </w:tcPr>
          <w:p>
            <w:pPr>
              <w:spacing w:after="0"/>
              <w:rPr>
                <w:sz w:val="18"/>
                <w:szCs w:val="18"/>
                <w:color w:val="auto"/>
              </w:rPr>
            </w:pPr>
          </w:p>
        </w:tc>
      </w:tr>
      <w:tr>
        <w:trPr>
          <w:trHeight w:val="178"/>
        </w:trPr>
        <w:tc>
          <w:tcPr>
            <w:tcW w:w="4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Repurchase agreement liabilities associated with these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0" w:type="dxa"/>
            <w:vAlign w:val="bottom"/>
          </w:tcPr>
          <w:p>
            <w:pPr>
              <w:spacing w:after="0"/>
              <w:rPr>
                <w:sz w:val="15"/>
                <w:szCs w:val="15"/>
                <w:color w:val="auto"/>
              </w:rPr>
            </w:pPr>
          </w:p>
        </w:tc>
        <w:tc>
          <w:tcPr>
            <w:tcW w:w="150" w:type="dxa"/>
            <w:vAlign w:val="bottom"/>
          </w:tcPr>
          <w:p>
            <w:pPr>
              <w:spacing w:after="0"/>
              <w:rPr>
                <w:sz w:val="15"/>
                <w:szCs w:val="15"/>
                <w:color w:val="auto"/>
              </w:rPr>
            </w:pPr>
          </w:p>
        </w:tc>
      </w:tr>
      <w:tr>
        <w:trPr>
          <w:trHeight w:val="230"/>
        </w:trPr>
        <w:tc>
          <w:tcPr>
            <w:tcW w:w="430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DDDDDD"/>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6,544,072</w:t>
            </w:r>
          </w:p>
        </w:tc>
        <w:tc>
          <w:tcPr>
            <w:tcW w:w="140" w:type="dxa"/>
            <w:vAlign w:val="bottom"/>
            <w:tcBorders>
              <w:bottom w:val="single" w:sz="8" w:color="DDDDDD"/>
            </w:tcBorders>
          </w:tcPr>
          <w:p>
            <w:pPr>
              <w:spacing w:after="0"/>
              <w:rPr>
                <w:sz w:val="19"/>
                <w:szCs w:val="19"/>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3,297,567</w:t>
            </w:r>
          </w:p>
        </w:tc>
        <w:tc>
          <w:tcPr>
            <w:tcW w:w="160" w:type="dxa"/>
            <w:vAlign w:val="bottom"/>
            <w:tcBorders>
              <w:bottom w:val="single" w:sz="8" w:color="DDDDDD"/>
            </w:tcBorders>
          </w:tcPr>
          <w:p>
            <w:pPr>
              <w:spacing w:after="0"/>
              <w:rPr>
                <w:sz w:val="19"/>
                <w:szCs w:val="19"/>
                <w:color w:val="auto"/>
              </w:rPr>
            </w:pPr>
          </w:p>
        </w:tc>
        <w:tc>
          <w:tcPr>
            <w:tcW w:w="1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273,827</w:t>
            </w:r>
          </w:p>
        </w:tc>
        <w:tc>
          <w:tcPr>
            <w:tcW w:w="140" w:type="dxa"/>
            <w:vAlign w:val="bottom"/>
            <w:tcBorders>
              <w:bottom w:val="single" w:sz="8" w:color="DDDDDD"/>
            </w:tcBorders>
          </w:tcPr>
          <w:p>
            <w:pPr>
              <w:spacing w:after="0"/>
              <w:rPr>
                <w:sz w:val="19"/>
                <w:szCs w:val="19"/>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5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10,115,466</w:t>
            </w:r>
          </w:p>
        </w:tc>
        <w:tc>
          <w:tcPr>
            <w:tcW w:w="150" w:type="dxa"/>
            <w:vAlign w:val="bottom"/>
            <w:tcBorders>
              <w:bottom w:val="single" w:sz="8" w:color="DDDDDD"/>
            </w:tcBorders>
          </w:tcPr>
          <w:p>
            <w:pPr>
              <w:spacing w:after="0"/>
              <w:rPr>
                <w:sz w:val="19"/>
                <w:szCs w:val="19"/>
                <w:color w:val="auto"/>
              </w:rPr>
            </w:pPr>
          </w:p>
        </w:tc>
      </w:tr>
      <w:tr>
        <w:trPr>
          <w:trHeight w:val="195"/>
        </w:trPr>
        <w:tc>
          <w:tcPr>
            <w:tcW w:w="430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Net weighted average borrowing rate</w:t>
            </w:r>
          </w:p>
        </w:tc>
        <w:tc>
          <w:tcPr>
            <w:tcW w:w="20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4.00</w:t>
            </w:r>
          </w:p>
        </w:tc>
        <w:tc>
          <w:tcPr>
            <w:tcW w:w="14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3.96</w:t>
            </w:r>
          </w:p>
        </w:tc>
        <w:tc>
          <w:tcPr>
            <w:tcW w:w="1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3.92</w:t>
            </w:r>
          </w:p>
        </w:tc>
        <w:tc>
          <w:tcPr>
            <w:tcW w:w="14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auto"/>
            </w:tcBorders>
            <w:shd w:val="clear" w:color="auto" w:fill="DDDDDD"/>
          </w:tcPr>
          <w:p>
            <w:pPr>
              <w:spacing w:after="0"/>
              <w:rPr>
                <w:sz w:val="16"/>
                <w:szCs w:val="16"/>
                <w:color w:val="auto"/>
              </w:rPr>
            </w:pPr>
          </w:p>
        </w:tc>
        <w:tc>
          <w:tcPr>
            <w:tcW w:w="95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3.98</w:t>
            </w:r>
          </w:p>
        </w:tc>
        <w:tc>
          <w:tcPr>
            <w:tcW w:w="15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r>
        <w:trPr>
          <w:trHeight w:val="216"/>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50" w:type="dxa"/>
            <w:vAlign w:val="bottom"/>
            <w:tcBorders>
              <w:bottom w:val="single" w:sz="8" w:color="auto"/>
            </w:tcBorders>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r>
      <w:tr>
        <w:trPr>
          <w:trHeight w:val="201"/>
        </w:trPr>
        <w:tc>
          <w:tcPr>
            <w:tcW w:w="4300" w:type="dxa"/>
            <w:vAlign w:val="bottom"/>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Fair market value of securities pledged, including accrued</w:t>
            </w:r>
          </w:p>
        </w:tc>
        <w:tc>
          <w:tcPr>
            <w:tcW w:w="20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50" w:type="dxa"/>
            <w:vAlign w:val="bottom"/>
            <w:shd w:val="clear" w:color="auto" w:fill="DDDDDD"/>
          </w:tcPr>
          <w:p>
            <w:pPr>
              <w:spacing w:after="0"/>
              <w:rPr>
                <w:sz w:val="17"/>
                <w:szCs w:val="17"/>
                <w:color w:val="auto"/>
              </w:rPr>
            </w:pPr>
          </w:p>
        </w:tc>
        <w:tc>
          <w:tcPr>
            <w:tcW w:w="150" w:type="dxa"/>
            <w:vAlign w:val="bottom"/>
            <w:shd w:val="clear" w:color="auto" w:fill="DDDDDD"/>
          </w:tcPr>
          <w:p>
            <w:pPr>
              <w:spacing w:after="0"/>
              <w:rPr>
                <w:sz w:val="17"/>
                <w:szCs w:val="17"/>
                <w:color w:val="auto"/>
              </w:rPr>
            </w:pPr>
          </w:p>
        </w:tc>
      </w:tr>
      <w:tr>
        <w:trPr>
          <w:trHeight w:val="209"/>
        </w:trPr>
        <w:tc>
          <w:tcPr>
            <w:tcW w:w="430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Borders>
              <w:bottom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highlight w:val="lightGray"/>
                <w:w w:val="88"/>
              </w:rPr>
              <w:t>$</w:t>
            </w: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4,850,491</w:t>
            </w:r>
          </w:p>
        </w:tc>
        <w:tc>
          <w:tcPr>
            <w:tcW w:w="14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199,993</w:t>
            </w:r>
          </w:p>
        </w:tc>
        <w:tc>
          <w:tcPr>
            <w:tcW w:w="16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181,437</w:t>
            </w:r>
          </w:p>
        </w:tc>
        <w:tc>
          <w:tcPr>
            <w:tcW w:w="14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5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5,231,921</w:t>
            </w:r>
          </w:p>
        </w:tc>
        <w:tc>
          <w:tcPr>
            <w:tcW w:w="150" w:type="dxa"/>
            <w:vAlign w:val="bottom"/>
            <w:tcBorders>
              <w:bottom w:val="single" w:sz="8" w:color="DDDDDD"/>
            </w:tcBorders>
            <w:shd w:val="clear" w:color="auto" w:fill="DDDDDD"/>
          </w:tcPr>
          <w:p>
            <w:pPr>
              <w:spacing w:after="0"/>
              <w:rPr>
                <w:sz w:val="18"/>
                <w:szCs w:val="18"/>
                <w:color w:val="auto"/>
              </w:rPr>
            </w:pPr>
          </w:p>
        </w:tc>
      </w:tr>
      <w:tr>
        <w:trPr>
          <w:trHeight w:val="178"/>
        </w:trPr>
        <w:tc>
          <w:tcPr>
            <w:tcW w:w="43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Repurchase agreement liabilities associated with these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0" w:type="dxa"/>
            <w:vAlign w:val="bottom"/>
          </w:tcPr>
          <w:p>
            <w:pPr>
              <w:spacing w:after="0"/>
              <w:rPr>
                <w:sz w:val="15"/>
                <w:szCs w:val="15"/>
                <w:color w:val="auto"/>
              </w:rPr>
            </w:pPr>
          </w:p>
        </w:tc>
        <w:tc>
          <w:tcPr>
            <w:tcW w:w="150" w:type="dxa"/>
            <w:vAlign w:val="bottom"/>
          </w:tcPr>
          <w:p>
            <w:pPr>
              <w:spacing w:after="0"/>
              <w:rPr>
                <w:sz w:val="15"/>
                <w:szCs w:val="15"/>
                <w:color w:val="auto"/>
              </w:rPr>
            </w:pPr>
          </w:p>
        </w:tc>
      </w:tr>
      <w:tr>
        <w:trPr>
          <w:trHeight w:val="230"/>
        </w:trPr>
        <w:tc>
          <w:tcPr>
            <w:tcW w:w="430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DDDDDD"/>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4,656,303</w:t>
            </w:r>
          </w:p>
        </w:tc>
        <w:tc>
          <w:tcPr>
            <w:tcW w:w="140" w:type="dxa"/>
            <w:vAlign w:val="bottom"/>
            <w:tcBorders>
              <w:bottom w:val="single" w:sz="8" w:color="DDDDDD"/>
            </w:tcBorders>
          </w:tcPr>
          <w:p>
            <w:pPr>
              <w:spacing w:after="0"/>
              <w:rPr>
                <w:sz w:val="19"/>
                <w:szCs w:val="19"/>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192,338</w:t>
            </w:r>
          </w:p>
        </w:tc>
        <w:tc>
          <w:tcPr>
            <w:tcW w:w="160" w:type="dxa"/>
            <w:vAlign w:val="bottom"/>
            <w:tcBorders>
              <w:bottom w:val="single" w:sz="8" w:color="DDDDDD"/>
            </w:tcBorders>
          </w:tcPr>
          <w:p>
            <w:pPr>
              <w:spacing w:after="0"/>
              <w:rPr>
                <w:sz w:val="19"/>
                <w:szCs w:val="19"/>
                <w:color w:val="auto"/>
              </w:rPr>
            </w:pPr>
          </w:p>
        </w:tc>
        <w:tc>
          <w:tcPr>
            <w:tcW w:w="1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176,902</w:t>
            </w:r>
          </w:p>
        </w:tc>
        <w:tc>
          <w:tcPr>
            <w:tcW w:w="140" w:type="dxa"/>
            <w:vAlign w:val="bottom"/>
            <w:tcBorders>
              <w:bottom w:val="single" w:sz="8" w:color="DDDDDD"/>
            </w:tcBorders>
          </w:tcPr>
          <w:p>
            <w:pPr>
              <w:spacing w:after="0"/>
              <w:rPr>
                <w:sz w:val="19"/>
                <w:szCs w:val="19"/>
                <w:color w:val="auto"/>
              </w:rPr>
            </w:pP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5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5,025,543</w:t>
            </w:r>
          </w:p>
        </w:tc>
        <w:tc>
          <w:tcPr>
            <w:tcW w:w="150" w:type="dxa"/>
            <w:vAlign w:val="bottom"/>
            <w:tcBorders>
              <w:bottom w:val="single" w:sz="8" w:color="DDDDDD"/>
            </w:tcBorders>
          </w:tcPr>
          <w:p>
            <w:pPr>
              <w:spacing w:after="0"/>
              <w:rPr>
                <w:sz w:val="19"/>
                <w:szCs w:val="19"/>
                <w:color w:val="auto"/>
              </w:rPr>
            </w:pPr>
          </w:p>
        </w:tc>
      </w:tr>
      <w:tr>
        <w:trPr>
          <w:trHeight w:val="195"/>
        </w:trPr>
        <w:tc>
          <w:tcPr>
            <w:tcW w:w="430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Net weighted average borrowing rate</w:t>
            </w:r>
          </w:p>
        </w:tc>
        <w:tc>
          <w:tcPr>
            <w:tcW w:w="20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4.56</w:t>
            </w:r>
          </w:p>
        </w:tc>
        <w:tc>
          <w:tcPr>
            <w:tcW w:w="1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18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4.76</w:t>
            </w:r>
          </w:p>
        </w:tc>
        <w:tc>
          <w:tcPr>
            <w:tcW w:w="14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c>
          <w:tcPr>
            <w:tcW w:w="200" w:type="dxa"/>
            <w:vAlign w:val="bottom"/>
            <w:tcBorders>
              <w:bottom w:val="single" w:sz="8" w:color="auto"/>
            </w:tcBorders>
            <w:shd w:val="clear" w:color="auto" w:fill="DDDDDD"/>
          </w:tcPr>
          <w:p>
            <w:pPr>
              <w:spacing w:after="0"/>
              <w:rPr>
                <w:sz w:val="16"/>
                <w:szCs w:val="16"/>
                <w:color w:val="auto"/>
              </w:rPr>
            </w:pPr>
          </w:p>
        </w:tc>
        <w:tc>
          <w:tcPr>
            <w:tcW w:w="95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4.66</w:t>
            </w:r>
          </w:p>
        </w:tc>
        <w:tc>
          <w:tcPr>
            <w:tcW w:w="15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highlight w:val="lightGray"/>
                <w:w w:val="7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-1246505</wp:posOffset>
                </wp:positionV>
                <wp:extent cx="68580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9">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98.1499pt" to="541.2pt,-98.1499pt" o:allowincell="f" strokecolor="#FFFFFF" strokeweight="0.2401pt"/>
            </w:pict>
          </mc:Fallback>
        </mc:AlternateContent>
      </w:r>
    </w:p>
    <w:p>
      <w:pPr>
        <w:spacing w:after="0" w:line="192" w:lineRule="exact"/>
        <w:rPr>
          <w:sz w:val="20"/>
          <w:szCs w:val="20"/>
          <w:color w:val="auto"/>
        </w:rPr>
      </w:pPr>
    </w:p>
    <w:p>
      <w:pPr>
        <w:ind w:left="20" w:right="200" w:firstLine="499"/>
        <w:spacing w:after="0" w:line="277" w:lineRule="auto"/>
        <w:rPr>
          <w:sz w:val="20"/>
          <w:szCs w:val="20"/>
          <w:color w:val="auto"/>
        </w:rPr>
      </w:pPr>
      <w:r>
        <w:rPr>
          <w:rFonts w:ascii="Times New Roman" w:cs="Times New Roman" w:eastAsia="Times New Roman" w:hAnsi="Times New Roman"/>
          <w:sz w:val="20"/>
          <w:szCs w:val="20"/>
          <w:color w:val="auto"/>
        </w:rPr>
        <w:t>In addition, cash pledged to counterparties as collateral for repurchase agreements was approximately $51.2 million and $22.8 million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820"/>
          </w:cols>
          <w:pgMar w:left="700" w:top="1060" w:right="720" w:bottom="0" w:gutter="0" w:footer="0" w:header="0"/>
        </w:sectPr>
      </w:pPr>
    </w:p>
    <w:bookmarkStart w:id="85" w:name="page86"/>
    <w:bookmarkEnd w:id="85"/>
    <w:p>
      <w:pPr>
        <w:ind w:firstLine="499"/>
        <w:spacing w:after="0" w:line="245" w:lineRule="auto"/>
        <w:rPr>
          <w:sz w:val="20"/>
          <w:szCs w:val="20"/>
          <w:color w:val="auto"/>
        </w:rPr>
      </w:pPr>
      <w:r>
        <w:rPr>
          <w:rFonts w:ascii="Times New Roman" w:cs="Times New Roman" w:eastAsia="Times New Roman" w:hAnsi="Times New Roman"/>
          <w:sz w:val="20"/>
          <w:szCs w:val="20"/>
          <w:color w:val="auto"/>
        </w:rPr>
        <w:t>If, during the term of a repurchase agreement, a lender files for bankruptcy, the Company might experience difficulty recovering its pledged assets, which could result in an unsecured claim against the lender for the difference between the amount loaned to the Company plus interest due to the counterparty and the fair value of the collateral pledged to such lender, including the accrued interest receivable and cash posted by the Company as collateral. As of December 31, 2025, the Company had an aggregate amount at risk (the difference between the amount loaned to the Company, including interest payable and securities posted by the counterparty (if any), and the fair value of securities and cash pledged (if any), including accrued interest on such securities) with all counterparties of approximately $455.6 million. The Company did not have an amount at risk with any individual counterparty that was greater than 10% of the Company’s equity as of December 31, 2025 and 2024.</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Reverse Repurchase Agreements</w:t>
      </w:r>
    </w:p>
    <w:p>
      <w:pPr>
        <w:spacing w:after="0" w:line="235" w:lineRule="exact"/>
        <w:rPr>
          <w:sz w:val="20"/>
          <w:szCs w:val="20"/>
          <w:color w:val="auto"/>
        </w:rPr>
      </w:pPr>
    </w:p>
    <w:p>
      <w:pPr>
        <w:ind w:left="160" w:right="220" w:firstLine="360"/>
        <w:spacing w:after="0" w:line="257" w:lineRule="auto"/>
        <w:rPr>
          <w:sz w:val="20"/>
          <w:szCs w:val="20"/>
          <w:color w:val="auto"/>
        </w:rPr>
      </w:pPr>
      <w:r>
        <w:rPr>
          <w:rFonts w:ascii="Times New Roman" w:cs="Times New Roman" w:eastAsia="Times New Roman" w:hAnsi="Times New Roman"/>
          <w:sz w:val="20"/>
          <w:szCs w:val="20"/>
          <w:color w:val="auto"/>
        </w:rPr>
        <w:t>As of December 31, 2025, the Company had $128.6 million of reverse repurchase agreements outstanding, for which we had associated obligations to return borrowed securities at fair value of $128.7 million. The Company had no reverse repurchase agreements outstanding as of December 31, 2024.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DERIVATIVE AND OTHER HEDGING INSTRUMENTS</w:t>
      </w:r>
    </w:p>
    <w:p>
      <w:pPr>
        <w:spacing w:after="0" w:line="235" w:lineRule="exact"/>
        <w:rPr>
          <w:sz w:val="20"/>
          <w:szCs w:val="20"/>
          <w:color w:val="auto"/>
        </w:rPr>
      </w:pPr>
    </w:p>
    <w:p>
      <w:pPr>
        <w:ind w:right="280" w:firstLine="499"/>
        <w:spacing w:after="0" w:line="275" w:lineRule="auto"/>
        <w:rPr>
          <w:sz w:val="20"/>
          <w:szCs w:val="20"/>
          <w:color w:val="auto"/>
        </w:rPr>
      </w:pPr>
      <w:r>
        <w:rPr>
          <w:rFonts w:ascii="Times New Roman" w:cs="Times New Roman" w:eastAsia="Times New Roman" w:hAnsi="Times New Roman"/>
          <w:sz w:val="20"/>
          <w:szCs w:val="20"/>
          <w:color w:val="auto"/>
        </w:rPr>
        <w:t>The table below summarizes fair value information about the Company's derivative and other hedging instruments assets and liabilities as of December 31, 2025 and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2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 and Other Hedging Instruments</w:t>
            </w:r>
          </w:p>
        </w:tc>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r>
      <w:tr>
        <w:trPr>
          <w:trHeight w:val="203"/>
        </w:trPr>
        <w:tc>
          <w:tcPr>
            <w:tcW w:w="502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3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3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r>
      <w:tr>
        <w:trPr>
          <w:trHeight w:val="201"/>
        </w:trPr>
        <w:tc>
          <w:tcPr>
            <w:tcW w:w="50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Interest rate swaps</w:t>
            </w:r>
          </w:p>
        </w:tc>
        <w:tc>
          <w:tcPr>
            <w:tcW w:w="25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Derivative assets, at fair value</w:t>
            </w:r>
          </w:p>
        </w:tc>
        <w:tc>
          <w:tcPr>
            <w:tcW w:w="2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8,237</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4,574</w:t>
            </w:r>
          </w:p>
        </w:tc>
        <w:tc>
          <w:tcPr>
            <w:tcW w:w="100" w:type="dxa"/>
            <w:vAlign w:val="bottom"/>
            <w:tcBorders>
              <w:bottom w:val="single" w:sz="8" w:color="DDDDDD"/>
            </w:tcBorders>
          </w:tcPr>
          <w:p>
            <w:pPr>
              <w:spacing w:after="0"/>
              <w:rPr>
                <w:sz w:val="17"/>
                <w:szCs w:val="17"/>
                <w:color w:val="auto"/>
              </w:rPr>
            </w:pPr>
          </w:p>
        </w:tc>
      </w:tr>
      <w:tr>
        <w:trPr>
          <w:trHeight w:val="195"/>
        </w:trPr>
        <w:tc>
          <w:tcPr>
            <w:tcW w:w="502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TBA securities</w:t>
            </w:r>
          </w:p>
        </w:tc>
        <w:tc>
          <w:tcPr>
            <w:tcW w:w="254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Derivative assets, at fair value</w:t>
            </w:r>
          </w:p>
        </w:tc>
        <w:tc>
          <w:tcPr>
            <w:tcW w:w="1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4,703</w:t>
            </w:r>
          </w:p>
        </w:tc>
        <w:tc>
          <w:tcPr>
            <w:tcW w:w="100" w:type="dxa"/>
            <w:vAlign w:val="bottom"/>
            <w:tcBorders>
              <w:bottom w:val="single" w:sz="8" w:color="auto"/>
            </w:tcBorders>
            <w:shd w:val="clear" w:color="auto" w:fill="DDDDDD"/>
          </w:tcPr>
          <w:p>
            <w:pPr>
              <w:spacing w:after="0"/>
              <w:rPr>
                <w:sz w:val="16"/>
                <w:szCs w:val="16"/>
                <w:color w:val="auto"/>
              </w:rPr>
            </w:pPr>
          </w:p>
        </w:tc>
      </w:tr>
      <w:tr>
        <w:trPr>
          <w:trHeight w:val="228"/>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derivative assets, at fair value</w:t>
            </w:r>
          </w:p>
        </w:tc>
        <w:tc>
          <w:tcPr>
            <w:tcW w:w="2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tcBorders>
              <w:bottom w:val="single" w:sz="8" w:color="auto"/>
            </w:tcBorders>
          </w:tcPr>
          <w:p>
            <w:pPr>
              <w:spacing w:after="0"/>
              <w:rPr>
                <w:sz w:val="19"/>
                <w:szCs w:val="19"/>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2"/>
        </w:trPr>
        <w:tc>
          <w:tcPr>
            <w:tcW w:w="5020" w:type="dxa"/>
            <w:vAlign w:val="bottom"/>
            <w:tcBorders>
              <w:bottom w:val="single" w:sz="8" w:color="DDDDDD"/>
            </w:tcBorders>
            <w:shd w:val="clear" w:color="auto" w:fill="DDDDDD"/>
          </w:tcPr>
          <w:p>
            <w:pPr>
              <w:spacing w:after="0"/>
              <w:rPr>
                <w:sz w:val="16"/>
                <w:szCs w:val="16"/>
                <w:color w:val="auto"/>
              </w:rPr>
            </w:pPr>
          </w:p>
        </w:tc>
        <w:tc>
          <w:tcPr>
            <w:tcW w:w="254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r>
      <w:tr>
        <w:trPr>
          <w:trHeight w:val="203"/>
        </w:trPr>
        <w:tc>
          <w:tcPr>
            <w:tcW w:w="50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54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r>
      <w:tr>
        <w:trPr>
          <w:trHeight w:val="193"/>
        </w:trPr>
        <w:tc>
          <w:tcPr>
            <w:tcW w:w="5020" w:type="dxa"/>
            <w:vAlign w:val="bottom"/>
            <w:tcBorders>
              <w:bottom w:val="single" w:sz="8" w:color="auto"/>
            </w:tcBorders>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rPr>
              <w:t>TBA securities</w:t>
            </w:r>
          </w:p>
        </w:tc>
        <w:tc>
          <w:tcPr>
            <w:tcW w:w="2540" w:type="dxa"/>
            <w:vAlign w:val="bottom"/>
            <w:tcBorders>
              <w:bottom w:val="single" w:sz="8" w:color="auto"/>
            </w:tcBorders>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highlight w:val="lightGray"/>
              </w:rPr>
              <w:t>Derivative liabilities, at fair value</w:t>
            </w:r>
          </w:p>
        </w:tc>
        <w:tc>
          <w:tcPr>
            <w:tcW w:w="1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auto"/>
            </w:tcBorders>
            <w:shd w:val="clear" w:color="auto" w:fill="DDDDDD"/>
          </w:tcPr>
          <w:p>
            <w:pPr>
              <w:spacing w:after="0"/>
              <w:rPr>
                <w:sz w:val="16"/>
                <w:szCs w:val="16"/>
                <w:color w:val="auto"/>
              </w:rPr>
            </w:pPr>
          </w:p>
        </w:tc>
      </w:tr>
      <w:tr>
        <w:trPr>
          <w:trHeight w:val="23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derivative liabilities, at fair value</w:t>
            </w:r>
          </w:p>
        </w:tc>
        <w:tc>
          <w:tcPr>
            <w:tcW w:w="2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auto"/>
            </w:tcBorders>
          </w:tcPr>
          <w:p>
            <w:pPr>
              <w:spacing w:after="0"/>
              <w:rPr>
                <w:sz w:val="20"/>
                <w:szCs w:val="20"/>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2"/>
        </w:trPr>
        <w:tc>
          <w:tcPr>
            <w:tcW w:w="5020" w:type="dxa"/>
            <w:vAlign w:val="bottom"/>
            <w:tcBorders>
              <w:bottom w:val="single" w:sz="8" w:color="DDDDDD"/>
            </w:tcBorders>
            <w:shd w:val="clear" w:color="auto" w:fill="DDDDDD"/>
          </w:tcPr>
          <w:p>
            <w:pPr>
              <w:spacing w:after="0"/>
              <w:rPr>
                <w:sz w:val="16"/>
                <w:szCs w:val="16"/>
                <w:color w:val="auto"/>
              </w:rPr>
            </w:pPr>
          </w:p>
        </w:tc>
        <w:tc>
          <w:tcPr>
            <w:tcW w:w="254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r>
      <w:tr>
        <w:trPr>
          <w:trHeight w:val="203"/>
        </w:trPr>
        <w:tc>
          <w:tcPr>
            <w:tcW w:w="50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Margin Balances Posted to (from) Counterparties</w:t>
            </w:r>
          </w:p>
        </w:tc>
        <w:tc>
          <w:tcPr>
            <w:tcW w:w="254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r>
      <w:tr>
        <w:trPr>
          <w:trHeight w:val="191"/>
        </w:trPr>
        <w:tc>
          <w:tcPr>
            <w:tcW w:w="50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Futures contracts</w:t>
            </w:r>
          </w:p>
        </w:tc>
        <w:tc>
          <w:tcPr>
            <w:tcW w:w="25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5,131</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13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01"/>
        </w:trPr>
        <w:tc>
          <w:tcPr>
            <w:tcW w:w="50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TBA securities</w:t>
            </w:r>
          </w:p>
        </w:tc>
        <w:tc>
          <w:tcPr>
            <w:tcW w:w="25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2,394</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DDDDDD"/>
            </w:tcBorders>
          </w:tcPr>
          <w:p>
            <w:pPr>
              <w:spacing w:after="0"/>
              <w:rPr>
                <w:sz w:val="17"/>
                <w:szCs w:val="17"/>
                <w:color w:val="auto"/>
              </w:rPr>
            </w:pPr>
          </w:p>
        </w:tc>
      </w:tr>
      <w:tr>
        <w:trPr>
          <w:trHeight w:val="195"/>
        </w:trPr>
        <w:tc>
          <w:tcPr>
            <w:tcW w:w="502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TBA securities</w:t>
            </w:r>
          </w:p>
        </w:tc>
        <w:tc>
          <w:tcPr>
            <w:tcW w:w="254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(4,282</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33"/>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margin balances on derivative contracts</w:t>
            </w:r>
          </w:p>
        </w:tc>
        <w:tc>
          <w:tcPr>
            <w:tcW w:w="2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(1,377 )</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-1331595</wp:posOffset>
                </wp:positionV>
                <wp:extent cx="68580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4.8499pt" to="540.2pt,-104.8499pt" o:allowincell="f" strokecolor="#FFFFFF" strokeweight="0.24pt"/>
            </w:pict>
          </mc:Fallback>
        </mc:AlternateContent>
      </w:r>
    </w:p>
    <w:p>
      <w:pPr>
        <w:spacing w:after="0" w:line="190" w:lineRule="exact"/>
        <w:rPr>
          <w:sz w:val="20"/>
          <w:szCs w:val="20"/>
          <w:color w:val="auto"/>
        </w:rPr>
      </w:pPr>
    </w:p>
    <w:p>
      <w:pPr>
        <w:ind w:right="420" w:firstLine="499"/>
        <w:spacing w:after="0" w:line="252" w:lineRule="auto"/>
        <w:rPr>
          <w:sz w:val="20"/>
          <w:szCs w:val="20"/>
          <w:color w:val="auto"/>
        </w:rPr>
      </w:pPr>
      <w:r>
        <w:rPr>
          <w:rFonts w:ascii="Times New Roman" w:cs="Times New Roman" w:eastAsia="Times New Roman" w:hAnsi="Times New Roman"/>
          <w:sz w:val="20"/>
          <w:szCs w:val="20"/>
          <w:color w:val="auto"/>
        </w:rPr>
        <w:t>T-Note and SOFR futures are cash and securities settled futures contracts on their respective underlying or delivery eligible underlying U.S. Treasury security, with gains and losses credited or charged to the Company’s cash accounts on a daily basis. A minimum balance, or “margin”, is required to be maintained in the account on a daily basis. The tables below present information related to the Company’s T-Note and SOFR futures positions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800"/>
          </w:cols>
          <w:pgMar w:left="720" w:top="788" w:right="720"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7"/>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r>
      <w:tr>
        <w:trPr>
          <w:trHeight w:val="192"/>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00"/>
              <w:spacing w:after="0" w:line="193"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tcPr>
          <w:p>
            <w:pPr>
              <w:jc w:val="center"/>
              <w:ind w:right="100"/>
              <w:spacing w:after="0" w:line="193"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center"/>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Entry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Open</w:t>
            </w:r>
          </w:p>
        </w:tc>
      </w:tr>
      <w:tr>
        <w:trPr>
          <w:trHeight w:val="234"/>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Expiration Year</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Equity(1)</w:t>
            </w:r>
          </w:p>
        </w:tc>
      </w:tr>
      <w:tr>
        <w:trPr>
          <w:trHeight w:val="208"/>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U.S. Treasury Note Futures Contracts (Short Positions)</w:t>
            </w:r>
            <w:r>
              <w:rPr>
                <w:rFonts w:ascii="Times New Roman" w:cs="Times New Roman" w:eastAsia="Times New Roman" w:hAnsi="Times New Roman"/>
                <w:sz w:val="10"/>
                <w:szCs w:val="10"/>
                <w:b w:val="1"/>
                <w:bCs w:val="1"/>
                <w:color w:val="auto"/>
              </w:rPr>
              <w:t>(2)</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150" w:type="dxa"/>
            <w:vAlign w:val="bottom"/>
            <w:shd w:val="clear" w:color="auto" w:fill="DDDDDD"/>
          </w:tcPr>
          <w:p>
            <w:pPr>
              <w:spacing w:after="0"/>
              <w:rPr>
                <w:sz w:val="18"/>
                <w:szCs w:val="18"/>
                <w:color w:val="auto"/>
              </w:rPr>
            </w:pPr>
          </w:p>
        </w:tc>
        <w:tc>
          <w:tcPr>
            <w:tcW w:w="15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2026 5-year T-Note futures (Mar 2026 - Mar 2031 Hedge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2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8"/>
        </w:trPr>
        <w:tc>
          <w:tcPr>
            <w:tcW w:w="57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March 2026 10-year T-Note futures (Mar 2026 - Mar 2036 Hedge Period)</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gridSpan w:val="2"/>
            <w:shd w:val="clear" w:color="auto" w:fill="DDDDDD"/>
          </w:tcPr>
          <w:p>
            <w:pPr>
              <w:spacing w:after="0"/>
              <w:rPr>
                <w:sz w:val="18"/>
                <w:szCs w:val="18"/>
                <w:color w:val="auto"/>
              </w:rPr>
            </w:pPr>
          </w:p>
        </w:tc>
        <w:tc>
          <w:tcPr>
            <w:tcW w:w="1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shd w:val="clear" w:color="auto" w:fill="DDDDDD"/>
          </w:tcPr>
          <w:p>
            <w:pPr>
              <w:spacing w:after="0"/>
              <w:rPr>
                <w:sz w:val="18"/>
                <w:szCs w:val="18"/>
                <w:color w:val="auto"/>
              </w:rPr>
            </w:pPr>
          </w:p>
        </w:tc>
        <w:tc>
          <w:tcPr>
            <w:tcW w:w="100" w:type="dxa"/>
            <w:vAlign w:val="bottom"/>
            <w:gridSpan w:val="2"/>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DDDDDD"/>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2026 10-year Ultra futures (Mar 2026 - Mar 2036 Hedge Period)</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2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r>
      <w:tr>
        <w:trPr>
          <w:trHeight w:val="216"/>
        </w:trPr>
        <w:tc>
          <w:tcPr>
            <w:tcW w:w="57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SOFR Futures Contracts (Short Positions)</w:t>
            </w:r>
          </w:p>
        </w:tc>
        <w:tc>
          <w:tcPr>
            <w:tcW w:w="100" w:type="dxa"/>
            <w:vAlign w:val="bottom"/>
            <w:tcBorders>
              <w:bottom w:val="single" w:sz="8" w:color="DDDDDD"/>
            </w:tcBorders>
            <w:shd w:val="clear" w:color="auto" w:fill="DDDDDD"/>
          </w:tcPr>
          <w:p>
            <w:pPr>
              <w:spacing w:after="0"/>
              <w:rPr>
                <w:sz w:val="18"/>
                <w:szCs w:val="18"/>
                <w:color w:val="auto"/>
              </w:rPr>
            </w:pPr>
          </w:p>
        </w:tc>
        <w:tc>
          <w:tcPr>
            <w:tcW w:w="9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150" w:type="dxa"/>
            <w:vAlign w:val="bottom"/>
            <w:tcBorders>
              <w:bottom w:val="single" w:sz="8" w:color="DDDDDD"/>
            </w:tcBorders>
            <w:shd w:val="clear" w:color="auto" w:fill="DDDDDD"/>
          </w:tcPr>
          <w:p>
            <w:pPr>
              <w:spacing w:after="0"/>
              <w:rPr>
                <w:sz w:val="18"/>
                <w:szCs w:val="18"/>
                <w:color w:val="auto"/>
              </w:rPr>
            </w:pPr>
          </w:p>
        </w:tc>
        <w:tc>
          <w:tcPr>
            <w:tcW w:w="150" w:type="dxa"/>
            <w:vAlign w:val="bottom"/>
            <w:tcBorders>
              <w:bottom w:val="single" w:sz="8" w:color="DDDDDD"/>
            </w:tcBorders>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6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tcBorders>
              <w:bottom w:val="single" w:sz="8" w:color="DDDDDD"/>
            </w:tcBorders>
            <w:shd w:val="clear" w:color="auto" w:fill="DDDDDD"/>
          </w:tcPr>
          <w:p>
            <w:pPr>
              <w:spacing w:after="0"/>
              <w:rPr>
                <w:sz w:val="18"/>
                <w:szCs w:val="18"/>
                <w:color w:val="auto"/>
              </w:rPr>
            </w:pPr>
          </w:p>
        </w:tc>
        <w:tc>
          <w:tcPr>
            <w:tcW w:w="9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r>
      <w:tr>
        <w:trPr>
          <w:trHeight w:val="198"/>
        </w:trPr>
        <w:tc>
          <w:tcPr>
            <w:tcW w:w="5720" w:type="dxa"/>
            <w:vAlign w:val="bottom"/>
          </w:tcPr>
          <w:p>
            <w:pPr>
              <w:ind w:left="180"/>
              <w:spacing w:after="0" w:line="199" w:lineRule="exact"/>
              <w:rPr>
                <w:sz w:val="20"/>
                <w:szCs w:val="20"/>
                <w:color w:val="auto"/>
              </w:rPr>
            </w:pPr>
            <w:r>
              <w:rPr>
                <w:rFonts w:ascii="Times New Roman" w:cs="Times New Roman" w:eastAsia="Times New Roman" w:hAnsi="Times New Roman"/>
                <w:sz w:val="18"/>
                <w:szCs w:val="18"/>
                <w:color w:val="auto"/>
              </w:rPr>
              <w:t>March 2026 3-Month SOFR futures (Dec 2025 - Mar 2026 Hedge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97,500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3.73 %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3.69 %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(44 )</w:t>
            </w:r>
          </w:p>
        </w:tc>
      </w:tr>
      <w:tr>
        <w:trPr>
          <w:trHeight w:val="216"/>
        </w:trPr>
        <w:tc>
          <w:tcPr>
            <w:tcW w:w="57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June 2026 3-Month SOFR futures (Mar 2026 - Jun 2026 Hedge Period)</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20" w:type="dxa"/>
            <w:vAlign w:val="bottom"/>
            <w:gridSpan w:val="2"/>
            <w:shd w:val="clear" w:color="auto" w:fill="DDDDDD"/>
          </w:tcPr>
          <w:p>
            <w:pPr>
              <w:spacing w:after="0"/>
              <w:rPr>
                <w:sz w:val="18"/>
                <w:szCs w:val="18"/>
                <w:color w:val="auto"/>
              </w:rPr>
            </w:pPr>
          </w:p>
        </w:tc>
        <w:tc>
          <w:tcPr>
            <w:tcW w:w="1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shd w:val="clear" w:color="auto" w:fill="DDDDDD"/>
          </w:tcPr>
          <w:p>
            <w:pPr>
              <w:spacing w:after="0"/>
              <w:rPr>
                <w:sz w:val="18"/>
                <w:szCs w:val="18"/>
                <w:color w:val="auto"/>
              </w:rPr>
            </w:pPr>
          </w:p>
        </w:tc>
        <w:tc>
          <w:tcPr>
            <w:tcW w:w="100" w:type="dxa"/>
            <w:vAlign w:val="bottom"/>
            <w:gridSpan w:val="2"/>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195"/>
        </w:trPr>
        <w:tc>
          <w:tcPr>
            <w:tcW w:w="572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September 2026 3-Month SOFR futures (Jun 2026 - Sep 2026 Hedge</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2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11"/>
        </w:trPr>
        <w:tc>
          <w:tcPr>
            <w:tcW w:w="57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December 2026 3-Month SOFR futures (Sep 2026 - Dec 2026 Hedge</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150" w:type="dxa"/>
            <w:vAlign w:val="bottom"/>
            <w:shd w:val="clear" w:color="auto" w:fill="DDDDDD"/>
          </w:tcPr>
          <w:p>
            <w:pPr>
              <w:spacing w:after="0"/>
              <w:rPr>
                <w:sz w:val="18"/>
                <w:szCs w:val="18"/>
                <w:color w:val="auto"/>
              </w:rPr>
            </w:pPr>
          </w:p>
        </w:tc>
        <w:tc>
          <w:tcPr>
            <w:tcW w:w="15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4"/>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20" w:type="dxa"/>
            <w:vAlign w:val="bottom"/>
            <w:gridSpan w:val="2"/>
            <w:shd w:val="clear" w:color="auto" w:fill="DDDDDD"/>
          </w:tcPr>
          <w:p>
            <w:pPr>
              <w:spacing w:after="0"/>
              <w:rPr>
                <w:sz w:val="18"/>
                <w:szCs w:val="18"/>
                <w:color w:val="auto"/>
              </w:rPr>
            </w:pPr>
          </w:p>
        </w:tc>
        <w:tc>
          <w:tcPr>
            <w:tcW w:w="1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shd w:val="clear" w:color="auto" w:fill="DDDDDD"/>
          </w:tcPr>
          <w:p>
            <w:pPr>
              <w:spacing w:after="0"/>
              <w:rPr>
                <w:sz w:val="18"/>
                <w:szCs w:val="18"/>
                <w:color w:val="auto"/>
              </w:rPr>
            </w:pPr>
          </w:p>
        </w:tc>
        <w:tc>
          <w:tcPr>
            <w:tcW w:w="100" w:type="dxa"/>
            <w:vAlign w:val="bottom"/>
            <w:gridSpan w:val="2"/>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2027 3-Month SOFR futures (Dec 2026 - Mar 2027 Hedge Period)</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2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18"/>
        </w:trPr>
        <w:tc>
          <w:tcPr>
            <w:tcW w:w="57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June 2027 3-Month SOFR futures (Mar 2027 - Jun 2027 Hedge Period)</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20" w:type="dxa"/>
            <w:vAlign w:val="bottom"/>
            <w:gridSpan w:val="2"/>
            <w:shd w:val="clear" w:color="auto" w:fill="DDDDDD"/>
          </w:tcPr>
          <w:p>
            <w:pPr>
              <w:spacing w:after="0"/>
              <w:rPr>
                <w:sz w:val="18"/>
                <w:szCs w:val="18"/>
                <w:color w:val="auto"/>
              </w:rPr>
            </w:pPr>
          </w:p>
        </w:tc>
        <w:tc>
          <w:tcPr>
            <w:tcW w:w="1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shd w:val="clear" w:color="auto" w:fill="DDDDDD"/>
          </w:tcPr>
          <w:p>
            <w:pPr>
              <w:spacing w:after="0"/>
              <w:rPr>
                <w:sz w:val="18"/>
                <w:szCs w:val="18"/>
                <w:color w:val="auto"/>
              </w:rPr>
            </w:pPr>
          </w:p>
        </w:tc>
        <w:tc>
          <w:tcPr>
            <w:tcW w:w="100" w:type="dxa"/>
            <w:vAlign w:val="bottom"/>
            <w:gridSpan w:val="2"/>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4"/>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ERIS SOFR Swap Futures Contracts (Short Positions)</w:t>
            </w:r>
            <w:r>
              <w:rPr>
                <w:rFonts w:ascii="Times New Roman" w:cs="Times New Roman" w:eastAsia="Times New Roman" w:hAnsi="Times New Roman"/>
                <w:sz w:val="10"/>
                <w:szCs w:val="10"/>
                <w:b w:val="1"/>
                <w:bCs w:val="1"/>
                <w:color w:val="auto"/>
              </w:rPr>
              <w:t>(3)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5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7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March 2026 5-Year Term, 3.75% fixed rate (Mar 2026 - Mar 2031 Hedge</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150" w:type="dxa"/>
            <w:vAlign w:val="bottom"/>
            <w:shd w:val="clear" w:color="auto" w:fill="DDDDDD"/>
          </w:tcPr>
          <w:p>
            <w:pPr>
              <w:spacing w:after="0"/>
              <w:rPr>
                <w:sz w:val="18"/>
                <w:szCs w:val="18"/>
                <w:color w:val="auto"/>
              </w:rPr>
            </w:pPr>
          </w:p>
        </w:tc>
        <w:tc>
          <w:tcPr>
            <w:tcW w:w="15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3"/>
        </w:trPr>
        <w:tc>
          <w:tcPr>
            <w:tcW w:w="57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auto"/>
            </w:tcBorders>
            <w:gridSpan w:val="2"/>
            <w:shd w:val="clear" w:color="auto" w:fill="DDDDDD"/>
          </w:tcPr>
          <w:p>
            <w:pPr>
              <w:spacing w:after="0"/>
              <w:rPr>
                <w:sz w:val="18"/>
                <w:szCs w:val="18"/>
                <w:color w:val="auto"/>
              </w:rPr>
            </w:pPr>
          </w:p>
        </w:tc>
        <w:tc>
          <w:tcPr>
            <w:tcW w:w="115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5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gridSpan w:val="2"/>
            <w:shd w:val="clear" w:color="auto" w:fill="DDDDDD"/>
          </w:tcPr>
          <w:p>
            <w:pPr>
              <w:spacing w:after="0"/>
              <w:rPr>
                <w:sz w:val="18"/>
                <w:szCs w:val="18"/>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20" w:type="dxa"/>
            <w:vAlign w:val="bottom"/>
            <w:tcBorders>
              <w:bottom w:val="single" w:sz="8" w:color="auto"/>
            </w:tcBorders>
            <w:gridSpan w:val="2"/>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449"/>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5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8"/>
        </w:trPr>
        <w:tc>
          <w:tcPr>
            <w:tcW w:w="5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92"/>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100"/>
              <w:spacing w:after="0" w:line="193"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tcPr>
          <w:p>
            <w:pPr>
              <w:jc w:val="center"/>
              <w:ind w:right="100"/>
              <w:spacing w:after="0" w:line="193"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center"/>
              <w:ind w:right="70"/>
              <w:spacing w:after="0" w:line="193"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Entry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Open</w:t>
            </w:r>
          </w:p>
        </w:tc>
      </w:tr>
      <w:tr>
        <w:trPr>
          <w:trHeight w:val="234"/>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Expiration Year</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Equity(1)</w:t>
            </w:r>
          </w:p>
        </w:tc>
      </w:tr>
      <w:tr>
        <w:trPr>
          <w:trHeight w:val="208"/>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U.S. Treasury Note Futures Contracts (Short Positions)(2)</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150" w:type="dxa"/>
            <w:vAlign w:val="bottom"/>
            <w:shd w:val="clear" w:color="auto" w:fill="DDDDDD"/>
          </w:tcPr>
          <w:p>
            <w:pPr>
              <w:spacing w:after="0"/>
              <w:rPr>
                <w:sz w:val="18"/>
                <w:szCs w:val="18"/>
                <w:color w:val="auto"/>
              </w:rPr>
            </w:pPr>
          </w:p>
        </w:tc>
        <w:tc>
          <w:tcPr>
            <w:tcW w:w="15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2025 5-year T-Note futures (Mar 2025 - Mar 2030 Hedge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2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8"/>
                <w:szCs w:val="18"/>
                <w:color w:val="auto"/>
              </w:rPr>
            </w:pPr>
          </w:p>
        </w:tc>
      </w:tr>
      <w:tr>
        <w:trPr>
          <w:trHeight w:val="218"/>
        </w:trPr>
        <w:tc>
          <w:tcPr>
            <w:tcW w:w="57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March 2025 10-year T-Note futures (Mar 2025 - Mar 2035 Hedge Period)</w:t>
            </w:r>
          </w:p>
        </w:tc>
        <w:tc>
          <w:tcPr>
            <w:tcW w:w="10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120" w:type="dxa"/>
            <w:vAlign w:val="bottom"/>
            <w:gridSpan w:val="2"/>
            <w:shd w:val="clear" w:color="auto" w:fill="DDDDDD"/>
          </w:tcPr>
          <w:p>
            <w:pPr>
              <w:spacing w:after="0"/>
              <w:rPr>
                <w:sz w:val="18"/>
                <w:szCs w:val="18"/>
                <w:color w:val="auto"/>
              </w:rPr>
            </w:pPr>
          </w:p>
        </w:tc>
        <w:tc>
          <w:tcPr>
            <w:tcW w:w="1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5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79"/>
              </w:rPr>
              <w:t>%</w:t>
            </w:r>
          </w:p>
        </w:tc>
        <w:tc>
          <w:tcPr>
            <w:tcW w:w="20" w:type="dxa"/>
            <w:vAlign w:val="bottom"/>
            <w:shd w:val="clear" w:color="auto" w:fill="DDDDDD"/>
          </w:tcPr>
          <w:p>
            <w:pPr>
              <w:spacing w:after="0"/>
              <w:rPr>
                <w:sz w:val="18"/>
                <w:szCs w:val="18"/>
                <w:color w:val="auto"/>
              </w:rPr>
            </w:pPr>
          </w:p>
        </w:tc>
        <w:tc>
          <w:tcPr>
            <w:tcW w:w="100" w:type="dxa"/>
            <w:vAlign w:val="bottom"/>
            <w:gridSpan w:val="2"/>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w w:val="93"/>
              </w:rPr>
              <w:t>%</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DDDDDD"/>
          </w:tcPr>
          <w:p>
            <w:pPr>
              <w:spacing w:after="0"/>
              <w:rPr>
                <w:sz w:val="18"/>
                <w:szCs w:val="18"/>
                <w:color w:val="auto"/>
              </w:rPr>
            </w:pPr>
          </w:p>
        </w:tc>
      </w:tr>
      <w:tr>
        <w:trPr>
          <w:trHeight w:val="221"/>
        </w:trPr>
        <w:tc>
          <w:tcPr>
            <w:tcW w:w="5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March 2024 10-year Ultra futures (Mar 2025 - Mar 2035 Hedge Period)</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-1842135</wp:posOffset>
                </wp:positionV>
                <wp:extent cx="430276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2760" cy="4763"/>
                        </a:xfrm>
                        <a:prstGeom prst="line">
                          <a:avLst/>
                        </a:prstGeom>
                        <a:solidFill>
                          <a:srgbClr val="FFFFFF"/>
                        </a:solidFill>
                        <a:ln w="3035">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5.0499pt" to="339pt,-145.0499pt" o:allowincell="f" strokecolor="#FFFFFF" strokeweight="0.239pt"/>
            </w:pict>
          </mc:Fallback>
        </mc:AlternateContent>
        <mc:AlternateContent>
          <mc:Choice Requires="wps">
            <w:drawing>
              <wp:anchor simplePos="0" relativeHeight="251657728" behindDoc="1" locked="0" layoutInCell="0" allowOverlap="1">
                <wp:simplePos x="0" y="0"/>
                <wp:positionH relativeFrom="column">
                  <wp:posOffset>4306570</wp:posOffset>
                </wp:positionH>
                <wp:positionV relativeFrom="paragraph">
                  <wp:posOffset>-1842135</wp:posOffset>
                </wp:positionV>
                <wp:extent cx="6223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 cy="4763"/>
                        </a:xfrm>
                        <a:prstGeom prst="line">
                          <a:avLst/>
                        </a:prstGeom>
                        <a:solidFill>
                          <a:srgbClr val="FFFFFF"/>
                        </a:solidFill>
                        <a:ln w="3035">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1pt,-145.0499pt" to="344pt,-145.0499pt" o:allowincell="f" strokecolor="#FFFFFF" strokeweight="0.239pt"/>
            </w:pict>
          </mc:Fallback>
        </mc:AlternateContent>
        <mc:AlternateContent>
          <mc:Choice Requires="wps">
            <w:drawing>
              <wp:anchor simplePos="0" relativeHeight="251657728" behindDoc="1" locked="0" layoutInCell="0" allowOverlap="1">
                <wp:simplePos x="0" y="0"/>
                <wp:positionH relativeFrom="column">
                  <wp:posOffset>4370705</wp:posOffset>
                </wp:positionH>
                <wp:positionV relativeFrom="paragraph">
                  <wp:posOffset>-1842135</wp:posOffset>
                </wp:positionV>
                <wp:extent cx="8413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3035">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15pt,-145.0499pt" to="410.4pt,-145.0499pt" o:allowincell="f" strokecolor="#FFFFFF" strokeweight="0.239pt"/>
            </w:pict>
          </mc:Fallback>
        </mc:AlternateContent>
        <mc:AlternateContent>
          <mc:Choice Requires="wps">
            <w:drawing>
              <wp:anchor simplePos="0" relativeHeight="251657728" behindDoc="1" locked="0" layoutInCell="0" allowOverlap="1">
                <wp:simplePos x="0" y="0"/>
                <wp:positionH relativeFrom="column">
                  <wp:posOffset>5213350</wp:posOffset>
                </wp:positionH>
                <wp:positionV relativeFrom="paragraph">
                  <wp:posOffset>-1842135</wp:posOffset>
                </wp:positionV>
                <wp:extent cx="6223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 cy="4763"/>
                        </a:xfrm>
                        <a:prstGeom prst="line">
                          <a:avLst/>
                        </a:prstGeom>
                        <a:solidFill>
                          <a:srgbClr val="FFFFFF"/>
                        </a:solidFill>
                        <a:ln w="3035">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5pt,-145.0499pt" to="415.4pt,-145.0499pt" o:allowincell="f" strokecolor="#FFFFFF" strokeweight="0.239pt"/>
            </w:pict>
          </mc:Fallback>
        </mc:AlternateContent>
        <mc:AlternateContent>
          <mc:Choice Requires="wps">
            <w:drawing>
              <wp:anchor simplePos="0" relativeHeight="251657728" behindDoc="1" locked="0" layoutInCell="0" allowOverlap="1">
                <wp:simplePos x="0" y="0"/>
                <wp:positionH relativeFrom="column">
                  <wp:posOffset>5277485</wp:posOffset>
                </wp:positionH>
                <wp:positionV relativeFrom="paragraph">
                  <wp:posOffset>-1842135</wp:posOffset>
                </wp:positionV>
                <wp:extent cx="8413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3035">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55pt,-145.0499pt" to="481.8pt,-145.0499pt" o:allowincell="f" strokecolor="#FFFFFF" strokeweight="0.239pt"/>
            </w:pict>
          </mc:Fallback>
        </mc:AlternateContent>
        <mc:AlternateContent>
          <mc:Choice Requires="wps">
            <w:drawing>
              <wp:anchor simplePos="0" relativeHeight="251657728" behindDoc="1" locked="0" layoutInCell="0" allowOverlap="1">
                <wp:simplePos x="0" y="0"/>
                <wp:positionH relativeFrom="column">
                  <wp:posOffset>6120130</wp:posOffset>
                </wp:positionH>
                <wp:positionV relativeFrom="paragraph">
                  <wp:posOffset>-1842135</wp:posOffset>
                </wp:positionV>
                <wp:extent cx="6223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 cy="4763"/>
                        </a:xfrm>
                        <a:prstGeom prst="line">
                          <a:avLst/>
                        </a:prstGeom>
                        <a:solidFill>
                          <a:srgbClr val="FFFFFF"/>
                        </a:solidFill>
                        <a:ln w="3035">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9pt,-145.0499pt" to="486.8pt,-145.0499pt" o:allowincell="f" strokecolor="#FFFFFF" strokeweight="0.239pt"/>
            </w:pict>
          </mc:Fallback>
        </mc:AlternateContent>
        <mc:AlternateContent>
          <mc:Choice Requires="wps">
            <w:drawing>
              <wp:anchor simplePos="0" relativeHeight="251657728" behindDoc="1" locked="0" layoutInCell="0" allowOverlap="1">
                <wp:simplePos x="0" y="0"/>
                <wp:positionH relativeFrom="column">
                  <wp:posOffset>6184265</wp:posOffset>
                </wp:positionH>
                <wp:positionV relativeFrom="paragraph">
                  <wp:posOffset>-1842135</wp:posOffset>
                </wp:positionV>
                <wp:extent cx="6762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3035">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95pt,-145.0499pt" to="540.2pt,-145.0499pt" o:allowincell="f" strokecolor="#FFFFFF" strokeweight="0.239pt"/>
            </w:pict>
          </mc:Fallback>
        </mc:AlternateContent>
      </w:r>
    </w:p>
    <w:p>
      <w:pPr>
        <w:spacing w:after="0" w:line="197" w:lineRule="exact"/>
        <w:rPr>
          <w:sz w:val="20"/>
          <w:szCs w:val="20"/>
          <w:color w:val="auto"/>
        </w:rPr>
      </w:pPr>
    </w:p>
    <w:p>
      <w:pPr>
        <w:ind w:left="360" w:hanging="350"/>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equity represents the cumulative gains (losses) recorded on open futures positions from inception.</w:t>
      </w:r>
    </w:p>
    <w:p>
      <w:pPr>
        <w:spacing w:after="0" w:line="33" w:lineRule="exact"/>
        <w:rPr>
          <w:rFonts w:ascii="Times New Roman" w:cs="Times New Roman" w:eastAsia="Times New Roman" w:hAnsi="Times New Roman"/>
          <w:sz w:val="18"/>
          <w:szCs w:val="18"/>
          <w:color w:val="auto"/>
        </w:rPr>
      </w:pPr>
    </w:p>
    <w:p>
      <w:pPr>
        <w:ind w:left="360" w:right="40" w:hanging="350"/>
        <w:spacing w:after="0" w:line="241"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5-Year T-Note futures contracts were valued at a price of $109.30 as of December 31, 2025 and $106.30 as of December 31, 2024. The contract values of the short positions were $133.9 million and $332.2 million as of December 31, 2025 and 2024, respectively. 10-Year T-Note futures contracts were valued at a price of $112.44 as of December 31, 2025 and $108.75 as of December 31, 2024.. The contract values of the short positions were $101.2 million and $101.7 million as of December 31, 2025 and 2024, respectively. 10-Year Ultra futures contracts were valued at price of $115.02 as of December 31, 2025 and $111.31 as of December 31, 2024. The contract value of the short positions was $69.0 million and $36.2 million as of December 31, 2025 and 2024, respectively.</w:t>
      </w:r>
    </w:p>
    <w:p>
      <w:pPr>
        <w:spacing w:after="0" w:line="3"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 swap futures are exchange traded futures that replicate the cash flows of an underlying swap position.</w:t>
      </w:r>
    </w:p>
    <w:p>
      <w:pPr>
        <w:spacing w:after="0" w:line="213" w:lineRule="exact"/>
        <w:rPr>
          <w:sz w:val="20"/>
          <w:szCs w:val="20"/>
          <w:color w:val="auto"/>
        </w:rPr>
      </w:pPr>
    </w:p>
    <w:p>
      <w:pPr>
        <w:ind w:right="260" w:firstLine="499"/>
        <w:spacing w:after="0" w:line="249" w:lineRule="auto"/>
        <w:rPr>
          <w:sz w:val="20"/>
          <w:szCs w:val="20"/>
          <w:color w:val="auto"/>
        </w:rPr>
      </w:pPr>
      <w:r>
        <w:rPr>
          <w:rFonts w:ascii="Times New Roman" w:cs="Times New Roman" w:eastAsia="Times New Roman" w:hAnsi="Times New Roman"/>
          <w:sz w:val="20"/>
          <w:szCs w:val="20"/>
          <w:color w:val="auto"/>
        </w:rPr>
        <w:t>Under its interest rate swap agreements, the Company typically pays a fixed rate and receives a floating rate ("payer swaps") based on an index, such as SOFR. The floating rate the Company receives under its swap agreements has the effect of offsetting the repricing characteristics of its repurchase agreements and cash flows on such liabilities. The Company is typically required to post margin on its interest rate swap agreements. The table below presents information related to the Company’s interest rate swap positions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800"/>
          </w:cols>
          <w:pgMar w:left="720" w:top="796" w:right="720" w:bottom="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i w:val="1"/>
          <w:iCs w:val="1"/>
          <w:color w:val="auto"/>
        </w:rPr>
        <w:t>($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180"/>
              <w:spacing w:after="0" w:line="212"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00" w:type="dxa"/>
            <w:vAlign w:val="bottom"/>
            <w:tcBorders>
              <w:top w:val="single" w:sz="8" w:color="auto"/>
            </w:tcBorders>
          </w:tcPr>
          <w:p>
            <w:pPr>
              <w:spacing w:after="0"/>
              <w:rPr>
                <w:sz w:val="18"/>
                <w:szCs w:val="18"/>
                <w:color w:val="auto"/>
              </w:rPr>
            </w:pPr>
          </w:p>
        </w:tc>
        <w:tc>
          <w:tcPr>
            <w:tcW w:w="950" w:type="dxa"/>
            <w:vAlign w:val="bottom"/>
            <w:tcBorders>
              <w:top w:val="single" w:sz="8" w:color="auto"/>
            </w:tcBorders>
          </w:tcPr>
          <w:p>
            <w:pPr>
              <w:spacing w:after="0"/>
              <w:rPr>
                <w:sz w:val="18"/>
                <w:szCs w:val="18"/>
                <w:color w:val="auto"/>
              </w:rPr>
            </w:pPr>
          </w:p>
        </w:tc>
        <w:tc>
          <w:tcPr>
            <w:tcW w:w="17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240"/>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Fixed</w:t>
            </w:r>
          </w:p>
        </w:tc>
        <w:tc>
          <w:tcPr>
            <w:tcW w:w="2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Average</w:t>
            </w:r>
          </w:p>
        </w:tc>
      </w:tr>
      <w:tr>
        <w:trPr>
          <w:trHeight w:val="240"/>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Notional</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Pay</w:t>
            </w:r>
          </w:p>
        </w:tc>
        <w:tc>
          <w:tcPr>
            <w:tcW w:w="2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7"/>
              </w:rPr>
              <w:t>Receive</w:t>
            </w:r>
          </w:p>
        </w:tc>
        <w:tc>
          <w:tcPr>
            <w:tcW w:w="2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Maturity</w:t>
            </w:r>
          </w:p>
        </w:tc>
      </w:tr>
      <w:tr>
        <w:trPr>
          <w:trHeight w:val="260"/>
        </w:trPr>
        <w:tc>
          <w:tcPr>
            <w:tcW w:w="56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(Years)</w:t>
            </w:r>
          </w:p>
        </w:tc>
      </w:tr>
      <w:tr>
        <w:trPr>
          <w:trHeight w:val="227"/>
        </w:trPr>
        <w:tc>
          <w:tcPr>
            <w:tcW w:w="5600" w:type="dxa"/>
            <w:vAlign w:val="bottom"/>
            <w:tcBorders>
              <w:bottom w:val="single" w:sz="8" w:color="DDDDDD"/>
            </w:tcBorders>
            <w:shd w:val="clear" w:color="auto" w:fill="DDDDDD"/>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December 31, 2025</w:t>
            </w:r>
          </w:p>
        </w:tc>
        <w:tc>
          <w:tcPr>
            <w:tcW w:w="220" w:type="dxa"/>
            <w:vAlign w:val="bottom"/>
            <w:tcBorders>
              <w:bottom w:val="single" w:sz="8" w:color="DDDDDD"/>
            </w:tcBorders>
            <w:shd w:val="clear" w:color="auto" w:fill="DDDDDD"/>
          </w:tcPr>
          <w:p>
            <w:pPr>
              <w:spacing w:after="0"/>
              <w:rPr>
                <w:sz w:val="19"/>
                <w:szCs w:val="19"/>
                <w:color w:val="auto"/>
              </w:rPr>
            </w:pPr>
          </w:p>
        </w:tc>
        <w:tc>
          <w:tcPr>
            <w:tcW w:w="960" w:type="dxa"/>
            <w:vAlign w:val="bottom"/>
            <w:tcBorders>
              <w:bottom w:val="single" w:sz="8" w:color="DDDDDD"/>
            </w:tcBorders>
            <w:shd w:val="clear" w:color="auto" w:fill="DDDDDD"/>
          </w:tcPr>
          <w:p>
            <w:pPr>
              <w:spacing w:after="0"/>
              <w:rPr>
                <w:sz w:val="19"/>
                <w:szCs w:val="19"/>
                <w:color w:val="auto"/>
              </w:rPr>
            </w:pPr>
          </w:p>
        </w:tc>
        <w:tc>
          <w:tcPr>
            <w:tcW w:w="14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96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DDDDDD"/>
            </w:tcBorders>
            <w:shd w:val="clear" w:color="auto" w:fill="DDDDDD"/>
          </w:tcPr>
          <w:p>
            <w:pPr>
              <w:spacing w:after="0"/>
              <w:rPr>
                <w:sz w:val="19"/>
                <w:szCs w:val="19"/>
                <w:color w:val="auto"/>
              </w:rPr>
            </w:pPr>
          </w:p>
        </w:tc>
        <w:tc>
          <w:tcPr>
            <w:tcW w:w="950" w:type="dxa"/>
            <w:vAlign w:val="bottom"/>
            <w:tcBorders>
              <w:bottom w:val="single" w:sz="8" w:color="DDDDDD"/>
            </w:tcBorders>
            <w:shd w:val="clear" w:color="auto" w:fill="DDDDDD"/>
          </w:tcPr>
          <w:p>
            <w:pPr>
              <w:spacing w:after="0"/>
              <w:rPr>
                <w:sz w:val="19"/>
                <w:szCs w:val="19"/>
                <w:color w:val="auto"/>
              </w:rPr>
            </w:pPr>
          </w:p>
        </w:tc>
        <w:tc>
          <w:tcPr>
            <w:tcW w:w="17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DDDDDD"/>
            </w:tcBorders>
            <w:shd w:val="clear" w:color="auto" w:fill="DDDDDD"/>
          </w:tcPr>
          <w:p>
            <w:pPr>
              <w:spacing w:after="0"/>
              <w:rPr>
                <w:sz w:val="19"/>
                <w:szCs w:val="19"/>
                <w:color w:val="auto"/>
              </w:rPr>
            </w:pPr>
          </w:p>
        </w:tc>
        <w:tc>
          <w:tcPr>
            <w:tcW w:w="98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r>
      <w:tr>
        <w:trPr>
          <w:trHeight w:val="225"/>
        </w:trPr>
        <w:tc>
          <w:tcPr>
            <w:tcW w:w="5600" w:type="dxa"/>
            <w:vAlign w:val="bottom"/>
            <w:tcBorders>
              <w:bottom w:val="single" w:sz="8" w:color="DDDDDD"/>
            </w:tcBorders>
          </w:tcPr>
          <w:p>
            <w:pPr>
              <w:spacing w:after="0" w:line="224" w:lineRule="exact"/>
              <w:rPr>
                <w:sz w:val="20"/>
                <w:szCs w:val="20"/>
                <w:color w:val="auto"/>
              </w:rPr>
            </w:pPr>
            <w:r>
              <w:rPr>
                <w:rFonts w:ascii="PMingLiU" w:cs="PMingLiU" w:eastAsia="PMingLiU" w:hAnsi="PMingLiU"/>
                <w:sz w:val="20"/>
                <w:szCs w:val="20"/>
                <w:color w:val="auto"/>
              </w:rPr>
              <w:t>([SLUDWLRQ!WR\HDUV</w:t>
            </w:r>
          </w:p>
        </w:tc>
        <w:tc>
          <w:tcPr>
            <w:tcW w:w="220" w:type="dxa"/>
            <w:vAlign w:val="bottom"/>
            <w:tcBorders>
              <w:bottom w:val="single" w:sz="8" w:color="DDDDDD"/>
            </w:tcBorders>
          </w:tcPr>
          <w:p>
            <w:pPr>
              <w:jc w:val="right"/>
              <w:spacing w:after="0" w:line="224" w:lineRule="exact"/>
              <w:rPr>
                <w:sz w:val="20"/>
                <w:szCs w:val="20"/>
                <w:color w:val="auto"/>
              </w:rPr>
            </w:pPr>
            <w:r>
              <w:rPr>
                <w:rFonts w:ascii="PMingLiU" w:cs="PMingLiU" w:eastAsia="PMingLiU" w:hAnsi="PMingLiU"/>
                <w:sz w:val="20"/>
                <w:szCs w:val="20"/>
                <w:color w:val="auto"/>
              </w:rPr>
              <w:t>$</w:t>
            </w:r>
          </w:p>
        </w:tc>
        <w:tc>
          <w:tcPr>
            <w:tcW w:w="960" w:type="dxa"/>
            <w:vAlign w:val="bottom"/>
            <w:tcBorders>
              <w:bottom w:val="single" w:sz="8" w:color="DDDDDD"/>
            </w:tcBorders>
          </w:tcPr>
          <w:p>
            <w:pPr>
              <w:jc w:val="right"/>
              <w:spacing w:after="0" w:line="224" w:lineRule="exact"/>
              <w:rPr>
                <w:sz w:val="20"/>
                <w:szCs w:val="20"/>
                <w:color w:val="auto"/>
              </w:rPr>
            </w:pPr>
            <w:r>
              <w:rPr>
                <w:rFonts w:ascii="PMingLiU" w:cs="PMingLiU" w:eastAsia="PMingLiU" w:hAnsi="PMingLiU"/>
                <w:sz w:val="20"/>
                <w:szCs w:val="20"/>
                <w:color w:val="auto"/>
              </w:rPr>
              <w:t>4,162,500</w:t>
            </w:r>
          </w:p>
        </w:tc>
        <w:tc>
          <w:tcPr>
            <w:tcW w:w="1440" w:type="dxa"/>
            <w:vAlign w:val="bottom"/>
            <w:tcBorders>
              <w:bottom w:val="single" w:sz="8" w:color="DDDDDD"/>
            </w:tcBorders>
            <w:gridSpan w:val="5"/>
          </w:tcPr>
          <w:p>
            <w:pPr>
              <w:ind w:left="900"/>
              <w:spacing w:after="0" w:line="224" w:lineRule="exact"/>
              <w:rPr>
                <w:sz w:val="20"/>
                <w:szCs w:val="20"/>
                <w:color w:val="auto"/>
              </w:rPr>
            </w:pPr>
            <w:r>
              <w:rPr>
                <w:rFonts w:ascii="PMingLiU" w:cs="PMingLiU" w:eastAsia="PMingLiU" w:hAnsi="PMingLiU"/>
                <w:sz w:val="20"/>
                <w:szCs w:val="20"/>
                <w:color w:val="auto"/>
                <w:w w:val="96"/>
              </w:rPr>
              <w:t>3.38 %</w:t>
            </w:r>
          </w:p>
        </w:tc>
        <w:tc>
          <w:tcPr>
            <w:tcW w:w="1320" w:type="dxa"/>
            <w:vAlign w:val="bottom"/>
            <w:tcBorders>
              <w:bottom w:val="single" w:sz="8" w:color="DDDDDD"/>
            </w:tcBorders>
            <w:gridSpan w:val="3"/>
          </w:tcPr>
          <w:p>
            <w:pPr>
              <w:jc w:val="right"/>
              <w:spacing w:after="0" w:line="224" w:lineRule="exact"/>
              <w:rPr>
                <w:sz w:val="20"/>
                <w:szCs w:val="20"/>
                <w:color w:val="auto"/>
              </w:rPr>
            </w:pPr>
            <w:r>
              <w:rPr>
                <w:rFonts w:ascii="PMingLiU" w:cs="PMingLiU" w:eastAsia="PMingLiU" w:hAnsi="PMingLiU"/>
                <w:sz w:val="20"/>
                <w:szCs w:val="20"/>
                <w:color w:val="auto"/>
              </w:rPr>
              <w:t>3.87 %</w:t>
            </w:r>
          </w:p>
        </w:tc>
        <w:tc>
          <w:tcPr>
            <w:tcW w:w="1200" w:type="dxa"/>
            <w:vAlign w:val="bottom"/>
            <w:tcBorders>
              <w:bottom w:val="single" w:sz="8" w:color="DDDDDD"/>
            </w:tcBorders>
            <w:gridSpan w:val="2"/>
          </w:tcPr>
          <w:p>
            <w:pPr>
              <w:jc w:val="right"/>
              <w:spacing w:after="0" w:line="224" w:lineRule="exact"/>
              <w:rPr>
                <w:sz w:val="20"/>
                <w:szCs w:val="20"/>
                <w:color w:val="auto"/>
              </w:rPr>
            </w:pPr>
            <w:r>
              <w:rPr>
                <w:rFonts w:ascii="PMingLiU" w:cs="PMingLiU" w:eastAsia="PMingLiU" w:hAnsi="PMingLiU"/>
                <w:sz w:val="20"/>
                <w:szCs w:val="20"/>
                <w:color w:val="auto"/>
              </w:rPr>
              <w:t>3.2</w:t>
            </w:r>
          </w:p>
        </w:tc>
        <w:tc>
          <w:tcPr>
            <w:tcW w:w="60" w:type="dxa"/>
            <w:vAlign w:val="bottom"/>
            <w:tcBorders>
              <w:bottom w:val="single" w:sz="8" w:color="DDDDDD"/>
            </w:tcBorders>
          </w:tcPr>
          <w:p>
            <w:pPr>
              <w:spacing w:after="0"/>
              <w:rPr>
                <w:sz w:val="19"/>
                <w:szCs w:val="19"/>
                <w:color w:val="auto"/>
              </w:rPr>
            </w:pPr>
          </w:p>
        </w:tc>
      </w:tr>
      <w:tr>
        <w:trPr>
          <w:trHeight w:val="217"/>
        </w:trPr>
        <w:tc>
          <w:tcPr>
            <w:tcW w:w="5600" w:type="dxa"/>
            <w:vAlign w:val="bottom"/>
            <w:tcBorders>
              <w:bottom w:val="single" w:sz="8" w:color="auto"/>
            </w:tcBorders>
            <w:shd w:val="clear" w:color="auto" w:fill="DDDDDD"/>
          </w:tcPr>
          <w:p>
            <w:pPr>
              <w:spacing w:after="0" w:line="212" w:lineRule="exact"/>
              <w:rPr>
                <w:sz w:val="20"/>
                <w:szCs w:val="20"/>
                <w:color w:val="auto"/>
              </w:rPr>
            </w:pPr>
            <w:r>
              <w:rPr>
                <w:rFonts w:ascii="PMingLiU" w:cs="PMingLiU" w:eastAsia="PMingLiU" w:hAnsi="PMingLiU"/>
                <w:sz w:val="20"/>
                <w:szCs w:val="20"/>
                <w:color w:val="auto"/>
              </w:rPr>
              <w:t>Expiration &gt; 5 years</w:t>
            </w:r>
          </w:p>
        </w:tc>
        <w:tc>
          <w:tcPr>
            <w:tcW w:w="22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rPr>
              <w:t>1,695,800</w:t>
            </w:r>
          </w:p>
        </w:tc>
        <w:tc>
          <w:tcPr>
            <w:tcW w:w="140" w:type="dxa"/>
            <w:vAlign w:val="bottom"/>
            <w:tcBorders>
              <w:bottom w:val="single" w:sz="8" w:color="auto"/>
            </w:tcBorders>
            <w:shd w:val="clear" w:color="auto" w:fill="DDDDDD"/>
          </w:tcPr>
          <w:p>
            <w:pPr>
              <w:spacing w:after="0"/>
              <w:rPr>
                <w:sz w:val="18"/>
                <w:szCs w:val="18"/>
                <w:color w:val="auto"/>
              </w:rPr>
            </w:pPr>
          </w:p>
        </w:tc>
        <w:tc>
          <w:tcPr>
            <w:tcW w:w="6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ind w:left="600"/>
              <w:spacing w:after="0" w:line="212" w:lineRule="exact"/>
              <w:rPr>
                <w:sz w:val="20"/>
                <w:szCs w:val="20"/>
                <w:color w:val="auto"/>
              </w:rPr>
            </w:pPr>
            <w:r>
              <w:rPr>
                <w:rFonts w:ascii="PMingLiU" w:cs="PMingLiU" w:eastAsia="PMingLiU" w:hAnsi="PMingLiU"/>
                <w:sz w:val="20"/>
                <w:szCs w:val="20"/>
                <w:color w:val="auto"/>
              </w:rPr>
              <w:t>3.87</w:t>
            </w:r>
          </w:p>
        </w:tc>
        <w:tc>
          <w:tcPr>
            <w:tcW w:w="18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highlight w:val="lightGray"/>
                <w:w w:val="89"/>
              </w:rPr>
              <w:t>%</w:t>
            </w:r>
          </w:p>
        </w:tc>
        <w:tc>
          <w:tcPr>
            <w:tcW w:w="200" w:type="dxa"/>
            <w:vAlign w:val="bottom"/>
            <w:tcBorders>
              <w:bottom w:val="single" w:sz="8" w:color="auto"/>
            </w:tcBorders>
            <w:shd w:val="clear" w:color="auto" w:fill="DDDDDD"/>
          </w:tcPr>
          <w:p>
            <w:pPr>
              <w:spacing w:after="0"/>
              <w:rPr>
                <w:sz w:val="18"/>
                <w:szCs w:val="18"/>
                <w:color w:val="auto"/>
              </w:rPr>
            </w:pPr>
          </w:p>
        </w:tc>
        <w:tc>
          <w:tcPr>
            <w:tcW w:w="95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rPr>
              <w:t>3.87</w:t>
            </w:r>
          </w:p>
        </w:tc>
        <w:tc>
          <w:tcPr>
            <w:tcW w:w="17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highlight w:val="lightGray"/>
                <w:w w:val="89"/>
              </w:rPr>
              <w:t>%</w:t>
            </w:r>
          </w:p>
        </w:tc>
        <w:tc>
          <w:tcPr>
            <w:tcW w:w="22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rPr>
              <w:t>7.1</w:t>
            </w:r>
          </w:p>
        </w:tc>
        <w:tc>
          <w:tcPr>
            <w:tcW w:w="60" w:type="dxa"/>
            <w:vAlign w:val="bottom"/>
            <w:tcBorders>
              <w:bottom w:val="single" w:sz="8" w:color="auto"/>
            </w:tcBorders>
            <w:shd w:val="clear" w:color="auto" w:fill="DDDDDD"/>
          </w:tcPr>
          <w:p>
            <w:pPr>
              <w:spacing w:after="0"/>
              <w:rPr>
                <w:sz w:val="18"/>
                <w:szCs w:val="18"/>
                <w:color w:val="auto"/>
              </w:rPr>
            </w:pPr>
          </w:p>
        </w:tc>
      </w:tr>
      <w:tr>
        <w:trPr>
          <w:trHeight w:val="252"/>
        </w:trPr>
        <w:tc>
          <w:tcPr>
            <w:tcW w:w="56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5,858,300</w:t>
            </w:r>
          </w:p>
        </w:tc>
        <w:tc>
          <w:tcPr>
            <w:tcW w:w="1440" w:type="dxa"/>
            <w:vAlign w:val="bottom"/>
            <w:tcBorders>
              <w:bottom w:val="single" w:sz="8" w:color="auto"/>
            </w:tcBorders>
            <w:gridSpan w:val="5"/>
          </w:tcPr>
          <w:p>
            <w:pPr>
              <w:ind w:left="900"/>
              <w:spacing w:after="0"/>
              <w:rPr>
                <w:sz w:val="20"/>
                <w:szCs w:val="20"/>
                <w:color w:val="auto"/>
              </w:rPr>
            </w:pPr>
            <w:r>
              <w:rPr>
                <w:rFonts w:ascii="PMingLiU" w:cs="PMingLiU" w:eastAsia="PMingLiU" w:hAnsi="PMingLiU"/>
                <w:sz w:val="20"/>
                <w:szCs w:val="20"/>
                <w:color w:val="auto"/>
                <w:w w:val="96"/>
              </w:rPr>
              <w:t>3.53 %</w:t>
            </w:r>
          </w:p>
        </w:tc>
        <w:tc>
          <w:tcPr>
            <w:tcW w:w="13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0"/>
                <w:szCs w:val="20"/>
                <w:color w:val="auto"/>
              </w:rPr>
              <w:t>3.87 %</w:t>
            </w:r>
          </w:p>
        </w:tc>
        <w:tc>
          <w:tcPr>
            <w:tcW w:w="120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20"/>
                <w:szCs w:val="20"/>
                <w:color w:val="auto"/>
              </w:rPr>
              <w:t>4.3</w:t>
            </w:r>
          </w:p>
        </w:tc>
        <w:tc>
          <w:tcPr>
            <w:tcW w:w="60" w:type="dxa"/>
            <w:vAlign w:val="bottom"/>
            <w:tcBorders>
              <w:bottom w:val="single" w:sz="8" w:color="auto"/>
            </w:tcBorders>
          </w:tcPr>
          <w:p>
            <w:pPr>
              <w:spacing w:after="0"/>
              <w:rPr>
                <w:sz w:val="21"/>
                <w:szCs w:val="21"/>
                <w:color w:val="auto"/>
              </w:rPr>
            </w:pPr>
          </w:p>
        </w:tc>
      </w:tr>
      <w:tr>
        <w:trPr>
          <w:trHeight w:val="45"/>
        </w:trPr>
        <w:tc>
          <w:tcPr>
            <w:tcW w:w="5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50" w:type="dxa"/>
            <w:vAlign w:val="bottom"/>
            <w:tcBorders>
              <w:bottom w:val="single" w:sz="8" w:color="auto"/>
            </w:tcBorders>
          </w:tcPr>
          <w:p>
            <w:pPr>
              <w:spacing w:after="0"/>
              <w:rPr>
                <w:sz w:val="3"/>
                <w:szCs w:val="3"/>
                <w:color w:val="auto"/>
              </w:rPr>
            </w:pPr>
          </w:p>
        </w:tc>
        <w:tc>
          <w:tcPr>
            <w:tcW w:w="17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r>
      <w:tr>
        <w:trPr>
          <w:trHeight w:val="196"/>
        </w:trPr>
        <w:tc>
          <w:tcPr>
            <w:tcW w:w="5600" w:type="dxa"/>
            <w:vAlign w:val="bottom"/>
            <w:tcBorders>
              <w:top w:val="single" w:sz="8" w:color="DDDDDD"/>
              <w:bottom w:val="single" w:sz="8" w:color="DDDDDD"/>
            </w:tcBorders>
            <w:shd w:val="clear" w:color="auto" w:fill="DDDDDD"/>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December 31, 2024</w:t>
            </w: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960" w:type="dxa"/>
            <w:vAlign w:val="bottom"/>
            <w:tcBorders>
              <w:top w:val="single" w:sz="8" w:color="DDDDDD"/>
              <w:bottom w:val="single" w:sz="8" w:color="DDDDDD"/>
            </w:tcBorders>
            <w:shd w:val="clear" w:color="auto" w:fill="DDDDDD"/>
          </w:tcPr>
          <w:p>
            <w:pPr>
              <w:spacing w:after="0"/>
              <w:rPr>
                <w:sz w:val="17"/>
                <w:szCs w:val="17"/>
                <w:color w:val="auto"/>
              </w:rPr>
            </w:pPr>
          </w:p>
        </w:tc>
        <w:tc>
          <w:tcPr>
            <w:tcW w:w="140" w:type="dxa"/>
            <w:vAlign w:val="bottom"/>
            <w:tcBorders>
              <w:top w:val="single" w:sz="8" w:color="DDDDDD"/>
              <w:bottom w:val="single" w:sz="8" w:color="DDDDDD"/>
            </w:tcBorders>
            <w:shd w:val="clear" w:color="auto" w:fill="DDDDDD"/>
          </w:tcPr>
          <w:p>
            <w:pPr>
              <w:spacing w:after="0"/>
              <w:rPr>
                <w:sz w:val="17"/>
                <w:szCs w:val="17"/>
                <w:color w:val="auto"/>
              </w:rPr>
            </w:pPr>
          </w:p>
        </w:tc>
        <w:tc>
          <w:tcPr>
            <w:tcW w:w="60" w:type="dxa"/>
            <w:vAlign w:val="bottom"/>
            <w:tcBorders>
              <w:top w:val="single" w:sz="8" w:color="DDDDDD"/>
              <w:bottom w:val="single" w:sz="8" w:color="DDDDDD"/>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960" w:type="dxa"/>
            <w:vAlign w:val="bottom"/>
            <w:tcBorders>
              <w:top w:val="single" w:sz="8" w:color="DDDDDD"/>
              <w:bottom w:val="single" w:sz="8" w:color="DDDDDD"/>
            </w:tcBorders>
            <w:shd w:val="clear" w:color="auto" w:fill="DDDDDD"/>
          </w:tcPr>
          <w:p>
            <w:pPr>
              <w:spacing w:after="0"/>
              <w:rPr>
                <w:sz w:val="17"/>
                <w:szCs w:val="17"/>
                <w:color w:val="auto"/>
              </w:rPr>
            </w:pPr>
          </w:p>
        </w:tc>
        <w:tc>
          <w:tcPr>
            <w:tcW w:w="180" w:type="dxa"/>
            <w:vAlign w:val="bottom"/>
            <w:tcBorders>
              <w:top w:val="single" w:sz="8" w:color="DDDDDD"/>
              <w:bottom w:val="single" w:sz="8" w:color="DDDDDD"/>
            </w:tcBorders>
            <w:shd w:val="clear" w:color="auto" w:fill="DDDDDD"/>
          </w:tcPr>
          <w:p>
            <w:pPr>
              <w:spacing w:after="0"/>
              <w:rPr>
                <w:sz w:val="17"/>
                <w:szCs w:val="17"/>
                <w:color w:val="auto"/>
              </w:rPr>
            </w:pPr>
          </w:p>
        </w:tc>
        <w:tc>
          <w:tcPr>
            <w:tcW w:w="200" w:type="dxa"/>
            <w:vAlign w:val="bottom"/>
            <w:tcBorders>
              <w:top w:val="single" w:sz="8" w:color="DDDDDD"/>
              <w:bottom w:val="single" w:sz="8" w:color="DDDDDD"/>
            </w:tcBorders>
            <w:shd w:val="clear" w:color="auto" w:fill="DDDDDD"/>
          </w:tcPr>
          <w:p>
            <w:pPr>
              <w:spacing w:after="0"/>
              <w:rPr>
                <w:sz w:val="17"/>
                <w:szCs w:val="17"/>
                <w:color w:val="auto"/>
              </w:rPr>
            </w:pPr>
          </w:p>
        </w:tc>
        <w:tc>
          <w:tcPr>
            <w:tcW w:w="950" w:type="dxa"/>
            <w:vAlign w:val="bottom"/>
            <w:tcBorders>
              <w:top w:val="single" w:sz="8" w:color="DDDDDD"/>
              <w:bottom w:val="single" w:sz="8" w:color="DDDDDD"/>
            </w:tcBorders>
            <w:shd w:val="clear" w:color="auto" w:fill="DDDDDD"/>
          </w:tcPr>
          <w:p>
            <w:pPr>
              <w:spacing w:after="0"/>
              <w:rPr>
                <w:sz w:val="17"/>
                <w:szCs w:val="17"/>
                <w:color w:val="auto"/>
              </w:rPr>
            </w:pPr>
          </w:p>
        </w:tc>
        <w:tc>
          <w:tcPr>
            <w:tcW w:w="170" w:type="dxa"/>
            <w:vAlign w:val="bottom"/>
            <w:tcBorders>
              <w:top w:val="single" w:sz="8" w:color="DDDDDD"/>
              <w:bottom w:val="single" w:sz="8" w:color="DDDDDD"/>
            </w:tcBorders>
            <w:shd w:val="clear" w:color="auto" w:fill="DDDDDD"/>
          </w:tcPr>
          <w:p>
            <w:pPr>
              <w:spacing w:after="0"/>
              <w:rPr>
                <w:sz w:val="17"/>
                <w:szCs w:val="17"/>
                <w:color w:val="auto"/>
              </w:rPr>
            </w:pPr>
          </w:p>
        </w:tc>
        <w:tc>
          <w:tcPr>
            <w:tcW w:w="220" w:type="dxa"/>
            <w:vAlign w:val="bottom"/>
            <w:tcBorders>
              <w:top w:val="single" w:sz="8" w:color="DDDDDD"/>
              <w:bottom w:val="single" w:sz="8" w:color="DDDDDD"/>
            </w:tcBorders>
            <w:shd w:val="clear" w:color="auto" w:fill="DDDDDD"/>
          </w:tcPr>
          <w:p>
            <w:pPr>
              <w:spacing w:after="0"/>
              <w:rPr>
                <w:sz w:val="17"/>
                <w:szCs w:val="17"/>
                <w:color w:val="auto"/>
              </w:rPr>
            </w:pPr>
          </w:p>
        </w:tc>
        <w:tc>
          <w:tcPr>
            <w:tcW w:w="980" w:type="dxa"/>
            <w:vAlign w:val="bottom"/>
            <w:tcBorders>
              <w:top w:val="single" w:sz="8" w:color="DDDDDD"/>
              <w:bottom w:val="single" w:sz="8" w:color="DDDDDD"/>
            </w:tcBorders>
            <w:shd w:val="clear" w:color="auto" w:fill="DDDDDD"/>
          </w:tcPr>
          <w:p>
            <w:pPr>
              <w:spacing w:after="0"/>
              <w:rPr>
                <w:sz w:val="17"/>
                <w:szCs w:val="17"/>
                <w:color w:val="auto"/>
              </w:rPr>
            </w:pPr>
          </w:p>
        </w:tc>
        <w:tc>
          <w:tcPr>
            <w:tcW w:w="60" w:type="dxa"/>
            <w:vAlign w:val="bottom"/>
            <w:tcBorders>
              <w:top w:val="single" w:sz="8" w:color="DDDDDD"/>
              <w:bottom w:val="single" w:sz="8" w:color="DDDDDD"/>
            </w:tcBorders>
            <w:shd w:val="clear" w:color="auto" w:fill="DDDDDD"/>
          </w:tcPr>
          <w:p>
            <w:pPr>
              <w:spacing w:after="0"/>
              <w:rPr>
                <w:sz w:val="17"/>
                <w:szCs w:val="17"/>
                <w:color w:val="auto"/>
              </w:rPr>
            </w:pPr>
          </w:p>
        </w:tc>
      </w:tr>
      <w:tr>
        <w:trPr>
          <w:trHeight w:val="225"/>
        </w:trPr>
        <w:tc>
          <w:tcPr>
            <w:tcW w:w="5600" w:type="dxa"/>
            <w:vAlign w:val="bottom"/>
            <w:tcBorders>
              <w:bottom w:val="single" w:sz="8" w:color="DDDDDD"/>
            </w:tcBorders>
          </w:tcPr>
          <w:p>
            <w:pPr>
              <w:spacing w:after="0" w:line="224" w:lineRule="exact"/>
              <w:rPr>
                <w:sz w:val="20"/>
                <w:szCs w:val="20"/>
                <w:color w:val="auto"/>
              </w:rPr>
            </w:pPr>
            <w:r>
              <w:rPr>
                <w:rFonts w:ascii="PMingLiU" w:cs="PMingLiU" w:eastAsia="PMingLiU" w:hAnsi="PMingLiU"/>
                <w:sz w:val="20"/>
                <w:szCs w:val="20"/>
                <w:color w:val="auto"/>
              </w:rPr>
              <w:t>([SLUDWLRQ!WR\HDUV</w:t>
            </w:r>
          </w:p>
        </w:tc>
        <w:tc>
          <w:tcPr>
            <w:tcW w:w="220" w:type="dxa"/>
            <w:vAlign w:val="bottom"/>
            <w:tcBorders>
              <w:bottom w:val="single" w:sz="8" w:color="DDDDDD"/>
            </w:tcBorders>
          </w:tcPr>
          <w:p>
            <w:pPr>
              <w:jc w:val="right"/>
              <w:spacing w:after="0" w:line="224" w:lineRule="exact"/>
              <w:rPr>
                <w:sz w:val="20"/>
                <w:szCs w:val="20"/>
                <w:color w:val="auto"/>
              </w:rPr>
            </w:pPr>
            <w:r>
              <w:rPr>
                <w:rFonts w:ascii="PMingLiU" w:cs="PMingLiU" w:eastAsia="PMingLiU" w:hAnsi="PMingLiU"/>
                <w:sz w:val="20"/>
                <w:szCs w:val="20"/>
                <w:color w:val="auto"/>
              </w:rPr>
              <w:t>$</w:t>
            </w:r>
          </w:p>
        </w:tc>
        <w:tc>
          <w:tcPr>
            <w:tcW w:w="960" w:type="dxa"/>
            <w:vAlign w:val="bottom"/>
            <w:tcBorders>
              <w:bottom w:val="single" w:sz="8" w:color="DDDDDD"/>
            </w:tcBorders>
          </w:tcPr>
          <w:p>
            <w:pPr>
              <w:jc w:val="right"/>
              <w:spacing w:after="0" w:line="224" w:lineRule="exact"/>
              <w:rPr>
                <w:sz w:val="20"/>
                <w:szCs w:val="20"/>
                <w:color w:val="auto"/>
              </w:rPr>
            </w:pPr>
            <w:r>
              <w:rPr>
                <w:rFonts w:ascii="PMingLiU" w:cs="PMingLiU" w:eastAsia="PMingLiU" w:hAnsi="PMingLiU"/>
                <w:sz w:val="20"/>
                <w:szCs w:val="20"/>
                <w:color w:val="auto"/>
              </w:rPr>
              <w:t>1,450,000</w:t>
            </w:r>
          </w:p>
        </w:tc>
        <w:tc>
          <w:tcPr>
            <w:tcW w:w="1440" w:type="dxa"/>
            <w:vAlign w:val="bottom"/>
            <w:tcBorders>
              <w:bottom w:val="single" w:sz="8" w:color="DDDDDD"/>
            </w:tcBorders>
            <w:gridSpan w:val="5"/>
          </w:tcPr>
          <w:p>
            <w:pPr>
              <w:ind w:left="900"/>
              <w:spacing w:after="0" w:line="224" w:lineRule="exact"/>
              <w:rPr>
                <w:sz w:val="20"/>
                <w:szCs w:val="20"/>
                <w:color w:val="auto"/>
              </w:rPr>
            </w:pPr>
            <w:r>
              <w:rPr>
                <w:rFonts w:ascii="PMingLiU" w:cs="PMingLiU" w:eastAsia="PMingLiU" w:hAnsi="PMingLiU"/>
                <w:sz w:val="20"/>
                <w:szCs w:val="20"/>
                <w:color w:val="auto"/>
                <w:w w:val="96"/>
              </w:rPr>
              <w:t>1.69 %</w:t>
            </w:r>
          </w:p>
        </w:tc>
        <w:tc>
          <w:tcPr>
            <w:tcW w:w="1320" w:type="dxa"/>
            <w:vAlign w:val="bottom"/>
            <w:tcBorders>
              <w:bottom w:val="single" w:sz="8" w:color="DDDDDD"/>
            </w:tcBorders>
            <w:gridSpan w:val="3"/>
          </w:tcPr>
          <w:p>
            <w:pPr>
              <w:jc w:val="right"/>
              <w:spacing w:after="0" w:line="224" w:lineRule="exact"/>
              <w:rPr>
                <w:sz w:val="20"/>
                <w:szCs w:val="20"/>
                <w:color w:val="auto"/>
              </w:rPr>
            </w:pPr>
            <w:r>
              <w:rPr>
                <w:rFonts w:ascii="PMingLiU" w:cs="PMingLiU" w:eastAsia="PMingLiU" w:hAnsi="PMingLiU"/>
                <w:sz w:val="20"/>
                <w:szCs w:val="20"/>
                <w:color w:val="auto"/>
              </w:rPr>
              <w:t>4.58 %</w:t>
            </w:r>
          </w:p>
        </w:tc>
        <w:tc>
          <w:tcPr>
            <w:tcW w:w="1200" w:type="dxa"/>
            <w:vAlign w:val="bottom"/>
            <w:tcBorders>
              <w:bottom w:val="single" w:sz="8" w:color="DDDDDD"/>
            </w:tcBorders>
            <w:gridSpan w:val="2"/>
          </w:tcPr>
          <w:p>
            <w:pPr>
              <w:jc w:val="right"/>
              <w:spacing w:after="0" w:line="224" w:lineRule="exact"/>
              <w:rPr>
                <w:sz w:val="20"/>
                <w:szCs w:val="20"/>
                <w:color w:val="auto"/>
              </w:rPr>
            </w:pPr>
            <w:r>
              <w:rPr>
                <w:rFonts w:ascii="PMingLiU" w:cs="PMingLiU" w:eastAsia="PMingLiU" w:hAnsi="PMingLiU"/>
                <w:sz w:val="20"/>
                <w:szCs w:val="20"/>
                <w:color w:val="auto"/>
              </w:rPr>
              <w:t>3.4</w:t>
            </w:r>
          </w:p>
        </w:tc>
        <w:tc>
          <w:tcPr>
            <w:tcW w:w="60" w:type="dxa"/>
            <w:vAlign w:val="bottom"/>
            <w:tcBorders>
              <w:bottom w:val="single" w:sz="8" w:color="DDDDDD"/>
            </w:tcBorders>
          </w:tcPr>
          <w:p>
            <w:pPr>
              <w:spacing w:after="0"/>
              <w:rPr>
                <w:sz w:val="19"/>
                <w:szCs w:val="19"/>
                <w:color w:val="auto"/>
              </w:rPr>
            </w:pPr>
          </w:p>
        </w:tc>
      </w:tr>
      <w:tr>
        <w:trPr>
          <w:trHeight w:val="217"/>
        </w:trPr>
        <w:tc>
          <w:tcPr>
            <w:tcW w:w="5600" w:type="dxa"/>
            <w:vAlign w:val="bottom"/>
            <w:tcBorders>
              <w:bottom w:val="single" w:sz="8" w:color="auto"/>
            </w:tcBorders>
            <w:shd w:val="clear" w:color="auto" w:fill="DDDDDD"/>
          </w:tcPr>
          <w:p>
            <w:pPr>
              <w:spacing w:after="0" w:line="212" w:lineRule="exact"/>
              <w:rPr>
                <w:sz w:val="20"/>
                <w:szCs w:val="20"/>
                <w:color w:val="auto"/>
              </w:rPr>
            </w:pPr>
            <w:r>
              <w:rPr>
                <w:rFonts w:ascii="PMingLiU" w:cs="PMingLiU" w:eastAsia="PMingLiU" w:hAnsi="PMingLiU"/>
                <w:sz w:val="20"/>
                <w:szCs w:val="20"/>
                <w:color w:val="auto"/>
              </w:rPr>
              <w:t>Expiration &gt; 5 years</w:t>
            </w:r>
          </w:p>
        </w:tc>
        <w:tc>
          <w:tcPr>
            <w:tcW w:w="22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rPr>
              <w:t>2,066,800</w:t>
            </w:r>
          </w:p>
        </w:tc>
        <w:tc>
          <w:tcPr>
            <w:tcW w:w="140" w:type="dxa"/>
            <w:vAlign w:val="bottom"/>
            <w:tcBorders>
              <w:bottom w:val="single" w:sz="8" w:color="auto"/>
            </w:tcBorders>
            <w:shd w:val="clear" w:color="auto" w:fill="DDDDDD"/>
          </w:tcPr>
          <w:p>
            <w:pPr>
              <w:spacing w:after="0"/>
              <w:rPr>
                <w:sz w:val="18"/>
                <w:szCs w:val="18"/>
                <w:color w:val="auto"/>
              </w:rPr>
            </w:pPr>
          </w:p>
        </w:tc>
        <w:tc>
          <w:tcPr>
            <w:tcW w:w="6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ind w:left="600"/>
              <w:spacing w:after="0" w:line="212" w:lineRule="exact"/>
              <w:rPr>
                <w:sz w:val="20"/>
                <w:szCs w:val="20"/>
                <w:color w:val="auto"/>
              </w:rPr>
            </w:pPr>
            <w:r>
              <w:rPr>
                <w:rFonts w:ascii="PMingLiU" w:cs="PMingLiU" w:eastAsia="PMingLiU" w:hAnsi="PMingLiU"/>
                <w:sz w:val="20"/>
                <w:szCs w:val="20"/>
                <w:color w:val="auto"/>
              </w:rPr>
              <w:t>3.55</w:t>
            </w:r>
          </w:p>
        </w:tc>
        <w:tc>
          <w:tcPr>
            <w:tcW w:w="18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highlight w:val="lightGray"/>
                <w:w w:val="89"/>
              </w:rPr>
              <w:t>%</w:t>
            </w:r>
          </w:p>
        </w:tc>
        <w:tc>
          <w:tcPr>
            <w:tcW w:w="200" w:type="dxa"/>
            <w:vAlign w:val="bottom"/>
            <w:tcBorders>
              <w:bottom w:val="single" w:sz="8" w:color="auto"/>
            </w:tcBorders>
            <w:shd w:val="clear" w:color="auto" w:fill="DDDDDD"/>
          </w:tcPr>
          <w:p>
            <w:pPr>
              <w:spacing w:after="0"/>
              <w:rPr>
                <w:sz w:val="18"/>
                <w:szCs w:val="18"/>
                <w:color w:val="auto"/>
              </w:rPr>
            </w:pPr>
          </w:p>
        </w:tc>
        <w:tc>
          <w:tcPr>
            <w:tcW w:w="95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rPr>
              <w:t>4.52</w:t>
            </w:r>
          </w:p>
        </w:tc>
        <w:tc>
          <w:tcPr>
            <w:tcW w:w="17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highlight w:val="lightGray"/>
                <w:w w:val="89"/>
              </w:rPr>
              <w:t>%</w:t>
            </w:r>
          </w:p>
        </w:tc>
        <w:tc>
          <w:tcPr>
            <w:tcW w:w="22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spacing w:after="0" w:line="212" w:lineRule="exact"/>
              <w:rPr>
                <w:sz w:val="20"/>
                <w:szCs w:val="20"/>
                <w:color w:val="auto"/>
              </w:rPr>
            </w:pPr>
            <w:r>
              <w:rPr>
                <w:rFonts w:ascii="PMingLiU" w:cs="PMingLiU" w:eastAsia="PMingLiU" w:hAnsi="PMingLiU"/>
                <w:sz w:val="20"/>
                <w:szCs w:val="20"/>
                <w:color w:val="auto"/>
              </w:rPr>
              <w:t>7.0</w:t>
            </w:r>
          </w:p>
        </w:tc>
        <w:tc>
          <w:tcPr>
            <w:tcW w:w="60" w:type="dxa"/>
            <w:vAlign w:val="bottom"/>
            <w:tcBorders>
              <w:bottom w:val="single" w:sz="8" w:color="auto"/>
            </w:tcBorders>
            <w:shd w:val="clear" w:color="auto" w:fill="DDDDDD"/>
          </w:tcPr>
          <w:p>
            <w:pPr>
              <w:spacing w:after="0"/>
              <w:rPr>
                <w:sz w:val="18"/>
                <w:szCs w:val="18"/>
                <w:color w:val="auto"/>
              </w:rPr>
            </w:pPr>
          </w:p>
        </w:tc>
      </w:tr>
      <w:tr>
        <w:trPr>
          <w:trHeight w:val="254"/>
        </w:trPr>
        <w:tc>
          <w:tcPr>
            <w:tcW w:w="56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3,516,800</w:t>
            </w:r>
          </w:p>
        </w:tc>
        <w:tc>
          <w:tcPr>
            <w:tcW w:w="1440" w:type="dxa"/>
            <w:vAlign w:val="bottom"/>
            <w:tcBorders>
              <w:bottom w:val="single" w:sz="8" w:color="auto"/>
            </w:tcBorders>
            <w:gridSpan w:val="5"/>
          </w:tcPr>
          <w:p>
            <w:pPr>
              <w:ind w:left="900"/>
              <w:spacing w:after="0"/>
              <w:rPr>
                <w:sz w:val="20"/>
                <w:szCs w:val="20"/>
                <w:color w:val="auto"/>
              </w:rPr>
            </w:pPr>
            <w:r>
              <w:rPr>
                <w:rFonts w:ascii="PMingLiU" w:cs="PMingLiU" w:eastAsia="PMingLiU" w:hAnsi="PMingLiU"/>
                <w:sz w:val="20"/>
                <w:szCs w:val="20"/>
                <w:color w:val="auto"/>
                <w:w w:val="96"/>
              </w:rPr>
              <w:t>2.78 %</w:t>
            </w:r>
          </w:p>
        </w:tc>
        <w:tc>
          <w:tcPr>
            <w:tcW w:w="13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0"/>
                <w:szCs w:val="20"/>
                <w:color w:val="auto"/>
              </w:rPr>
              <w:t>4.54 %</w:t>
            </w:r>
          </w:p>
        </w:tc>
        <w:tc>
          <w:tcPr>
            <w:tcW w:w="120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20"/>
                <w:szCs w:val="20"/>
                <w:color w:val="auto"/>
              </w:rPr>
              <w:t>5.5</w:t>
            </w:r>
          </w:p>
        </w:tc>
        <w:tc>
          <w:tcPr>
            <w:tcW w:w="60" w:type="dxa"/>
            <w:vAlign w:val="bottom"/>
            <w:tcBorders>
              <w:bottom w:val="single" w:sz="8" w:color="auto"/>
            </w:tcBorders>
          </w:tcPr>
          <w:p>
            <w:pPr>
              <w:spacing w:after="0"/>
              <w:rPr>
                <w:sz w:val="22"/>
                <w:szCs w:val="2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5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4394835</wp:posOffset>
                </wp:positionH>
                <wp:positionV relativeFrom="paragraph">
                  <wp:posOffset>-666115</wp:posOffset>
                </wp:positionV>
                <wp:extent cx="34925" cy="127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12700"/>
                        </a:xfrm>
                        <a:prstGeom prst="rect">
                          <a:avLst/>
                        </a:prstGeom>
                        <a:solidFill>
                          <a:srgbClr val="000000"/>
                        </a:solidFill>
                      </wps:spPr>
                      <wps:bodyPr/>
                    </wps:wsp>
                  </a:graphicData>
                </a:graphic>
              </wp:anchor>
            </w:drawing>
          </mc:Choice>
          <mc:Fallback>
            <w:pict>
              <v:rect id="Shape 35" o:spid="_x0000_s1060" style="position:absolute;margin-left:346.05pt;margin-top:-52.4499pt;width:2.7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6825615</wp:posOffset>
                </wp:positionH>
                <wp:positionV relativeFrom="paragraph">
                  <wp:posOffset>-666115</wp:posOffset>
                </wp:positionV>
                <wp:extent cx="34925" cy="127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25" cy="12700"/>
                        </a:xfrm>
                        <a:prstGeom prst="rect">
                          <a:avLst/>
                        </a:prstGeom>
                        <a:solidFill>
                          <a:srgbClr val="000000"/>
                        </a:solidFill>
                      </wps:spPr>
                      <wps:bodyPr/>
                    </wps:wsp>
                  </a:graphicData>
                </a:graphic>
              </wp:anchor>
            </w:drawing>
          </mc:Choice>
          <mc:Fallback>
            <w:pict>
              <v:rect id="Shape 36" o:spid="_x0000_s1061" style="position:absolute;margin-left:537.45pt;margin-top:-52.4499pt;width:2.7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92" w:lineRule="exact"/>
        <w:rPr>
          <w:sz w:val="20"/>
          <w:szCs w:val="20"/>
          <w:color w:val="auto"/>
        </w:rPr>
      </w:pPr>
    </w:p>
    <w:p>
      <w:pPr>
        <w:ind w:right="80" w:firstLine="499"/>
        <w:spacing w:after="0"/>
        <w:rPr>
          <w:sz w:val="20"/>
          <w:szCs w:val="20"/>
          <w:color w:val="auto"/>
        </w:rPr>
      </w:pPr>
      <w:r>
        <w:rPr>
          <w:rFonts w:ascii="PMingLiU" w:cs="PMingLiU" w:eastAsia="PMingLiU" w:hAnsi="PMingLiU"/>
          <w:sz w:val="20"/>
          <w:szCs w:val="20"/>
          <w:color w:val="auto"/>
        </w:rPr>
        <w:t>Our interest rate swaps are centrally cleared through two registered commodities exchanges, the Chicago Mercantile Exchange ("CME") and the London Clearing House (“LCH”). The clearing exchanges require that we post an "initial margin" amount determined by the exchanges.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exchanges.</w:t>
      </w:r>
    </w:p>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PMingLiU" w:cs="PMingLiU" w:eastAsia="PMingLiU" w:hAnsi="PMingLiU"/>
          <w:sz w:val="20"/>
          <w:szCs w:val="20"/>
          <w:color w:val="auto"/>
        </w:rPr>
        <w:t>The following table summarizes the Company's contracts to purchase and sell TBA securities as of December 31, 2025 and</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0"/>
          <w:szCs w:val="20"/>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40"/>
              <w:spacing w:after="0" w:line="190" w:lineRule="exact"/>
              <w:rPr>
                <w:sz w:val="20"/>
                <w:szCs w:val="20"/>
                <w:color w:val="auto"/>
              </w:rPr>
            </w:pPr>
            <w:r>
              <w:rPr>
                <w:rFonts w:ascii="Times New Roman" w:cs="Times New Roman" w:eastAsia="Times New Roman" w:hAnsi="Times New Roman"/>
                <w:sz w:val="18"/>
                <w:szCs w:val="18"/>
                <w:b w:val="1"/>
                <w:bCs w:val="1"/>
                <w:color w:val="auto"/>
                <w:w w:val="99"/>
              </w:rPr>
              <w:t>Notional</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8"/>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2"/>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Long</w:t>
            </w:r>
          </w:p>
        </w:tc>
        <w:tc>
          <w:tcPr>
            <w:tcW w:w="2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22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18"/>
        </w:trPr>
        <w:tc>
          <w:tcPr>
            <w:tcW w:w="562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(Short)</w:t>
            </w:r>
            <w:r>
              <w:rPr>
                <w:rFonts w:ascii="Times New Roman" w:cs="Times New Roman" w:eastAsia="Times New Roman" w:hAnsi="Times New Roman"/>
                <w:sz w:val="10"/>
                <w:szCs w:val="10"/>
                <w:b w:val="1"/>
                <w:bCs w:val="1"/>
                <w:color w:val="auto"/>
                <w:w w:val="98"/>
              </w:rPr>
              <w:t>(1)</w:t>
            </w:r>
          </w:p>
        </w:tc>
        <w:tc>
          <w:tcPr>
            <w:tcW w:w="100" w:type="dxa"/>
            <w:vAlign w:val="bottom"/>
            <w:tcBorders>
              <w:bottom w:val="single" w:sz="8" w:color="auto"/>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Basis</w:t>
            </w:r>
            <w:r>
              <w:rPr>
                <w:rFonts w:ascii="Times New Roman" w:cs="Times New Roman" w:eastAsia="Times New Roman" w:hAnsi="Times New Roman"/>
                <w:sz w:val="10"/>
                <w:szCs w:val="10"/>
                <w:b w:val="1"/>
                <w:bCs w:val="1"/>
                <w:color w:val="auto"/>
              </w:rPr>
              <w:t>(2)</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10"/>
                <w:szCs w:val="10"/>
                <w:b w:val="1"/>
                <w:bCs w:val="1"/>
                <w:color w:val="auto"/>
              </w:rPr>
              <w:t>(3)</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Value</w:t>
            </w:r>
            <w:r>
              <w:rPr>
                <w:rFonts w:ascii="Times New Roman" w:cs="Times New Roman" w:eastAsia="Times New Roman" w:hAnsi="Times New Roman"/>
                <w:sz w:val="10"/>
                <w:szCs w:val="10"/>
                <w:b w:val="1"/>
                <w:bCs w:val="1"/>
                <w:color w:val="auto"/>
                <w:w w:val="98"/>
              </w:rPr>
              <w:t>(4)</w:t>
            </w:r>
          </w:p>
        </w:tc>
        <w:tc>
          <w:tcPr>
            <w:tcW w:w="100" w:type="dxa"/>
            <w:vAlign w:val="bottom"/>
            <w:tcBorders>
              <w:bottom w:val="single" w:sz="8" w:color="auto"/>
            </w:tcBorders>
            <w:shd w:val="clear" w:color="auto" w:fill="DDDDDD"/>
          </w:tcPr>
          <w:p>
            <w:pPr>
              <w:spacing w:after="0"/>
              <w:rPr>
                <w:sz w:val="18"/>
                <w:szCs w:val="18"/>
                <w:color w:val="auto"/>
              </w:rPr>
            </w:pPr>
          </w:p>
        </w:tc>
      </w:tr>
      <w:tr>
        <w:trPr>
          <w:trHeight w:val="21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6"/>
        </w:trPr>
        <w:tc>
          <w:tcPr>
            <w:tcW w:w="5620"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15-Year TBA securities:</w:t>
            </w:r>
          </w:p>
        </w:tc>
        <w:tc>
          <w:tcPr>
            <w:tcW w:w="22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r>
      <w:tr>
        <w:trPr>
          <w:trHeight w:val="218"/>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249,998</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250,186</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r>
      <w:tr>
        <w:trPr>
          <w:trHeight w:val="216"/>
        </w:trPr>
        <w:tc>
          <w:tcPr>
            <w:tcW w:w="56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i w:val="1"/>
                <w:iCs w:val="1"/>
                <w:color w:val="auto"/>
              </w:rPr>
              <w:t>30-Year TBA securities:</w:t>
            </w: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0"/>
                <w:szCs w:val="10"/>
                <w:color w:val="auto"/>
              </w:rPr>
              <w:t>(5)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r>
      <w:tr>
        <w:trPr>
          <w:trHeight w:val="218"/>
        </w:trPr>
        <w:tc>
          <w:tcPr>
            <w:tcW w:w="56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0"/>
                <w:szCs w:val="10"/>
                <w:color w:val="auto"/>
              </w:rPr>
              <w:t>(5)</w:t>
            </w: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0"/>
                <w:szCs w:val="10"/>
                <w:color w:val="auto"/>
              </w:rPr>
              <w:t>(5)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r>
      <w:tr>
        <w:trPr>
          <w:trHeight w:val="218"/>
        </w:trPr>
        <w:tc>
          <w:tcPr>
            <w:tcW w:w="56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0"/>
                <w:szCs w:val="10"/>
                <w:color w:val="auto"/>
              </w:rPr>
              <w:t>(5)</w:t>
            </w: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(275,000 )</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(277,696 )</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(278,996 )</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(1,300 )</w:t>
            </w:r>
          </w:p>
        </w:tc>
      </w:tr>
      <w:tr>
        <w:trPr>
          <w:trHeight w:val="218"/>
        </w:trPr>
        <w:tc>
          <w:tcPr>
            <w:tcW w:w="562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(161,103</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(161,127</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8"/>
                <w:szCs w:val="18"/>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25"/>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(180,000 )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(189,107 )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(189,937 )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(830 )</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9"/>
        </w:trPr>
        <w:tc>
          <w:tcPr>
            <w:tcW w:w="5620" w:type="dxa"/>
            <w:vAlign w:val="bottom"/>
            <w:tcBorders>
              <w:bottom w:val="single" w:sz="8" w:color="auto"/>
            </w:tcBorders>
            <w:shd w:val="clear" w:color="auto" w:fill="DDDDDD"/>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15-Year TBA securities: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56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50,074</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49,742</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30-Year TBA securities: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620" w:type="dxa"/>
            <w:vAlign w:val="bottom"/>
            <w:tcBorders>
              <w:bottom w:val="single" w:sz="8" w:color="auto"/>
            </w:tcBorders>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(174,406</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(169,703</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tcBorders>
              <w:bottom w:val="single" w:sz="8" w:color="auto"/>
            </w:tcBorders>
            <w:shd w:val="clear" w:color="auto" w:fill="DDDDDD"/>
          </w:tcPr>
          <w:p>
            <w:pPr>
              <w:spacing w:after="0"/>
              <w:rPr>
                <w:sz w:val="19"/>
                <w:szCs w:val="19"/>
                <w:color w:val="auto"/>
              </w:rPr>
            </w:pPr>
          </w:p>
        </w:tc>
      </w:tr>
      <w:tr>
        <w:trPr>
          <w:trHeight w:val="228"/>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(150,000 )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(124,332 )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(119,961 )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auto"/>
            </w:tcBorders>
          </w:tcPr>
          <w:p>
            <w:pPr>
              <w:spacing w:after="0"/>
              <w:rPr>
                <w:sz w:val="19"/>
                <w:szCs w:val="19"/>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360" w:hanging="350"/>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represents the par value (or principal balance) of the underlying Agency RMBS.</w:t>
      </w:r>
    </w:p>
    <w:p>
      <w:pPr>
        <w:spacing w:after="0" w:line="33"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basis represents the forward price to be paid (received) for the underlying Agency RMBS.</w:t>
      </w:r>
    </w:p>
    <w:p>
      <w:pPr>
        <w:spacing w:after="0" w:line="9"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represents the current market value of the TBA securities (or of the underlying Agency RMBS) as of period-end.</w:t>
      </w:r>
    </w:p>
    <w:p>
      <w:pPr>
        <w:spacing w:after="0" w:line="11" w:lineRule="exact"/>
        <w:rPr>
          <w:rFonts w:ascii="Times New Roman" w:cs="Times New Roman" w:eastAsia="Times New Roman" w:hAnsi="Times New Roman"/>
          <w:sz w:val="18"/>
          <w:szCs w:val="18"/>
          <w:color w:val="auto"/>
        </w:rPr>
      </w:pPr>
    </w:p>
    <w:p>
      <w:pPr>
        <w:ind w:left="360" w:right="160" w:hanging="350"/>
        <w:spacing w:after="0" w:line="246"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carrying value represents the difference between the market value and the cost basis of the TBA securities as of period-end and is reported in derivative assets (liabilities), at fair value in the balance sheets.</w:t>
      </w:r>
    </w:p>
    <w:p>
      <w:pPr>
        <w:ind w:left="360" w:hanging="350"/>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offsetting long and short positions for these coupons.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800"/>
          </w:cols>
          <w:pgMar w:left="720" w:top="794" w:right="720" w:bottom="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Gain (Loss) From Derivative and Other Hedging Instruments, Net</w:t>
      </w:r>
    </w:p>
    <w:p>
      <w:pPr>
        <w:spacing w:after="0" w:line="233" w:lineRule="exact"/>
        <w:rPr>
          <w:sz w:val="20"/>
          <w:szCs w:val="20"/>
          <w:color w:val="auto"/>
        </w:rPr>
      </w:pPr>
    </w:p>
    <w:p>
      <w:pPr>
        <w:ind w:right="1040" w:firstLine="499"/>
        <w:spacing w:after="0" w:line="277" w:lineRule="auto"/>
        <w:rPr>
          <w:sz w:val="20"/>
          <w:szCs w:val="20"/>
          <w:color w:val="auto"/>
        </w:rPr>
      </w:pPr>
      <w:r>
        <w:rPr>
          <w:rFonts w:ascii="Times New Roman" w:cs="Times New Roman" w:eastAsia="Times New Roman" w:hAnsi="Times New Roman"/>
          <w:sz w:val="20"/>
          <w:szCs w:val="20"/>
          <w:color w:val="auto"/>
        </w:rPr>
        <w:t>The table below presents the effect of the Company’s derivative and other hedging instruments on the statements of comprehensive income (loss) for the years ended December 31, 2025, 2024 and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r>
      <w:tr>
        <w:trPr>
          <w:trHeight w:val="208"/>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Futures contracts (short positions)</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(30,282</w:t>
            </w:r>
          </w:p>
        </w:tc>
        <w:tc>
          <w:tcPr>
            <w:tcW w:w="320" w:type="dxa"/>
            <w:vAlign w:val="bottom"/>
            <w:shd w:val="clear" w:color="auto" w:fill="DDDDDD"/>
          </w:tcPr>
          <w:p>
            <w:pPr>
              <w:jc w:val="right"/>
              <w:ind w:right="180"/>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26,638</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00" w:type="dxa"/>
            <w:vAlign w:val="bottom"/>
            <w:shd w:val="clear" w:color="auto" w:fill="DDDDDD"/>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(81,687 )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100" w:type="dxa"/>
            <w:vAlign w:val="bottom"/>
          </w:tcPr>
          <w:p>
            <w:pPr>
              <w:spacing w:after="0"/>
              <w:rPr>
                <w:sz w:val="18"/>
                <w:szCs w:val="18"/>
                <w:color w:val="auto"/>
              </w:rPr>
            </w:pPr>
          </w:p>
        </w:tc>
      </w:tr>
      <w:tr>
        <w:trPr>
          <w:trHeight w:val="218"/>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Payer swaptions (long positions)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Payer swaptions (short positions)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Pr>
          <w:p>
            <w:pPr>
              <w:spacing w:after="0"/>
              <w:rPr>
                <w:sz w:val="18"/>
                <w:szCs w:val="18"/>
                <w:color w:val="auto"/>
              </w:rPr>
            </w:pPr>
          </w:p>
        </w:tc>
      </w:tr>
      <w:tr>
        <w:trPr>
          <w:trHeight w:val="218"/>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Dual digital option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rate floors (long positions)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DDDDDD"/>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floors (short positions)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18"/>
        </w:trPr>
        <w:tc>
          <w:tcPr>
            <w:tcW w:w="59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TBA securities (short positions)</w:t>
            </w: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320" w:type="dxa"/>
            <w:vAlign w:val="bottom"/>
            <w:shd w:val="clear" w:color="auto" w:fill="DDDDDD"/>
          </w:tcPr>
          <w:p>
            <w:pPr>
              <w:jc w:val="right"/>
              <w:ind w:right="180"/>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DDDDDD"/>
          </w:tcPr>
          <w:p>
            <w:pPr>
              <w:spacing w:after="0"/>
              <w:rPr>
                <w:sz w:val="18"/>
                <w:szCs w:val="18"/>
                <w:color w:val="auto"/>
              </w:rPr>
            </w:pPr>
          </w:p>
        </w:tc>
      </w:tr>
      <w:tr>
        <w:trPr>
          <w:trHeight w:val="21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TBA securities (long positions)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3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(4,860 )</w:t>
            </w:r>
          </w:p>
        </w:tc>
      </w:tr>
      <w:tr>
        <w:trPr>
          <w:trHeight w:val="216"/>
        </w:trPr>
        <w:tc>
          <w:tcPr>
            <w:tcW w:w="59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U.S. Treasury securities (short positions)</w:t>
            </w: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Borders>
              <w:bottom w:val="single" w:sz="8" w:color="auto"/>
            </w:tcBorders>
            <w:shd w:val="clear" w:color="auto" w:fill="DDDDDD"/>
          </w:tcPr>
          <w:p>
            <w:pPr>
              <w:jc w:val="right"/>
              <w:ind w:right="180"/>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DDDDDD"/>
          </w:tcPr>
          <w:p>
            <w:pPr>
              <w:spacing w:after="0"/>
              <w:rPr>
                <w:sz w:val="18"/>
                <w:szCs w:val="18"/>
                <w:color w:val="auto"/>
              </w:rPr>
            </w:pPr>
          </w:p>
        </w:tc>
      </w:tr>
      <w:tr>
        <w:trPr>
          <w:trHeight w:val="230"/>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(122,669 )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133,554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45,237</w:t>
            </w:r>
          </w:p>
        </w:tc>
        <w:tc>
          <w:tcPr>
            <w:tcW w:w="100" w:type="dxa"/>
            <w:vAlign w:val="bottom"/>
            <w:tcBorders>
              <w:bottom w:val="single" w:sz="8" w:color="auto"/>
            </w:tcBorders>
          </w:tcPr>
          <w:p>
            <w:pPr>
              <w:spacing w:after="0"/>
              <w:rPr>
                <w:sz w:val="19"/>
                <w:szCs w:val="19"/>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-600075</wp:posOffset>
                </wp:positionV>
                <wp:extent cx="68580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7.2499pt" to="540.2pt,-47.2499pt" o:allowincell="f" strokecolor="#FFFFFF" strokeweight="0.24pt"/>
            </w:pict>
          </mc:Fallback>
        </mc:AlternateConten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Risk-Related Contingent Features</w:t>
      </w:r>
    </w:p>
    <w:p>
      <w:pPr>
        <w:spacing w:after="0" w:line="235" w:lineRule="exact"/>
        <w:rPr>
          <w:sz w:val="20"/>
          <w:szCs w:val="20"/>
          <w:color w:val="auto"/>
        </w:rPr>
      </w:pPr>
    </w:p>
    <w:p>
      <w:pPr>
        <w:ind w:firstLine="499"/>
        <w:spacing w:after="0" w:line="244" w:lineRule="auto"/>
        <w:rPr>
          <w:sz w:val="20"/>
          <w:szCs w:val="20"/>
          <w:color w:val="auto"/>
        </w:rPr>
      </w:pPr>
      <w:r>
        <w:rPr>
          <w:rFonts w:ascii="Times New Roman" w:cs="Times New Roman" w:eastAsia="Times New Roman" w:hAnsi="Times New Roman"/>
          <w:sz w:val="20"/>
          <w:szCs w:val="20"/>
          <w:color w:val="auto"/>
        </w:rPr>
        <w:t>The use of derivatives and other hedging instruments creates exposure to credit risk relating to potential losses that could be recognized in the event that the counterparties to these instruments fail to perform their obligations under the contracts. The Company attempts to minimize this risk by limiting its counterparties for instruments which are not centrally cleared on a registered exchange to major financial institutions with acceptable credit ratings and monitoring positions with individual counterparties. In addition, the Company may be required to pledge assets as collateral for its derivatives, whose amounts vary over time based on the market value, notional amount and remaining term of the derivative contract. In the event of a default by a counterparty, the Company may not receive payments provided for under the terms of its derivative agreements, and may have difficulty obtaining its assets pledged as collateral for its derivatives. The cash and cash equivalents pledged as collateral for the Company's derivative instruments are included in restricted cash on its balance sheets.</w:t>
      </w:r>
    </w:p>
    <w:p>
      <w:pPr>
        <w:spacing w:after="0" w:line="196" w:lineRule="exact"/>
        <w:rPr>
          <w:sz w:val="20"/>
          <w:szCs w:val="20"/>
          <w:color w:val="auto"/>
        </w:rPr>
      </w:pPr>
    </w:p>
    <w:p>
      <w:pPr>
        <w:ind w:right="40" w:firstLine="499"/>
        <w:spacing w:after="0" w:line="252" w:lineRule="auto"/>
        <w:rPr>
          <w:sz w:val="20"/>
          <w:szCs w:val="20"/>
          <w:color w:val="auto"/>
        </w:rPr>
      </w:pPr>
      <w:r>
        <w:rPr>
          <w:rFonts w:ascii="Times New Roman" w:cs="Times New Roman" w:eastAsia="Times New Roman" w:hAnsi="Times New Roman"/>
          <w:sz w:val="20"/>
          <w:szCs w:val="20"/>
          <w:color w:val="auto"/>
        </w:rPr>
        <w:t>It is the Company's policy not to offset assets and liabilities associated with open derivative contracts. However, CME and LCH rules characterize variation margin transfers as settlement payments, as opposed to adjustments to collateral. As a result, derivative assets and liabilities associated with centrally cleared derivatives for which the CME or LCH serves as the central clearing party are presented as if these derivatives had been settled as of the reporting 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PLEDGED ASSETS</w:t>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Assets Pledged to Counterparties</w:t>
      </w:r>
    </w:p>
    <w:p>
      <w:pPr>
        <w:spacing w:after="0" w:line="235" w:lineRule="exact"/>
        <w:rPr>
          <w:sz w:val="20"/>
          <w:szCs w:val="20"/>
          <w:color w:val="auto"/>
        </w:rPr>
      </w:pPr>
    </w:p>
    <w:p>
      <w:pPr>
        <w:ind w:right="500" w:firstLine="499"/>
        <w:spacing w:after="0" w:line="304" w:lineRule="auto"/>
        <w:rPr>
          <w:sz w:val="20"/>
          <w:szCs w:val="20"/>
          <w:color w:val="auto"/>
        </w:rPr>
      </w:pPr>
      <w:r>
        <w:rPr>
          <w:rFonts w:ascii="Times New Roman" w:cs="Times New Roman" w:eastAsia="Times New Roman" w:hAnsi="Times New Roman"/>
          <w:sz w:val="19"/>
          <w:szCs w:val="19"/>
          <w:color w:val="auto"/>
        </w:rPr>
        <w:t>The table below summarizes the Company's assets pledged as collateral under our repurchase agreements and derivative agreements by type, including securities pledged related to securities sold but not yet settled, as of December 31, 2025 and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30" w:type="dxa"/>
            <w:vAlign w:val="bottom"/>
            <w:tcBorders>
              <w:top w:val="single" w:sz="8" w:color="auto"/>
            </w:tcBorders>
          </w:tcPr>
          <w:p>
            <w:pPr>
              <w:spacing w:after="0"/>
              <w:rPr>
                <w:sz w:val="18"/>
                <w:szCs w:val="18"/>
                <w:color w:val="auto"/>
              </w:rPr>
            </w:pPr>
          </w:p>
        </w:tc>
        <w:tc>
          <w:tcPr>
            <w:tcW w:w="11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r>
      <w:tr>
        <w:trPr>
          <w:trHeight w:val="192"/>
        </w:trPr>
        <w:tc>
          <w:tcPr>
            <w:tcW w:w="30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Repurchase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00"/>
              <w:spacing w:after="0" w:line="19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Repurchase</w:t>
            </w:r>
          </w:p>
        </w:tc>
        <w:tc>
          <w:tcPr>
            <w:tcW w:w="320" w:type="dxa"/>
            <w:vAlign w:val="bottom"/>
          </w:tcPr>
          <w:p>
            <w:pPr>
              <w:spacing w:after="0"/>
              <w:rPr>
                <w:sz w:val="16"/>
                <w:szCs w:val="16"/>
                <w:color w:val="auto"/>
              </w:rPr>
            </w:pPr>
          </w:p>
        </w:tc>
        <w:tc>
          <w:tcPr>
            <w:tcW w:w="1200" w:type="dxa"/>
            <w:vAlign w:val="bottom"/>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 Pledged to Counterparties</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303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color w:val="auto"/>
              </w:rPr>
              <w:t>PT RMBS - fair value</w:t>
            </w:r>
          </w:p>
        </w:tc>
        <w:tc>
          <w:tcPr>
            <w:tcW w:w="11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10,489,655</w:t>
            </w:r>
          </w:p>
        </w:tc>
        <w:tc>
          <w:tcPr>
            <w:tcW w:w="2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10,489,655</w:t>
            </w: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5,193,570</w:t>
            </w:r>
          </w:p>
        </w:tc>
        <w:tc>
          <w:tcPr>
            <w:tcW w:w="32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5,193,570</w:t>
            </w:r>
          </w:p>
        </w:tc>
        <w:tc>
          <w:tcPr>
            <w:tcW w:w="100" w:type="dxa"/>
            <w:vAlign w:val="bottom"/>
            <w:tcBorders>
              <w:bottom w:val="single" w:sz="8" w:color="DDDDDD"/>
            </w:tcBorders>
            <w:shd w:val="clear" w:color="auto" w:fill="DDDDDD"/>
          </w:tcPr>
          <w:p>
            <w:pPr>
              <w:spacing w:after="0"/>
              <w:rPr>
                <w:sz w:val="17"/>
                <w:szCs w:val="17"/>
                <w:color w:val="auto"/>
              </w:rPr>
            </w:pPr>
          </w:p>
        </w:tc>
      </w:tr>
      <w:tr>
        <w:trPr>
          <w:trHeight w:val="201"/>
        </w:trPr>
        <w:tc>
          <w:tcPr>
            <w:tcW w:w="3140" w:type="dxa"/>
            <w:vAlign w:val="bottom"/>
            <w:tcBorders>
              <w:bottom w:val="single" w:sz="8" w:color="DDDDDD"/>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Structured RMBS - fair value</w:t>
            </w: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13,088</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13,088</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15,498</w:t>
            </w:r>
          </w:p>
        </w:tc>
        <w:tc>
          <w:tcPr>
            <w:tcW w:w="3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15,498</w:t>
            </w:r>
          </w:p>
        </w:tc>
        <w:tc>
          <w:tcPr>
            <w:tcW w:w="100" w:type="dxa"/>
            <w:vAlign w:val="bottom"/>
            <w:tcBorders>
              <w:bottom w:val="single" w:sz="8" w:color="DDDDDD"/>
            </w:tcBorders>
          </w:tcPr>
          <w:p>
            <w:pPr>
              <w:spacing w:after="0"/>
              <w:rPr>
                <w:sz w:val="17"/>
                <w:szCs w:val="17"/>
                <w:color w:val="auto"/>
              </w:rPr>
            </w:pPr>
          </w:p>
        </w:tc>
      </w:tr>
      <w:tr>
        <w:trPr>
          <w:trHeight w:val="191"/>
        </w:trPr>
        <w:tc>
          <w:tcPr>
            <w:tcW w:w="303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U.S. Treasury securities - fair value</w:t>
            </w:r>
          </w:p>
        </w:tc>
        <w:tc>
          <w:tcPr>
            <w:tcW w:w="11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135,133</w:t>
            </w:r>
          </w:p>
        </w:tc>
        <w:tc>
          <w:tcPr>
            <w:tcW w:w="2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135,133</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100,551</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100,551</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03"/>
        </w:trPr>
        <w:tc>
          <w:tcPr>
            <w:tcW w:w="3140" w:type="dxa"/>
            <w:vAlign w:val="bottom"/>
            <w:tcBorders>
              <w:bottom w:val="single" w:sz="8" w:color="DDDDDD"/>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Accrued interest on pledged securities</w:t>
            </w: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48,537</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48,573</w:t>
            </w: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22,852</w:t>
            </w:r>
          </w:p>
        </w:tc>
        <w:tc>
          <w:tcPr>
            <w:tcW w:w="32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22,852</w:t>
            </w:r>
          </w:p>
        </w:tc>
        <w:tc>
          <w:tcPr>
            <w:tcW w:w="100" w:type="dxa"/>
            <w:vAlign w:val="bottom"/>
            <w:tcBorders>
              <w:bottom w:val="single" w:sz="8" w:color="DDDDDD"/>
            </w:tcBorders>
          </w:tcPr>
          <w:p>
            <w:pPr>
              <w:spacing w:after="0"/>
              <w:rPr>
                <w:sz w:val="17"/>
                <w:szCs w:val="17"/>
                <w:color w:val="auto"/>
              </w:rPr>
            </w:pPr>
          </w:p>
        </w:tc>
      </w:tr>
      <w:tr>
        <w:trPr>
          <w:trHeight w:val="195"/>
        </w:trPr>
        <w:tc>
          <w:tcPr>
            <w:tcW w:w="303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Restricted cash</w:t>
            </w:r>
          </w:p>
        </w:tc>
        <w:tc>
          <w:tcPr>
            <w:tcW w:w="11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51,171</w:t>
            </w:r>
          </w:p>
        </w:tc>
        <w:tc>
          <w:tcPr>
            <w:tcW w:w="2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7,525</w:t>
            </w:r>
          </w:p>
        </w:tc>
        <w:tc>
          <w:tcPr>
            <w:tcW w:w="20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58,696</w:t>
            </w: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22,818</w:t>
            </w:r>
          </w:p>
        </w:tc>
        <w:tc>
          <w:tcPr>
            <w:tcW w:w="3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2,905</w:t>
            </w:r>
          </w:p>
        </w:tc>
        <w:tc>
          <w:tcPr>
            <w:tcW w:w="2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25,723</w:t>
            </w:r>
          </w:p>
        </w:tc>
        <w:tc>
          <w:tcPr>
            <w:tcW w:w="100" w:type="dxa"/>
            <w:vAlign w:val="bottom"/>
            <w:tcBorders>
              <w:bottom w:val="single" w:sz="8" w:color="auto"/>
            </w:tcBorders>
            <w:shd w:val="clear" w:color="auto" w:fill="DDDDDD"/>
          </w:tcPr>
          <w:p>
            <w:pPr>
              <w:spacing w:after="0"/>
              <w:rPr>
                <w:sz w:val="16"/>
                <w:szCs w:val="16"/>
                <w:color w:val="auto"/>
              </w:rPr>
            </w:pPr>
          </w:p>
        </w:tc>
      </w:tr>
      <w:tr>
        <w:trPr>
          <w:trHeight w:val="230"/>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10,602,451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142,694</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10,745,145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5,254,738</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103,456</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5,358,194</w:t>
            </w:r>
          </w:p>
        </w:tc>
        <w:tc>
          <w:tcPr>
            <w:tcW w:w="100" w:type="dxa"/>
            <w:vAlign w:val="bottom"/>
            <w:tcBorders>
              <w:bottom w:val="single" w:sz="8" w:color="auto"/>
            </w:tcBorders>
          </w:tcPr>
          <w:p>
            <w:pPr>
              <w:spacing w:after="0"/>
              <w:rPr>
                <w:sz w:val="20"/>
                <w:szCs w:val="20"/>
                <w:color w:val="auto"/>
              </w:rPr>
            </w:pPr>
          </w:p>
        </w:tc>
      </w:tr>
      <w:tr>
        <w:trPr>
          <w:trHeight w:val="20"/>
        </w:trPr>
        <w:tc>
          <w:tcPr>
            <w:tcW w:w="303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800"/>
          </w:cols>
          <w:pgMar w:left="720" w:top="784" w:right="720" w:bottom="0" w:gutter="0" w:footer="0" w:header="0"/>
        </w:sectPr>
      </w:pPr>
    </w:p>
    <w:bookmarkStart w:id="89" w:name="page90"/>
    <w:bookmarkEnd w:id="89"/>
    <w:p>
      <w:pPr>
        <w:ind w:left="500"/>
        <w:spacing w:after="0"/>
        <w:rPr>
          <w:sz w:val="20"/>
          <w:szCs w:val="20"/>
          <w:color w:val="auto"/>
        </w:rPr>
      </w:pPr>
      <w:r>
        <w:rPr>
          <w:rFonts w:ascii="Times New Roman" w:cs="Times New Roman" w:eastAsia="Times New Roman" w:hAnsi="Times New Roman"/>
          <w:sz w:val="20"/>
          <w:szCs w:val="20"/>
          <w:b w:val="1"/>
          <w:bCs w:val="1"/>
          <w:color w:val="auto"/>
        </w:rPr>
        <w:t>Assets Pledged from Counterparties</w:t>
      </w:r>
    </w:p>
    <w:p>
      <w:pPr>
        <w:spacing w:after="0" w:line="233" w:lineRule="exact"/>
        <w:rPr>
          <w:sz w:val="20"/>
          <w:szCs w:val="20"/>
          <w:color w:val="auto"/>
        </w:rPr>
      </w:pPr>
    </w:p>
    <w:p>
      <w:pPr>
        <w:ind w:right="280" w:firstLine="499"/>
        <w:spacing w:after="0" w:line="277" w:lineRule="auto"/>
        <w:rPr>
          <w:sz w:val="20"/>
          <w:szCs w:val="20"/>
          <w:color w:val="auto"/>
        </w:rPr>
      </w:pPr>
      <w:r>
        <w:rPr>
          <w:rFonts w:ascii="Times New Roman" w:cs="Times New Roman" w:eastAsia="Times New Roman" w:hAnsi="Times New Roman"/>
          <w:sz w:val="20"/>
          <w:szCs w:val="20"/>
          <w:color w:val="auto"/>
        </w:rPr>
        <w:t>The table below summarizes assets pledged to the Company from counterparties under repurchase agreements and derivative agreements as of December 31, 2025 and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0"/>
              <w:spacing w:after="0" w:line="212" w:lineRule="exact"/>
              <w:rPr>
                <w:sz w:val="20"/>
                <w:szCs w:val="20"/>
                <w:color w:val="auto"/>
              </w:rPr>
            </w:pPr>
            <w:r>
              <w:rPr>
                <w:rFonts w:ascii="Times New Roman" w:cs="Times New Roman" w:eastAsia="Times New Roman" w:hAnsi="Times New Roman"/>
                <w:sz w:val="20"/>
                <w:szCs w:val="20"/>
                <w:b w:val="1"/>
                <w:bCs w:val="1"/>
                <w:color w:val="auto"/>
              </w:rPr>
              <w:t>Reverse</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30" w:type="dxa"/>
            <w:vAlign w:val="bottom"/>
            <w:tcBorders>
              <w:top w:val="single" w:sz="8" w:color="auto"/>
            </w:tcBorders>
          </w:tcPr>
          <w:p>
            <w:pPr>
              <w:spacing w:after="0"/>
              <w:rPr>
                <w:sz w:val="18"/>
                <w:szCs w:val="18"/>
                <w:color w:val="auto"/>
              </w:rPr>
            </w:pPr>
          </w:p>
        </w:tc>
        <w:tc>
          <w:tcPr>
            <w:tcW w:w="1070" w:type="dxa"/>
            <w:vAlign w:val="bottom"/>
            <w:tcBorders>
              <w:top w:val="single" w:sz="8" w:color="auto"/>
            </w:tcBorders>
          </w:tcPr>
          <w:p>
            <w:pPr>
              <w:spacing w:after="0"/>
              <w:rPr>
                <w:sz w:val="18"/>
                <w:szCs w:val="18"/>
                <w:color w:val="auto"/>
              </w:rPr>
            </w:pPr>
          </w:p>
        </w:tc>
      </w:tr>
      <w:tr>
        <w:trPr>
          <w:trHeight w:val="240"/>
        </w:trPr>
        <w:tc>
          <w:tcPr>
            <w:tcW w:w="56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Repurchase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Repurchase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Derivative</w:t>
            </w:r>
          </w:p>
        </w:tc>
        <w:tc>
          <w:tcPr>
            <w:tcW w:w="330" w:type="dxa"/>
            <w:vAlign w:val="bottom"/>
          </w:tcPr>
          <w:p>
            <w:pPr>
              <w:spacing w:after="0"/>
              <w:rPr>
                <w:sz w:val="20"/>
                <w:szCs w:val="20"/>
                <w:color w:val="auto"/>
              </w:rPr>
            </w:pPr>
          </w:p>
        </w:tc>
        <w:tc>
          <w:tcPr>
            <w:tcW w:w="1070" w:type="dxa"/>
            <w:vAlign w:val="bottom"/>
          </w:tcPr>
          <w:p>
            <w:pPr>
              <w:spacing w:after="0"/>
              <w:rPr>
                <w:sz w:val="20"/>
                <w:szCs w:val="20"/>
                <w:color w:val="auto"/>
              </w:rPr>
            </w:pPr>
          </w:p>
        </w:tc>
      </w:tr>
      <w:tr>
        <w:trPr>
          <w:trHeight w:val="262"/>
        </w:trPr>
        <w:tc>
          <w:tcPr>
            <w:tcW w:w="5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Agreements</w:t>
            </w:r>
          </w:p>
        </w:tc>
        <w:tc>
          <w:tcPr>
            <w:tcW w:w="12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w w:val="99"/>
              </w:rPr>
              <w:t>Agreements</w:t>
            </w:r>
          </w:p>
        </w:tc>
        <w:tc>
          <w:tcPr>
            <w:tcW w:w="1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Agreements</w:t>
            </w:r>
          </w:p>
        </w:tc>
        <w:tc>
          <w:tcPr>
            <w:tcW w:w="330" w:type="dxa"/>
            <w:vAlign w:val="bottom"/>
            <w:tcBorders>
              <w:bottom w:val="single" w:sz="8" w:color="auto"/>
            </w:tcBorders>
          </w:tcPr>
          <w:p>
            <w:pPr>
              <w:spacing w:after="0"/>
              <w:rPr>
                <w:sz w:val="22"/>
                <w:szCs w:val="22"/>
                <w:color w:val="auto"/>
              </w:rPr>
            </w:pPr>
          </w:p>
        </w:tc>
        <w:tc>
          <w:tcPr>
            <w:tcW w:w="107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7"/>
        </w:trPr>
        <w:tc>
          <w:tcPr>
            <w:tcW w:w="5620" w:type="dxa"/>
            <w:vAlign w:val="bottom"/>
            <w:tcBorders>
              <w:bottom w:val="single" w:sz="8" w:color="auto"/>
            </w:tcBorders>
            <w:shd w:val="clear" w:color="auto" w:fill="DDDDDD"/>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December 31, 2025</w:t>
            </w:r>
          </w:p>
        </w:tc>
        <w:tc>
          <w:tcPr>
            <w:tcW w:w="2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330" w:type="dxa"/>
            <w:vAlign w:val="bottom"/>
            <w:tcBorders>
              <w:bottom w:val="single" w:sz="8" w:color="auto"/>
            </w:tcBorders>
            <w:shd w:val="clear" w:color="auto" w:fill="DDDDDD"/>
          </w:tcPr>
          <w:p>
            <w:pPr>
              <w:spacing w:after="0"/>
              <w:rPr>
                <w:sz w:val="19"/>
                <w:szCs w:val="19"/>
                <w:color w:val="auto"/>
              </w:rPr>
            </w:pPr>
          </w:p>
        </w:tc>
        <w:tc>
          <w:tcPr>
            <w:tcW w:w="1070" w:type="dxa"/>
            <w:vAlign w:val="bottom"/>
            <w:tcBorders>
              <w:bottom w:val="single" w:sz="8" w:color="auto"/>
            </w:tcBorders>
            <w:shd w:val="clear" w:color="auto" w:fill="DDDDDD"/>
          </w:tcPr>
          <w:p>
            <w:pPr>
              <w:spacing w:after="0"/>
              <w:rPr>
                <w:sz w:val="19"/>
                <w:szCs w:val="19"/>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2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12,549</w:t>
            </w:r>
          </w:p>
        </w:tc>
        <w:tc>
          <w:tcPr>
            <w:tcW w:w="3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3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12,909</w:t>
            </w:r>
          </w:p>
        </w:tc>
      </w:tr>
      <w:tr>
        <w:trPr>
          <w:trHeight w:val="238"/>
        </w:trPr>
        <w:tc>
          <w:tcPr>
            <w:tcW w:w="56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U.S. Treasury securities - fair value</w:t>
            </w:r>
          </w:p>
        </w:tc>
        <w:tc>
          <w:tcPr>
            <w:tcW w:w="22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128,724</w:t>
            </w:r>
          </w:p>
        </w:tc>
        <w:tc>
          <w:tcPr>
            <w:tcW w:w="32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30" w:type="dxa"/>
            <w:vAlign w:val="bottom"/>
            <w:tcBorders>
              <w:bottom w:val="single" w:sz="8" w:color="auto"/>
            </w:tcBorders>
            <w:shd w:val="clear" w:color="auto" w:fill="DDDDDD"/>
          </w:tcPr>
          <w:p>
            <w:pPr>
              <w:spacing w:after="0"/>
              <w:rPr>
                <w:sz w:val="20"/>
                <w:szCs w:val="20"/>
                <w:color w:val="auto"/>
              </w:rPr>
            </w:pPr>
          </w:p>
        </w:tc>
        <w:tc>
          <w:tcPr>
            <w:tcW w:w="107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128,724</w:t>
            </w:r>
          </w:p>
        </w:tc>
      </w:tr>
      <w:tr>
        <w:trPr>
          <w:trHeight w:val="25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12,549</w:t>
            </w:r>
          </w:p>
        </w:tc>
        <w:tc>
          <w:tcPr>
            <w:tcW w:w="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128,724</w:t>
            </w:r>
          </w:p>
        </w:tc>
        <w:tc>
          <w:tcPr>
            <w:tcW w:w="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3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141,633</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3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r>
      <w:tr>
        <w:trPr>
          <w:trHeight w:val="220"/>
        </w:trPr>
        <w:tc>
          <w:tcPr>
            <w:tcW w:w="5620" w:type="dxa"/>
            <w:vAlign w:val="bottom"/>
            <w:tcBorders>
              <w:bottom w:val="single" w:sz="8" w:color="auto"/>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December 31, 2024</w:t>
            </w:r>
          </w:p>
        </w:tc>
        <w:tc>
          <w:tcPr>
            <w:tcW w:w="2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330" w:type="dxa"/>
            <w:vAlign w:val="bottom"/>
            <w:tcBorders>
              <w:bottom w:val="single" w:sz="8" w:color="auto"/>
            </w:tcBorders>
            <w:shd w:val="clear" w:color="auto" w:fill="DDDDDD"/>
          </w:tcPr>
          <w:p>
            <w:pPr>
              <w:spacing w:after="0"/>
              <w:rPr>
                <w:sz w:val="19"/>
                <w:szCs w:val="19"/>
                <w:color w:val="auto"/>
              </w:rPr>
            </w:pPr>
          </w:p>
        </w:tc>
        <w:tc>
          <w:tcPr>
            <w:tcW w:w="1070" w:type="dxa"/>
            <w:vAlign w:val="bottom"/>
            <w:tcBorders>
              <w:bottom w:val="single" w:sz="8" w:color="auto"/>
            </w:tcBorders>
            <w:shd w:val="clear" w:color="auto" w:fill="DDDDDD"/>
          </w:tcPr>
          <w:p>
            <w:pPr>
              <w:spacing w:after="0"/>
              <w:rPr>
                <w:sz w:val="19"/>
                <w:szCs w:val="19"/>
                <w:color w:val="auto"/>
              </w:rPr>
            </w:pPr>
          </w:p>
        </w:tc>
      </w:tr>
      <w:tr>
        <w:trPr>
          <w:trHeight w:val="233"/>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2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4,465</w:t>
            </w:r>
          </w:p>
        </w:tc>
        <w:tc>
          <w:tcPr>
            <w:tcW w:w="3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4,282</w:t>
            </w:r>
          </w:p>
        </w:tc>
        <w:tc>
          <w:tcPr>
            <w:tcW w:w="3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8,747</w:t>
            </w:r>
          </w:p>
        </w:tc>
      </w:tr>
      <w:tr>
        <w:trPr>
          <w:trHeight w:val="238"/>
        </w:trPr>
        <w:tc>
          <w:tcPr>
            <w:tcW w:w="56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U.S. Treasury securities - fair value</w:t>
            </w:r>
          </w:p>
        </w:tc>
        <w:tc>
          <w:tcPr>
            <w:tcW w:w="22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4,146</w:t>
            </w:r>
          </w:p>
        </w:tc>
        <w:tc>
          <w:tcPr>
            <w:tcW w:w="30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shd w:val="clear" w:color="auto" w:fill="DDDDDD"/>
          </w:tcPr>
          <w:p>
            <w:pPr>
              <w:spacing w:after="0"/>
              <w:rPr>
                <w:sz w:val="20"/>
                <w:szCs w:val="20"/>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30" w:type="dxa"/>
            <w:vAlign w:val="bottom"/>
            <w:tcBorders>
              <w:bottom w:val="single" w:sz="8" w:color="auto"/>
            </w:tcBorders>
            <w:shd w:val="clear" w:color="auto" w:fill="DDDDDD"/>
          </w:tcPr>
          <w:p>
            <w:pPr>
              <w:spacing w:after="0"/>
              <w:rPr>
                <w:sz w:val="20"/>
                <w:szCs w:val="20"/>
                <w:color w:val="auto"/>
              </w:rPr>
            </w:pPr>
          </w:p>
        </w:tc>
        <w:tc>
          <w:tcPr>
            <w:tcW w:w="107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4,146</w:t>
            </w:r>
          </w:p>
        </w:tc>
      </w:tr>
      <w:tr>
        <w:trPr>
          <w:trHeight w:val="25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8,611</w:t>
            </w:r>
          </w:p>
        </w:tc>
        <w:tc>
          <w:tcPr>
            <w:tcW w:w="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4,282</w:t>
            </w:r>
          </w:p>
        </w:tc>
        <w:tc>
          <w:tcPr>
            <w:tcW w:w="3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12,893</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3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right="120" w:firstLine="499"/>
        <w:spacing w:after="0" w:line="257" w:lineRule="auto"/>
        <w:rPr>
          <w:sz w:val="20"/>
          <w:szCs w:val="20"/>
          <w:color w:val="auto"/>
        </w:rPr>
      </w:pPr>
      <w:r>
        <w:rPr>
          <w:rFonts w:ascii="Times New Roman" w:cs="Times New Roman" w:eastAsia="Times New Roman" w:hAnsi="Times New Roman"/>
          <w:sz w:val="20"/>
          <w:szCs w:val="20"/>
          <w:color w:val="auto"/>
        </w:rPr>
        <w:t>U.S. Treasury securities received as margin under the Company's repurchase agreements are not recorded in the balance sheets because the counterparty retains ownership of the security. Cash received as margin is recognized in cash and cash equivalents with a corresponding amount recognized as an increase in repurchase agreements or other liabilities in the balance sheets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OFFSETTING ASSETS AND LIABILITIES</w:t>
      </w:r>
    </w:p>
    <w:p>
      <w:pPr>
        <w:spacing w:after="0" w:line="235"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The Company’s derivative agreements and repurchase agreements are subject to underlying agreements with master netting or similar arrangements, which provide for the right of offset in the event of default or in the event of bankruptcy of either party to the transactions. The Company reports its assets and liabilities subject to these arrangements on a gross basis in the case of repurchase agreements and for certain derivative agreements. CME and LCH rules characterize variation margin transfers as settlement payments, as opposed to adjustments to collateral. As a result, derivative assets and liabilities associated with centrally cleared derivatives for which the CME or LCH serves as the central clearing party are presented as if these derivatives had been settled as of the reporting date.</w:t>
      </w:r>
    </w:p>
    <w:p>
      <w:pPr>
        <w:spacing w:after="0" w:line="196" w:lineRule="exact"/>
        <w:rPr>
          <w:sz w:val="20"/>
          <w:szCs w:val="20"/>
          <w:color w:val="auto"/>
        </w:rPr>
      </w:pPr>
    </w:p>
    <w:p>
      <w:pPr>
        <w:ind w:right="200" w:firstLine="499"/>
        <w:spacing w:after="0" w:line="277" w:lineRule="auto"/>
        <w:rPr>
          <w:sz w:val="20"/>
          <w:szCs w:val="20"/>
          <w:color w:val="auto"/>
        </w:rPr>
      </w:pPr>
      <w:r>
        <w:rPr>
          <w:rFonts w:ascii="Times New Roman" w:cs="Times New Roman" w:eastAsia="Times New Roman" w:hAnsi="Times New Roman"/>
          <w:sz w:val="20"/>
          <w:szCs w:val="20"/>
          <w:color w:val="auto"/>
        </w:rPr>
        <w:t>The following table presents information regarding those assets and liabilities subject to such arrangements as if the Company had presented them on a net basis as of December 31, 2025 and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17780</wp:posOffset>
                </wp:positionV>
                <wp:extent cx="68580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pt" to="540.2pt,1.4pt" o:allowincell="f" strokecolor="#000000" strokeweight="0.72pt"/>
            </w:pict>
          </mc:Fallback>
        </mc:AlternateConten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Offsetting of Assets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center"/>
              <w:ind w:right="2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Net Amount</w:t>
            </w:r>
          </w:p>
        </w:tc>
        <w:tc>
          <w:tcPr>
            <w:tcW w:w="10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6"/>
          </w:tcPr>
          <w:p>
            <w:pPr>
              <w:jc w:val="right"/>
              <w:ind w:right="480"/>
              <w:spacing w:after="0" w:line="193" w:lineRule="exact"/>
              <w:rPr>
                <w:sz w:val="20"/>
                <w:szCs w:val="20"/>
                <w:color w:val="auto"/>
              </w:rPr>
            </w:pPr>
            <w:r>
              <w:rPr>
                <w:rFonts w:ascii="Times New Roman" w:cs="Times New Roman" w:eastAsia="Times New Roman" w:hAnsi="Times New Roman"/>
                <w:sz w:val="18"/>
                <w:szCs w:val="18"/>
                <w:b w:val="1"/>
                <w:bCs w:val="1"/>
                <w:color w:val="auto"/>
              </w:rPr>
              <w:t>Gross Amount Not</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34"/>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of Assets</w:t>
            </w:r>
          </w:p>
        </w:tc>
        <w:tc>
          <w:tcPr>
            <w:tcW w:w="100" w:type="dxa"/>
            <w:vAlign w:val="bottom"/>
          </w:tcPr>
          <w:p>
            <w:pPr>
              <w:spacing w:after="0"/>
              <w:rPr>
                <w:sz w:val="20"/>
                <w:szCs w:val="20"/>
                <w:color w:val="auto"/>
              </w:rPr>
            </w:pPr>
          </w:p>
        </w:tc>
        <w:tc>
          <w:tcPr>
            <w:tcW w:w="238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Offset in the 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6"/>
                <w:szCs w:val="16"/>
                <w:color w:val="auto"/>
              </w:rPr>
            </w:pPr>
          </w:p>
        </w:tc>
        <w:tc>
          <w:tcPr>
            <w:tcW w:w="90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40"/>
              <w:spacing w:after="0" w:line="193" w:lineRule="exact"/>
              <w:rPr>
                <w:sz w:val="20"/>
                <w:szCs w:val="20"/>
                <w:color w:val="auto"/>
              </w:rPr>
            </w:pPr>
            <w:r>
              <w:rPr>
                <w:rFonts w:ascii="Times New Roman" w:cs="Times New Roman" w:eastAsia="Times New Roman" w:hAnsi="Times New Roman"/>
                <w:sz w:val="18"/>
                <w:szCs w:val="18"/>
                <w:b w:val="1"/>
                <w:bCs w:val="1"/>
                <w:color w:val="auto"/>
                <w:w w:val="99"/>
              </w:rPr>
              <w:t>Presented</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Offset in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in the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Received as</w:t>
            </w:r>
          </w:p>
        </w:tc>
        <w:tc>
          <w:tcPr>
            <w:tcW w:w="12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Received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6"/>
        </w:trPr>
        <w:tc>
          <w:tcPr>
            <w:tcW w:w="3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1"/>
        </w:trPr>
        <w:tc>
          <w:tcPr>
            <w:tcW w:w="302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0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r>
      <w:tr>
        <w:trPr>
          <w:trHeight w:val="203"/>
        </w:trPr>
        <w:tc>
          <w:tcPr>
            <w:tcW w:w="30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8,237</w:t>
            </w: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8,237</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8,237</w:t>
            </w:r>
          </w:p>
        </w:tc>
        <w:tc>
          <w:tcPr>
            <w:tcW w:w="100" w:type="dxa"/>
            <w:vAlign w:val="bottom"/>
            <w:tcBorders>
              <w:bottom w:val="single" w:sz="8" w:color="DDDDDD"/>
            </w:tcBorders>
          </w:tcPr>
          <w:p>
            <w:pPr>
              <w:spacing w:after="0"/>
              <w:rPr>
                <w:sz w:val="17"/>
                <w:szCs w:val="17"/>
                <w:color w:val="auto"/>
              </w:rPr>
            </w:pPr>
          </w:p>
        </w:tc>
      </w:tr>
      <w:tr>
        <w:trPr>
          <w:trHeight w:val="191"/>
        </w:trPr>
        <w:tc>
          <w:tcPr>
            <w:tcW w:w="302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TBA securities</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1,015</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0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1,015</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06"/>
        </w:trPr>
        <w:tc>
          <w:tcPr>
            <w:tcW w:w="302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Reverse repurchase agreements</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128,613</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128,613</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(128,613 )</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7"/>
                <w:szCs w:val="17"/>
                <w:color w:val="auto"/>
              </w:rPr>
            </w:pPr>
          </w:p>
        </w:tc>
      </w:tr>
      <w:tr>
        <w:trPr>
          <w:trHeight w:val="226"/>
        </w:trPr>
        <w:tc>
          <w:tcPr>
            <w:tcW w:w="302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137,865</w:t>
            </w:r>
          </w:p>
        </w:tc>
        <w:tc>
          <w:tcPr>
            <w:tcW w:w="2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00" w:type="dxa"/>
            <w:vAlign w:val="bottom"/>
            <w:tcBorders>
              <w:bottom w:val="single" w:sz="8" w:color="DDDDDD"/>
            </w:tcBorders>
            <w:shd w:val="clear" w:color="auto" w:fill="DDDDDD"/>
          </w:tcPr>
          <w:p>
            <w:pPr>
              <w:spacing w:after="0"/>
              <w:rPr>
                <w:sz w:val="19"/>
                <w:szCs w:val="19"/>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137,865</w:t>
            </w:r>
          </w:p>
        </w:tc>
        <w:tc>
          <w:tcPr>
            <w:tcW w:w="20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(128,613</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8,892</w:t>
            </w:r>
          </w:p>
        </w:tc>
        <w:tc>
          <w:tcPr>
            <w:tcW w:w="100" w:type="dxa"/>
            <w:vAlign w:val="bottom"/>
            <w:tcBorders>
              <w:bottom w:val="single" w:sz="8" w:color="DDDDDD"/>
            </w:tcBorders>
            <w:shd w:val="clear" w:color="auto" w:fill="DDDDDD"/>
          </w:tcPr>
          <w:p>
            <w:pPr>
              <w:spacing w:after="0"/>
              <w:rPr>
                <w:sz w:val="19"/>
                <w:szCs w:val="19"/>
                <w:color w:val="auto"/>
              </w:rPr>
            </w:pPr>
          </w:p>
        </w:tc>
      </w:tr>
      <w:tr>
        <w:trPr>
          <w:trHeight w:val="20"/>
        </w:trPr>
        <w:tc>
          <w:tcPr>
            <w:tcW w:w="3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3020" w:type="dxa"/>
            <w:vAlign w:val="bottom"/>
            <w:tcBorders>
              <w:bottom w:val="single" w:sz="8" w:color="DDDDDD"/>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0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98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r>
      <w:tr>
        <w:trPr>
          <w:trHeight w:val="194"/>
        </w:trPr>
        <w:tc>
          <w:tcPr>
            <w:tcW w:w="302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4,574</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0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4,574</w:t>
            </w:r>
          </w:p>
        </w:tc>
        <w:tc>
          <w:tcPr>
            <w:tcW w:w="2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4,574</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03"/>
        </w:trPr>
        <w:tc>
          <w:tcPr>
            <w:tcW w:w="30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TBA securities</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4,703</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4,703</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(4,282 )</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auto"/>
            </w:tcBorders>
          </w:tcPr>
          <w:p>
            <w:pPr>
              <w:spacing w:after="0"/>
              <w:rPr>
                <w:sz w:val="17"/>
                <w:szCs w:val="17"/>
                <w:color w:val="auto"/>
              </w:rPr>
            </w:pPr>
          </w:p>
        </w:tc>
      </w:tr>
      <w:tr>
        <w:trPr>
          <w:trHeight w:val="231"/>
        </w:trPr>
        <w:tc>
          <w:tcPr>
            <w:tcW w:w="302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9,277</w:t>
            </w:r>
          </w:p>
        </w:tc>
        <w:tc>
          <w:tcPr>
            <w:tcW w:w="2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00" w:type="dxa"/>
            <w:vAlign w:val="bottom"/>
            <w:tcBorders>
              <w:bottom w:val="single" w:sz="8" w:color="DDDDDD"/>
            </w:tcBorders>
            <w:shd w:val="clear" w:color="auto" w:fill="DDDDDD"/>
          </w:tcPr>
          <w:p>
            <w:pPr>
              <w:spacing w:after="0"/>
              <w:rPr>
                <w:sz w:val="19"/>
                <w:szCs w:val="19"/>
                <w:color w:val="auto"/>
              </w:rPr>
            </w:pP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9,277</w:t>
            </w:r>
          </w:p>
        </w:tc>
        <w:tc>
          <w:tcPr>
            <w:tcW w:w="20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(4,282</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20" w:type="dxa"/>
            <w:vAlign w:val="bottom"/>
            <w:tcBorders>
              <w:bottom w:val="single" w:sz="8" w:color="DDDDDD"/>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highlight w:val="lightGray"/>
                <w:w w:val="88"/>
              </w:rPr>
              <w:t>$</w:t>
            </w:r>
          </w:p>
        </w:tc>
        <w:tc>
          <w:tcPr>
            <w:tcW w:w="980" w:type="dxa"/>
            <w:vAlign w:val="bottom"/>
            <w:tcBorders>
              <w:bottom w:val="single" w:sz="8" w:color="DDDDDD"/>
            </w:tcBorders>
            <w:shd w:val="clear" w:color="auto" w:fill="DDDDDD"/>
          </w:tcPr>
          <w:p>
            <w:pPr>
              <w:jc w:val="right"/>
              <w:spacing w:after="0" w:line="203" w:lineRule="exact"/>
              <w:rPr>
                <w:sz w:val="20"/>
                <w:szCs w:val="20"/>
                <w:color w:val="auto"/>
              </w:rPr>
            </w:pPr>
            <w:r>
              <w:rPr>
                <w:rFonts w:ascii="Times New Roman" w:cs="Times New Roman" w:eastAsia="Times New Roman" w:hAnsi="Times New Roman"/>
                <w:sz w:val="18"/>
                <w:szCs w:val="18"/>
                <w:color w:val="auto"/>
              </w:rPr>
              <w:t>4,995</w:t>
            </w:r>
          </w:p>
        </w:tc>
        <w:tc>
          <w:tcPr>
            <w:tcW w:w="100" w:type="dxa"/>
            <w:vAlign w:val="bottom"/>
            <w:tcBorders>
              <w:bottom w:val="single" w:sz="8" w:color="DDDDDD"/>
            </w:tcBorders>
            <w:shd w:val="clear" w:color="auto" w:fill="DDDDDD"/>
          </w:tcPr>
          <w:p>
            <w:pPr>
              <w:spacing w:after="0"/>
              <w:rPr>
                <w:sz w:val="19"/>
                <w:szCs w:val="19"/>
                <w:color w:val="auto"/>
              </w:rPr>
            </w:pPr>
          </w:p>
        </w:tc>
      </w:tr>
      <w:tr>
        <w:trPr>
          <w:trHeight w:val="20"/>
        </w:trPr>
        <w:tc>
          <w:tcPr>
            <w:tcW w:w="3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-596265</wp:posOffset>
                </wp:positionV>
                <wp:extent cx="68580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6.9499pt" to="540.2pt,-46.9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-321310</wp:posOffset>
                </wp:positionV>
                <wp:extent cx="68580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5.2999pt" to="540.2pt,-25.2999pt" o:allowincell="f" strokecolor="#FFFFFF"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800"/>
          </w:cols>
          <w:pgMar w:left="720" w:top="784" w:right="720" w:bottom="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17780</wp:posOffset>
                </wp:positionV>
                <wp:extent cx="68580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2">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pt" to="540.2pt,1.4pt" o:allowincell="f" strokecolor="#000000" strokeweight="0.7198pt"/>
            </w:pict>
          </mc:Fallback>
        </mc:AlternateConten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Offsetting of Liabilities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Net Amount</w:t>
            </w:r>
          </w:p>
        </w:tc>
        <w:tc>
          <w:tcPr>
            <w:tcW w:w="10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5"/>
          </w:tcPr>
          <w:p>
            <w:pPr>
              <w:jc w:val="right"/>
              <w:ind w:right="480"/>
              <w:spacing w:after="0" w:line="193" w:lineRule="exact"/>
              <w:rPr>
                <w:sz w:val="20"/>
                <w:szCs w:val="20"/>
                <w:color w:val="auto"/>
              </w:rPr>
            </w:pPr>
            <w:r>
              <w:rPr>
                <w:rFonts w:ascii="Times New Roman" w:cs="Times New Roman" w:eastAsia="Times New Roman" w:hAnsi="Times New Roman"/>
                <w:sz w:val="18"/>
                <w:szCs w:val="18"/>
                <w:b w:val="1"/>
                <w:bCs w:val="1"/>
                <w:color w:val="auto"/>
              </w:rPr>
              <w:t>Gross Amount Not</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36"/>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20"/>
                <w:szCs w:val="20"/>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of Liabilities</w:t>
            </w:r>
          </w:p>
        </w:tc>
        <w:tc>
          <w:tcPr>
            <w:tcW w:w="100" w:type="dxa"/>
            <w:vAlign w:val="bottom"/>
          </w:tcPr>
          <w:p>
            <w:pPr>
              <w:spacing w:after="0"/>
              <w:rPr>
                <w:sz w:val="20"/>
                <w:szCs w:val="20"/>
                <w:color w:val="auto"/>
              </w:rPr>
            </w:pPr>
          </w:p>
        </w:tc>
        <w:tc>
          <w:tcPr>
            <w:tcW w:w="23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Offset in the Balance Sheet</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6"/>
                <w:szCs w:val="16"/>
                <w:color w:val="auto"/>
              </w:rPr>
            </w:pPr>
          </w:p>
        </w:tc>
        <w:tc>
          <w:tcPr>
            <w:tcW w:w="8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b w:val="1"/>
                <w:bCs w:val="1"/>
                <w:color w:val="auto"/>
                <w:w w:val="99"/>
              </w:rPr>
              <w:t>Presented</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0" w:lineRule="exact"/>
              <w:rPr>
                <w:sz w:val="20"/>
                <w:szCs w:val="20"/>
                <w:color w:val="auto"/>
              </w:rPr>
            </w:pPr>
            <w:r>
              <w:rPr>
                <w:rFonts w:ascii="Times New Roman" w:cs="Times New Roman" w:eastAsia="Times New Roman" w:hAnsi="Times New Roman"/>
                <w:sz w:val="18"/>
                <w:szCs w:val="18"/>
                <w:b w:val="1"/>
                <w:bCs w:val="1"/>
                <w:color w:val="auto"/>
                <w:w w:val="99"/>
              </w:rPr>
              <w:t>Financial</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Offset in the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in the</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Posted as</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Cash Posted</w:t>
            </w:r>
          </w:p>
        </w:tc>
        <w:tc>
          <w:tcPr>
            <w:tcW w:w="2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36"/>
        </w:trPr>
        <w:tc>
          <w:tcPr>
            <w:tcW w:w="3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1"/>
        </w:trPr>
        <w:tc>
          <w:tcPr>
            <w:tcW w:w="302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r>
      <w:tr>
        <w:trPr>
          <w:trHeight w:val="203"/>
        </w:trPr>
        <w:tc>
          <w:tcPr>
            <w:tcW w:w="302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Repurchase Agreements</w:t>
            </w:r>
          </w:p>
        </w:tc>
        <w:tc>
          <w:tcPr>
            <w:tcW w:w="22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10,115,466</w:t>
            </w:r>
          </w:p>
        </w:tc>
        <w:tc>
          <w:tcPr>
            <w:tcW w:w="22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10,115,466</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DDDDDD"/>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(10,064,295 )</w:t>
            </w:r>
          </w:p>
        </w:tc>
        <w:tc>
          <w:tcPr>
            <w:tcW w:w="22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(51,171 )</w:t>
            </w:r>
          </w:p>
        </w:tc>
        <w:tc>
          <w:tcPr>
            <w:tcW w:w="22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r>
      <w:tr>
        <w:trPr>
          <w:trHeight w:val="193"/>
        </w:trPr>
        <w:tc>
          <w:tcPr>
            <w:tcW w:w="3020" w:type="dxa"/>
            <w:vAlign w:val="bottom"/>
            <w:tcBorders>
              <w:bottom w:val="single" w:sz="8" w:color="auto"/>
            </w:tcBorders>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rPr>
              <w:t>TBA securities</w:t>
            </w:r>
          </w:p>
        </w:tc>
        <w:tc>
          <w:tcPr>
            <w:tcW w:w="2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1,846</w:t>
            </w:r>
          </w:p>
        </w:tc>
        <w:tc>
          <w:tcPr>
            <w:tcW w:w="220" w:type="dxa"/>
            <w:vAlign w:val="bottom"/>
            <w:tcBorders>
              <w:bottom w:val="single" w:sz="8" w:color="auto"/>
            </w:tcBorders>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1,846</w:t>
            </w:r>
          </w:p>
        </w:tc>
        <w:tc>
          <w:tcPr>
            <w:tcW w:w="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DDDDDD"/>
          </w:tcPr>
          <w:p>
            <w:pPr>
              <w:spacing w:after="0"/>
              <w:rPr>
                <w:sz w:val="16"/>
                <w:szCs w:val="16"/>
                <w:color w:val="auto"/>
              </w:rPr>
            </w:pPr>
          </w:p>
        </w:tc>
      </w:tr>
      <w:tr>
        <w:trPr>
          <w:trHeight w:val="230"/>
        </w:trPr>
        <w:tc>
          <w:tcPr>
            <w:tcW w:w="3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10,117,312</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10,117,312</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(10,064,295 )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(53,017 )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r>
      <w:tr>
        <w:trPr>
          <w:trHeight w:val="45"/>
        </w:trPr>
        <w:tc>
          <w:tcPr>
            <w:tcW w:w="3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72"/>
        </w:trPr>
        <w:tc>
          <w:tcPr>
            <w:tcW w:w="3020" w:type="dxa"/>
            <w:vAlign w:val="bottom"/>
            <w:tcBorders>
              <w:top w:val="single" w:sz="8" w:color="DDDDDD"/>
              <w:bottom w:val="single" w:sz="8" w:color="DDDDDD"/>
            </w:tcBorders>
            <w:shd w:val="clear" w:color="auto" w:fill="DDDDDD"/>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top w:val="single" w:sz="8" w:color="DDDDDD"/>
              <w:bottom w:val="single" w:sz="8" w:color="DDDDDD"/>
            </w:tcBorders>
            <w:shd w:val="clear" w:color="auto" w:fill="DDDDDD"/>
          </w:tcPr>
          <w:p>
            <w:pPr>
              <w:spacing w:after="0"/>
              <w:rPr>
                <w:sz w:val="14"/>
                <w:szCs w:val="14"/>
                <w:color w:val="auto"/>
              </w:rPr>
            </w:pPr>
          </w:p>
        </w:tc>
        <w:tc>
          <w:tcPr>
            <w:tcW w:w="980" w:type="dxa"/>
            <w:vAlign w:val="bottom"/>
            <w:tcBorders>
              <w:top w:val="single" w:sz="8" w:color="DDDDDD"/>
              <w:bottom w:val="single" w:sz="8" w:color="DDDDDD"/>
            </w:tcBorders>
            <w:shd w:val="clear" w:color="auto" w:fill="DDDDDD"/>
          </w:tcPr>
          <w:p>
            <w:pPr>
              <w:spacing w:after="0"/>
              <w:rPr>
                <w:sz w:val="14"/>
                <w:szCs w:val="14"/>
                <w:color w:val="auto"/>
              </w:rPr>
            </w:pPr>
          </w:p>
        </w:tc>
        <w:tc>
          <w:tcPr>
            <w:tcW w:w="220" w:type="dxa"/>
            <w:vAlign w:val="bottom"/>
            <w:tcBorders>
              <w:top w:val="single" w:sz="8" w:color="DDDDDD"/>
              <w:bottom w:val="single" w:sz="8" w:color="DDDDDD"/>
            </w:tcBorders>
            <w:shd w:val="clear" w:color="auto" w:fill="DDDDDD"/>
          </w:tcPr>
          <w:p>
            <w:pPr>
              <w:spacing w:after="0"/>
              <w:rPr>
                <w:sz w:val="14"/>
                <w:szCs w:val="14"/>
                <w:color w:val="auto"/>
              </w:rPr>
            </w:pPr>
          </w:p>
        </w:tc>
        <w:tc>
          <w:tcPr>
            <w:tcW w:w="140" w:type="dxa"/>
            <w:vAlign w:val="bottom"/>
            <w:tcBorders>
              <w:top w:val="single" w:sz="8" w:color="DDDDDD"/>
              <w:bottom w:val="single" w:sz="8" w:color="DDDDDD"/>
            </w:tcBorders>
            <w:shd w:val="clear" w:color="auto" w:fill="DDDDDD"/>
          </w:tcPr>
          <w:p>
            <w:pPr>
              <w:spacing w:after="0"/>
              <w:rPr>
                <w:sz w:val="14"/>
                <w:szCs w:val="14"/>
                <w:color w:val="auto"/>
              </w:rPr>
            </w:pPr>
          </w:p>
        </w:tc>
        <w:tc>
          <w:tcPr>
            <w:tcW w:w="860" w:type="dxa"/>
            <w:vAlign w:val="bottom"/>
            <w:tcBorders>
              <w:top w:val="single" w:sz="8" w:color="DDDDDD"/>
              <w:bottom w:val="single" w:sz="8" w:color="DDDDDD"/>
            </w:tcBorders>
            <w:shd w:val="clear" w:color="auto" w:fill="DDDDDD"/>
          </w:tcPr>
          <w:p>
            <w:pPr>
              <w:spacing w:after="0"/>
              <w:rPr>
                <w:sz w:val="14"/>
                <w:szCs w:val="14"/>
                <w:color w:val="auto"/>
              </w:rPr>
            </w:pPr>
          </w:p>
        </w:tc>
        <w:tc>
          <w:tcPr>
            <w:tcW w:w="80" w:type="dxa"/>
            <w:vAlign w:val="bottom"/>
            <w:tcBorders>
              <w:top w:val="single" w:sz="8" w:color="DDDDDD"/>
              <w:bottom w:val="single" w:sz="8" w:color="DDDDDD"/>
            </w:tcBorders>
            <w:shd w:val="clear" w:color="auto" w:fill="DDDDDD"/>
          </w:tcPr>
          <w:p>
            <w:pPr>
              <w:spacing w:after="0"/>
              <w:rPr>
                <w:sz w:val="14"/>
                <w:szCs w:val="14"/>
                <w:color w:val="auto"/>
              </w:rPr>
            </w:pPr>
          </w:p>
        </w:tc>
        <w:tc>
          <w:tcPr>
            <w:tcW w:w="320" w:type="dxa"/>
            <w:vAlign w:val="bottom"/>
            <w:tcBorders>
              <w:top w:val="single" w:sz="8" w:color="DDDDDD"/>
              <w:bottom w:val="single" w:sz="8" w:color="DDDDDD"/>
            </w:tcBorders>
            <w:shd w:val="clear" w:color="auto" w:fill="DDDDDD"/>
          </w:tcPr>
          <w:p>
            <w:pPr>
              <w:spacing w:after="0"/>
              <w:rPr>
                <w:sz w:val="14"/>
                <w:szCs w:val="14"/>
                <w:color w:val="auto"/>
              </w:rPr>
            </w:pPr>
          </w:p>
        </w:tc>
        <w:tc>
          <w:tcPr>
            <w:tcW w:w="980" w:type="dxa"/>
            <w:vAlign w:val="bottom"/>
            <w:tcBorders>
              <w:top w:val="single" w:sz="8" w:color="DDDDDD"/>
              <w:bottom w:val="single" w:sz="8" w:color="DDDDDD"/>
            </w:tcBorders>
            <w:shd w:val="clear" w:color="auto" w:fill="DDDDDD"/>
          </w:tcPr>
          <w:p>
            <w:pPr>
              <w:spacing w:after="0"/>
              <w:rPr>
                <w:sz w:val="14"/>
                <w:szCs w:val="14"/>
                <w:color w:val="auto"/>
              </w:rPr>
            </w:pPr>
          </w:p>
        </w:tc>
        <w:tc>
          <w:tcPr>
            <w:tcW w:w="200" w:type="dxa"/>
            <w:vAlign w:val="bottom"/>
            <w:tcBorders>
              <w:top w:val="single" w:sz="8" w:color="DDDDDD"/>
              <w:bottom w:val="single" w:sz="8" w:color="DDDDDD"/>
            </w:tcBorders>
            <w:shd w:val="clear" w:color="auto" w:fill="DDDDDD"/>
          </w:tcPr>
          <w:p>
            <w:pPr>
              <w:spacing w:after="0"/>
              <w:rPr>
                <w:sz w:val="14"/>
                <w:szCs w:val="14"/>
                <w:color w:val="auto"/>
              </w:rPr>
            </w:pPr>
          </w:p>
        </w:tc>
        <w:tc>
          <w:tcPr>
            <w:tcW w:w="100" w:type="dxa"/>
            <w:vAlign w:val="bottom"/>
            <w:tcBorders>
              <w:top w:val="single" w:sz="8" w:color="DDDDDD"/>
              <w:bottom w:val="single" w:sz="8" w:color="DDDDDD"/>
            </w:tcBorders>
            <w:shd w:val="clear" w:color="auto" w:fill="DDDDDD"/>
          </w:tcPr>
          <w:p>
            <w:pPr>
              <w:spacing w:after="0"/>
              <w:rPr>
                <w:sz w:val="14"/>
                <w:szCs w:val="14"/>
                <w:color w:val="auto"/>
              </w:rPr>
            </w:pPr>
          </w:p>
        </w:tc>
        <w:tc>
          <w:tcPr>
            <w:tcW w:w="980" w:type="dxa"/>
            <w:vAlign w:val="bottom"/>
            <w:tcBorders>
              <w:top w:val="single" w:sz="8" w:color="DDDDDD"/>
              <w:bottom w:val="single" w:sz="8" w:color="DDDDDD"/>
            </w:tcBorders>
            <w:shd w:val="clear" w:color="auto" w:fill="DDDDDD"/>
          </w:tcPr>
          <w:p>
            <w:pPr>
              <w:spacing w:after="0"/>
              <w:rPr>
                <w:sz w:val="14"/>
                <w:szCs w:val="14"/>
                <w:color w:val="auto"/>
              </w:rPr>
            </w:pPr>
          </w:p>
        </w:tc>
        <w:tc>
          <w:tcPr>
            <w:tcW w:w="100" w:type="dxa"/>
            <w:vAlign w:val="bottom"/>
            <w:tcBorders>
              <w:top w:val="single" w:sz="8" w:color="DDDDDD"/>
              <w:bottom w:val="single" w:sz="8" w:color="DDDDDD"/>
            </w:tcBorders>
            <w:shd w:val="clear" w:color="auto" w:fill="DDDDDD"/>
          </w:tcPr>
          <w:p>
            <w:pPr>
              <w:spacing w:after="0"/>
              <w:rPr>
                <w:sz w:val="14"/>
                <w:szCs w:val="14"/>
                <w:color w:val="auto"/>
              </w:rPr>
            </w:pPr>
          </w:p>
        </w:tc>
        <w:tc>
          <w:tcPr>
            <w:tcW w:w="220" w:type="dxa"/>
            <w:vAlign w:val="bottom"/>
            <w:tcBorders>
              <w:top w:val="single" w:sz="8" w:color="DDDDDD"/>
              <w:bottom w:val="single" w:sz="8" w:color="DDDDDD"/>
            </w:tcBorders>
            <w:shd w:val="clear" w:color="auto" w:fill="DDDDDD"/>
          </w:tcPr>
          <w:p>
            <w:pPr>
              <w:spacing w:after="0"/>
              <w:rPr>
                <w:sz w:val="14"/>
                <w:szCs w:val="14"/>
                <w:color w:val="auto"/>
              </w:rPr>
            </w:pPr>
          </w:p>
        </w:tc>
        <w:tc>
          <w:tcPr>
            <w:tcW w:w="980" w:type="dxa"/>
            <w:vAlign w:val="bottom"/>
            <w:tcBorders>
              <w:top w:val="single" w:sz="8" w:color="DDDDDD"/>
              <w:bottom w:val="single" w:sz="8" w:color="DDDDDD"/>
            </w:tcBorders>
            <w:shd w:val="clear" w:color="auto" w:fill="DDDDDD"/>
          </w:tcPr>
          <w:p>
            <w:pPr>
              <w:spacing w:after="0"/>
              <w:rPr>
                <w:sz w:val="14"/>
                <w:szCs w:val="14"/>
                <w:color w:val="auto"/>
              </w:rPr>
            </w:pPr>
          </w:p>
        </w:tc>
        <w:tc>
          <w:tcPr>
            <w:tcW w:w="100" w:type="dxa"/>
            <w:vAlign w:val="bottom"/>
            <w:tcBorders>
              <w:top w:val="single" w:sz="8" w:color="DDDDDD"/>
              <w:bottom w:val="single" w:sz="8" w:color="DDDDDD"/>
            </w:tcBorders>
            <w:shd w:val="clear" w:color="auto" w:fill="DDDDDD"/>
          </w:tcPr>
          <w:p>
            <w:pPr>
              <w:spacing w:after="0"/>
              <w:rPr>
                <w:sz w:val="14"/>
                <w:szCs w:val="14"/>
                <w:color w:val="auto"/>
              </w:rPr>
            </w:pPr>
          </w:p>
        </w:tc>
        <w:tc>
          <w:tcPr>
            <w:tcW w:w="220" w:type="dxa"/>
            <w:vAlign w:val="bottom"/>
            <w:tcBorders>
              <w:top w:val="single" w:sz="8" w:color="DDDDDD"/>
              <w:bottom w:val="single" w:sz="8" w:color="DDDDDD"/>
            </w:tcBorders>
            <w:shd w:val="clear" w:color="auto" w:fill="DDDDDD"/>
          </w:tcPr>
          <w:p>
            <w:pPr>
              <w:spacing w:after="0"/>
              <w:rPr>
                <w:sz w:val="14"/>
                <w:szCs w:val="14"/>
                <w:color w:val="auto"/>
              </w:rPr>
            </w:pPr>
          </w:p>
        </w:tc>
        <w:tc>
          <w:tcPr>
            <w:tcW w:w="980" w:type="dxa"/>
            <w:vAlign w:val="bottom"/>
            <w:tcBorders>
              <w:top w:val="single" w:sz="8" w:color="DDDDDD"/>
              <w:bottom w:val="single" w:sz="8" w:color="DDDDDD"/>
            </w:tcBorders>
            <w:shd w:val="clear" w:color="auto" w:fill="DDDDDD"/>
          </w:tcPr>
          <w:p>
            <w:pPr>
              <w:spacing w:after="0"/>
              <w:rPr>
                <w:sz w:val="14"/>
                <w:szCs w:val="14"/>
                <w:color w:val="auto"/>
              </w:rPr>
            </w:pPr>
          </w:p>
        </w:tc>
        <w:tc>
          <w:tcPr>
            <w:tcW w:w="100" w:type="dxa"/>
            <w:vAlign w:val="bottom"/>
            <w:tcBorders>
              <w:top w:val="single" w:sz="8" w:color="DDDDDD"/>
              <w:bottom w:val="single" w:sz="8" w:color="DDDDDD"/>
            </w:tcBorders>
            <w:shd w:val="clear" w:color="auto" w:fill="DDDDDD"/>
          </w:tcPr>
          <w:p>
            <w:pPr>
              <w:spacing w:after="0"/>
              <w:rPr>
                <w:sz w:val="14"/>
                <w:szCs w:val="14"/>
                <w:color w:val="auto"/>
              </w:rPr>
            </w:pPr>
          </w:p>
        </w:tc>
      </w:tr>
      <w:tr>
        <w:trPr>
          <w:trHeight w:val="201"/>
        </w:trPr>
        <w:tc>
          <w:tcPr>
            <w:tcW w:w="302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Repurchase Agreements</w:t>
            </w:r>
          </w:p>
        </w:tc>
        <w:tc>
          <w:tcPr>
            <w:tcW w:w="2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5,025,543</w:t>
            </w:r>
          </w:p>
        </w:tc>
        <w:tc>
          <w:tcPr>
            <w:tcW w:w="22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5,025,543</w:t>
            </w:r>
          </w:p>
        </w:tc>
        <w:tc>
          <w:tcPr>
            <w:tcW w:w="20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DDDDDD"/>
            </w:tcBorders>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(5,002,725 )</w:t>
            </w:r>
          </w:p>
        </w:tc>
        <w:tc>
          <w:tcPr>
            <w:tcW w:w="2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(22,818 )</w:t>
            </w:r>
          </w:p>
        </w:tc>
        <w:tc>
          <w:tcPr>
            <w:tcW w:w="2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DDDDD"/>
            </w:tcBorders>
          </w:tcPr>
          <w:p>
            <w:pPr>
              <w:spacing w:after="0"/>
              <w:rPr>
                <w:sz w:val="17"/>
                <w:szCs w:val="17"/>
                <w:color w:val="auto"/>
              </w:rPr>
            </w:pPr>
          </w:p>
        </w:tc>
      </w:tr>
      <w:tr>
        <w:trPr>
          <w:trHeight w:val="195"/>
        </w:trPr>
        <w:tc>
          <w:tcPr>
            <w:tcW w:w="302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TBA securities</w:t>
            </w:r>
          </w:p>
        </w:tc>
        <w:tc>
          <w:tcPr>
            <w:tcW w:w="2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332</w:t>
            </w:r>
          </w:p>
        </w:tc>
        <w:tc>
          <w:tcPr>
            <w:tcW w:w="220" w:type="dxa"/>
            <w:vAlign w:val="bottom"/>
            <w:tcBorders>
              <w:bottom w:val="single" w:sz="8" w:color="auto"/>
            </w:tcBorders>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332</w:t>
            </w:r>
          </w:p>
        </w:tc>
        <w:tc>
          <w:tcPr>
            <w:tcW w:w="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2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auto"/>
            </w:tcBorders>
            <w:shd w:val="clear" w:color="auto" w:fill="DDDDDD"/>
          </w:tcPr>
          <w:p>
            <w:pPr>
              <w:spacing w:after="0"/>
              <w:rPr>
                <w:sz w:val="16"/>
                <w:szCs w:val="16"/>
                <w:color w:val="auto"/>
              </w:rPr>
            </w:pPr>
          </w:p>
        </w:tc>
      </w:tr>
      <w:tr>
        <w:trPr>
          <w:trHeight w:val="230"/>
        </w:trPr>
        <w:tc>
          <w:tcPr>
            <w:tcW w:w="3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5,025,875</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5,025,875</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(5,002,725 )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(23,098 )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auto"/>
            </w:tcBorders>
          </w:tcPr>
          <w:p>
            <w:pPr>
              <w:spacing w:after="0"/>
              <w:rPr>
                <w:sz w:val="20"/>
                <w:szCs w:val="20"/>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180" w:firstLine="499"/>
        <w:spacing w:after="0" w:line="252" w:lineRule="auto"/>
        <w:rPr>
          <w:sz w:val="20"/>
          <w:szCs w:val="20"/>
          <w:color w:val="auto"/>
        </w:rPr>
      </w:pPr>
      <w:r>
        <w:rPr>
          <w:rFonts w:ascii="Times New Roman" w:cs="Times New Roman" w:eastAsia="Times New Roman" w:hAnsi="Times New Roman"/>
          <w:sz w:val="20"/>
          <w:szCs w:val="20"/>
          <w:color w:val="auto"/>
        </w:rPr>
        <w:t>The amounts disclosed for collateral received by or posted to the same counterparty up to and not exceeding the net amount of the asset or liability presented in the balance sheets. The fair value of the actual collateral received by or posted to the same counterparty typically exceeds the amounts presented. See Note 6 for a discussion of collateral posted or received against or for repurchase obligations and derivative and other hedging instruments.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CAPITAL STOCK</w:t>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Common Stock Issuances</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During 2025 and 2024, the Company completed the following public offerings of shares of its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4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34"/>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Type of Offering</w:t>
            </w: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r>
              <w:rPr>
                <w:rFonts w:ascii="Times New Roman" w:cs="Times New Roman" w:eastAsia="Times New Roman" w:hAnsi="Times New Roman"/>
                <w:sz w:val="10"/>
                <w:szCs w:val="10"/>
                <w:b w:val="1"/>
                <w:bCs w:val="1"/>
                <w:color w:val="auto"/>
                <w:w w:val="99"/>
              </w:rPr>
              <w:t>(1)</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Proceeds</w:t>
            </w:r>
            <w:r>
              <w:rPr>
                <w:rFonts w:ascii="Times New Roman" w:cs="Times New Roman" w:eastAsia="Times New Roman" w:hAnsi="Times New Roman"/>
                <w:sz w:val="10"/>
                <w:szCs w:val="10"/>
                <w:b w:val="1"/>
                <w:bCs w:val="1"/>
                <w:color w:val="auto"/>
                <w:w w:val="99"/>
              </w:rPr>
              <w:t>(2)</w:t>
            </w:r>
          </w:p>
        </w:tc>
      </w:tr>
      <w:tr>
        <w:trPr>
          <w:trHeight w:val="203"/>
        </w:trPr>
        <w:tc>
          <w:tcPr>
            <w:tcW w:w="4300" w:type="dxa"/>
            <w:vAlign w:val="bottom"/>
            <w:tcBorders>
              <w:bottom w:val="single" w:sz="8" w:color="DDDDDD"/>
            </w:tcBorders>
            <w:shd w:val="clear" w:color="auto" w:fill="DDDDDD"/>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2025</w:t>
            </w:r>
          </w:p>
        </w:tc>
        <w:tc>
          <w:tcPr>
            <w:tcW w:w="164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13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3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3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r>
      <w:tr>
        <w:trPr>
          <w:trHeight w:val="201"/>
        </w:trPr>
        <w:tc>
          <w:tcPr>
            <w:tcW w:w="4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At the Market Offering Program</w:t>
            </w:r>
            <w:r>
              <w:rPr>
                <w:rFonts w:ascii="Times New Roman" w:cs="Times New Roman" w:eastAsia="Times New Roman" w:hAnsi="Times New Roman"/>
                <w:sz w:val="10"/>
                <w:szCs w:val="10"/>
                <w:color w:val="auto"/>
              </w:rPr>
              <w:t>(3)</w:t>
            </w:r>
          </w:p>
        </w:tc>
        <w:tc>
          <w:tcPr>
            <w:tcW w:w="16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8.17</w:t>
            </w:r>
          </w:p>
        </w:tc>
        <w:tc>
          <w:tcPr>
            <w:tcW w:w="16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25,142,046</w:t>
            </w:r>
          </w:p>
        </w:tc>
        <w:tc>
          <w:tcPr>
            <w:tcW w:w="3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205,424</w:t>
            </w:r>
          </w:p>
        </w:tc>
        <w:tc>
          <w:tcPr>
            <w:tcW w:w="100" w:type="dxa"/>
            <w:vAlign w:val="bottom"/>
            <w:tcBorders>
              <w:bottom w:val="single" w:sz="8" w:color="DDDDDD"/>
            </w:tcBorders>
          </w:tcPr>
          <w:p>
            <w:pPr>
              <w:spacing w:after="0"/>
              <w:rPr>
                <w:sz w:val="17"/>
                <w:szCs w:val="17"/>
                <w:color w:val="auto"/>
              </w:rPr>
            </w:pPr>
          </w:p>
        </w:tc>
      </w:tr>
      <w:tr>
        <w:trPr>
          <w:trHeight w:val="194"/>
        </w:trPr>
        <w:tc>
          <w:tcPr>
            <w:tcW w:w="430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At the Market Offering Program</w:t>
            </w:r>
            <w:r>
              <w:rPr>
                <w:rFonts w:ascii="Times New Roman" w:cs="Times New Roman" w:eastAsia="Times New Roman" w:hAnsi="Times New Roman"/>
                <w:sz w:val="10"/>
                <w:szCs w:val="10"/>
                <w:color w:val="auto"/>
              </w:rPr>
              <w:t>(3)</w:t>
            </w:r>
          </w:p>
        </w:tc>
        <w:tc>
          <w:tcPr>
            <w:tcW w:w="1640" w:type="dxa"/>
            <w:vAlign w:val="bottom"/>
            <w:tcBorders>
              <w:bottom w:val="single" w:sz="8" w:color="DDDDDD"/>
            </w:tcBorders>
            <w:shd w:val="clear" w:color="auto" w:fill="DDDDDD"/>
          </w:tcPr>
          <w:p>
            <w:pPr>
              <w:spacing w:after="0" w:line="194" w:lineRule="exact"/>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7.01</w:t>
            </w:r>
          </w:p>
        </w:tc>
        <w:tc>
          <w:tcPr>
            <w:tcW w:w="32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19,884,204</w:t>
            </w:r>
          </w:p>
        </w:tc>
        <w:tc>
          <w:tcPr>
            <w:tcW w:w="32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jc w:val="right"/>
              <w:spacing w:after="0" w:line="194" w:lineRule="exact"/>
              <w:rPr>
                <w:sz w:val="20"/>
                <w:szCs w:val="20"/>
                <w:color w:val="auto"/>
              </w:rPr>
            </w:pPr>
            <w:r>
              <w:rPr>
                <w:rFonts w:ascii="Times New Roman" w:cs="Times New Roman" w:eastAsia="Times New Roman" w:hAnsi="Times New Roman"/>
                <w:sz w:val="18"/>
                <w:szCs w:val="18"/>
                <w:color w:val="auto"/>
              </w:rPr>
              <w:t>139,416</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01"/>
        </w:trPr>
        <w:tc>
          <w:tcPr>
            <w:tcW w:w="4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At the Market Offering Program</w:t>
            </w:r>
            <w:r>
              <w:rPr>
                <w:rFonts w:ascii="Times New Roman" w:cs="Times New Roman" w:eastAsia="Times New Roman" w:hAnsi="Times New Roman"/>
                <w:sz w:val="10"/>
                <w:szCs w:val="10"/>
                <w:color w:val="auto"/>
              </w:rPr>
              <w:t>(3)</w:t>
            </w:r>
          </w:p>
        </w:tc>
        <w:tc>
          <w:tcPr>
            <w:tcW w:w="16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7.03</w:t>
            </w:r>
          </w:p>
        </w:tc>
        <w:tc>
          <w:tcPr>
            <w:tcW w:w="16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21,664,659</w:t>
            </w:r>
          </w:p>
        </w:tc>
        <w:tc>
          <w:tcPr>
            <w:tcW w:w="32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152,345</w:t>
            </w:r>
          </w:p>
        </w:tc>
        <w:tc>
          <w:tcPr>
            <w:tcW w:w="100" w:type="dxa"/>
            <w:vAlign w:val="bottom"/>
            <w:tcBorders>
              <w:bottom w:val="single" w:sz="8" w:color="DDDDDD"/>
            </w:tcBorders>
          </w:tcPr>
          <w:p>
            <w:pPr>
              <w:spacing w:after="0"/>
              <w:rPr>
                <w:sz w:val="17"/>
                <w:szCs w:val="17"/>
                <w:color w:val="auto"/>
              </w:rPr>
            </w:pPr>
          </w:p>
        </w:tc>
      </w:tr>
      <w:tr>
        <w:trPr>
          <w:trHeight w:val="195"/>
        </w:trPr>
        <w:tc>
          <w:tcPr>
            <w:tcW w:w="430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At the Market Offering Program</w:t>
            </w:r>
            <w:r>
              <w:rPr>
                <w:rFonts w:ascii="Times New Roman" w:cs="Times New Roman" w:eastAsia="Times New Roman" w:hAnsi="Times New Roman"/>
                <w:sz w:val="10"/>
                <w:szCs w:val="10"/>
                <w:color w:val="auto"/>
              </w:rPr>
              <w:t>(3)</w:t>
            </w:r>
          </w:p>
        </w:tc>
        <w:tc>
          <w:tcPr>
            <w:tcW w:w="164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7.24</w:t>
            </w:r>
          </w:p>
        </w:tc>
        <w:tc>
          <w:tcPr>
            <w:tcW w:w="32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33,738,722</w:t>
            </w:r>
          </w:p>
        </w:tc>
        <w:tc>
          <w:tcPr>
            <w:tcW w:w="32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244,238</w:t>
            </w:r>
          </w:p>
        </w:tc>
        <w:tc>
          <w:tcPr>
            <w:tcW w:w="100" w:type="dxa"/>
            <w:vAlign w:val="bottom"/>
            <w:tcBorders>
              <w:bottom w:val="single" w:sz="8" w:color="auto"/>
            </w:tcBorders>
            <w:shd w:val="clear" w:color="auto" w:fill="DDDDDD"/>
          </w:tcPr>
          <w:p>
            <w:pPr>
              <w:spacing w:after="0"/>
              <w:rPr>
                <w:sz w:val="16"/>
                <w:szCs w:val="16"/>
                <w:color w:val="auto"/>
              </w:rPr>
            </w:pPr>
          </w:p>
        </w:tc>
      </w:tr>
      <w:tr>
        <w:trPr>
          <w:trHeight w:val="230"/>
        </w:trPr>
        <w:tc>
          <w:tcPr>
            <w:tcW w:w="4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100,429,631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741,423</w:t>
            </w:r>
          </w:p>
        </w:tc>
        <w:tc>
          <w:tcPr>
            <w:tcW w:w="100" w:type="dxa"/>
            <w:vAlign w:val="bottom"/>
            <w:tcBorders>
              <w:bottom w:val="single" w:sz="8" w:color="auto"/>
            </w:tcBorders>
          </w:tcPr>
          <w:p>
            <w:pPr>
              <w:spacing w:after="0"/>
              <w:rPr>
                <w:sz w:val="20"/>
                <w:szCs w:val="20"/>
                <w:color w:val="auto"/>
              </w:rPr>
            </w:pPr>
          </w:p>
        </w:tc>
      </w:tr>
      <w:tr>
        <w:trPr>
          <w:trHeight w:val="45"/>
        </w:trPr>
        <w:tc>
          <w:tcPr>
            <w:tcW w:w="4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72"/>
        </w:trPr>
        <w:tc>
          <w:tcPr>
            <w:tcW w:w="4300" w:type="dxa"/>
            <w:vAlign w:val="bottom"/>
            <w:tcBorders>
              <w:top w:val="single" w:sz="8" w:color="DDDDDD"/>
              <w:bottom w:val="single" w:sz="8" w:color="DDDDDD"/>
            </w:tcBorders>
            <w:shd w:val="clear" w:color="auto" w:fill="DDDDDD"/>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top w:val="single" w:sz="8" w:color="DDDDDD"/>
              <w:bottom w:val="single" w:sz="8" w:color="DDDDDD"/>
            </w:tcBorders>
            <w:shd w:val="clear" w:color="auto" w:fill="DDDDDD"/>
          </w:tcPr>
          <w:p>
            <w:pPr>
              <w:spacing w:after="0"/>
              <w:rPr>
                <w:sz w:val="14"/>
                <w:szCs w:val="14"/>
                <w:color w:val="auto"/>
              </w:rPr>
            </w:pPr>
          </w:p>
        </w:tc>
        <w:tc>
          <w:tcPr>
            <w:tcW w:w="220" w:type="dxa"/>
            <w:vAlign w:val="bottom"/>
            <w:tcBorders>
              <w:top w:val="single" w:sz="8" w:color="DDDDDD"/>
              <w:bottom w:val="single" w:sz="8" w:color="DDDDDD"/>
            </w:tcBorders>
            <w:shd w:val="clear" w:color="auto" w:fill="DDDDDD"/>
          </w:tcPr>
          <w:p>
            <w:pPr>
              <w:spacing w:after="0"/>
              <w:rPr>
                <w:sz w:val="14"/>
                <w:szCs w:val="14"/>
                <w:color w:val="auto"/>
              </w:rPr>
            </w:pPr>
          </w:p>
        </w:tc>
        <w:tc>
          <w:tcPr>
            <w:tcW w:w="1300" w:type="dxa"/>
            <w:vAlign w:val="bottom"/>
            <w:tcBorders>
              <w:top w:val="single" w:sz="8" w:color="DDDDDD"/>
              <w:bottom w:val="single" w:sz="8" w:color="DDDDDD"/>
            </w:tcBorders>
            <w:shd w:val="clear" w:color="auto" w:fill="DDDDDD"/>
          </w:tcPr>
          <w:p>
            <w:pPr>
              <w:spacing w:after="0"/>
              <w:rPr>
                <w:sz w:val="14"/>
                <w:szCs w:val="14"/>
                <w:color w:val="auto"/>
              </w:rPr>
            </w:pPr>
          </w:p>
        </w:tc>
        <w:tc>
          <w:tcPr>
            <w:tcW w:w="320" w:type="dxa"/>
            <w:vAlign w:val="bottom"/>
            <w:tcBorders>
              <w:top w:val="single" w:sz="8" w:color="DDDDDD"/>
              <w:bottom w:val="single" w:sz="8" w:color="DDDDDD"/>
            </w:tcBorders>
            <w:shd w:val="clear" w:color="auto" w:fill="DDDDDD"/>
          </w:tcPr>
          <w:p>
            <w:pPr>
              <w:spacing w:after="0"/>
              <w:rPr>
                <w:sz w:val="14"/>
                <w:szCs w:val="14"/>
                <w:color w:val="auto"/>
              </w:rPr>
            </w:pPr>
          </w:p>
        </w:tc>
        <w:tc>
          <w:tcPr>
            <w:tcW w:w="1300" w:type="dxa"/>
            <w:vAlign w:val="bottom"/>
            <w:tcBorders>
              <w:top w:val="single" w:sz="8" w:color="DDDDDD"/>
              <w:bottom w:val="single" w:sz="8" w:color="DDDDDD"/>
            </w:tcBorders>
            <w:shd w:val="clear" w:color="auto" w:fill="DDDDDD"/>
          </w:tcPr>
          <w:p>
            <w:pPr>
              <w:spacing w:after="0"/>
              <w:rPr>
                <w:sz w:val="14"/>
                <w:szCs w:val="14"/>
                <w:color w:val="auto"/>
              </w:rPr>
            </w:pPr>
          </w:p>
        </w:tc>
        <w:tc>
          <w:tcPr>
            <w:tcW w:w="320" w:type="dxa"/>
            <w:vAlign w:val="bottom"/>
            <w:tcBorders>
              <w:top w:val="single" w:sz="8" w:color="DDDDDD"/>
              <w:bottom w:val="single" w:sz="8" w:color="DDDDDD"/>
            </w:tcBorders>
            <w:shd w:val="clear" w:color="auto" w:fill="DDDDDD"/>
          </w:tcPr>
          <w:p>
            <w:pPr>
              <w:spacing w:after="0"/>
              <w:rPr>
                <w:sz w:val="14"/>
                <w:szCs w:val="14"/>
                <w:color w:val="auto"/>
              </w:rPr>
            </w:pPr>
          </w:p>
        </w:tc>
        <w:tc>
          <w:tcPr>
            <w:tcW w:w="1300" w:type="dxa"/>
            <w:vAlign w:val="bottom"/>
            <w:tcBorders>
              <w:top w:val="single" w:sz="8" w:color="DDDDDD"/>
              <w:bottom w:val="single" w:sz="8" w:color="DDDDDD"/>
            </w:tcBorders>
            <w:shd w:val="clear" w:color="auto" w:fill="DDDDDD"/>
          </w:tcPr>
          <w:p>
            <w:pPr>
              <w:spacing w:after="0"/>
              <w:rPr>
                <w:sz w:val="14"/>
                <w:szCs w:val="14"/>
                <w:color w:val="auto"/>
              </w:rPr>
            </w:pPr>
          </w:p>
        </w:tc>
        <w:tc>
          <w:tcPr>
            <w:tcW w:w="100" w:type="dxa"/>
            <w:vAlign w:val="bottom"/>
            <w:tcBorders>
              <w:top w:val="single" w:sz="8" w:color="DDDDDD"/>
              <w:bottom w:val="single" w:sz="8" w:color="DDDDDD"/>
            </w:tcBorders>
            <w:shd w:val="clear" w:color="auto" w:fill="DDDDDD"/>
          </w:tcPr>
          <w:p>
            <w:pPr>
              <w:spacing w:after="0"/>
              <w:rPr>
                <w:sz w:val="14"/>
                <w:szCs w:val="14"/>
                <w:color w:val="auto"/>
              </w:rPr>
            </w:pPr>
          </w:p>
        </w:tc>
      </w:tr>
      <w:tr>
        <w:trPr>
          <w:trHeight w:val="201"/>
        </w:trPr>
        <w:tc>
          <w:tcPr>
            <w:tcW w:w="430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At the Market Offering Program</w:t>
            </w:r>
            <w:r>
              <w:rPr>
                <w:rFonts w:ascii="Times New Roman" w:cs="Times New Roman" w:eastAsia="Times New Roman" w:hAnsi="Times New Roman"/>
                <w:sz w:val="10"/>
                <w:szCs w:val="10"/>
                <w:color w:val="auto"/>
              </w:rPr>
              <w:t>(3)</w:t>
            </w:r>
          </w:p>
        </w:tc>
        <w:tc>
          <w:tcPr>
            <w:tcW w:w="1640" w:type="dxa"/>
            <w:vAlign w:val="bottom"/>
            <w:tcBorders>
              <w:bottom w:val="single" w:sz="8" w:color="DDDDDD"/>
            </w:tcBorders>
          </w:tcPr>
          <w:p>
            <w:pPr>
              <w:spacing w:after="0" w:line="201" w:lineRule="exact"/>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8.80</w:t>
            </w:r>
          </w:p>
        </w:tc>
        <w:tc>
          <w:tcPr>
            <w:tcW w:w="1620" w:type="dxa"/>
            <w:vAlign w:val="bottom"/>
            <w:tcBorders>
              <w:bottom w:val="single" w:sz="8" w:color="DDDDDD"/>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1,490,075</w:t>
            </w:r>
          </w:p>
        </w:tc>
        <w:tc>
          <w:tcPr>
            <w:tcW w:w="32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DDDDD"/>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13,109</w:t>
            </w:r>
          </w:p>
        </w:tc>
        <w:tc>
          <w:tcPr>
            <w:tcW w:w="100" w:type="dxa"/>
            <w:vAlign w:val="bottom"/>
            <w:tcBorders>
              <w:bottom w:val="single" w:sz="8" w:color="DDDDDD"/>
            </w:tcBorders>
          </w:tcPr>
          <w:p>
            <w:pPr>
              <w:spacing w:after="0"/>
              <w:rPr>
                <w:sz w:val="17"/>
                <w:szCs w:val="17"/>
                <w:color w:val="auto"/>
              </w:rPr>
            </w:pPr>
          </w:p>
        </w:tc>
      </w:tr>
      <w:tr>
        <w:trPr>
          <w:trHeight w:val="191"/>
        </w:trPr>
        <w:tc>
          <w:tcPr>
            <w:tcW w:w="430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At the Market Offering Program</w:t>
            </w:r>
            <w:r>
              <w:rPr>
                <w:rFonts w:ascii="Times New Roman" w:cs="Times New Roman" w:eastAsia="Times New Roman" w:hAnsi="Times New Roman"/>
                <w:sz w:val="10"/>
                <w:szCs w:val="10"/>
                <w:color w:val="auto"/>
              </w:rPr>
              <w:t>(3)</w:t>
            </w:r>
          </w:p>
        </w:tc>
        <w:tc>
          <w:tcPr>
            <w:tcW w:w="1640" w:type="dxa"/>
            <w:vAlign w:val="bottom"/>
            <w:tcBorders>
              <w:bottom w:val="single" w:sz="8" w:color="DDDDDD"/>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8.40</w:t>
            </w:r>
          </w:p>
        </w:tc>
        <w:tc>
          <w:tcPr>
            <w:tcW w:w="32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11,990,383</w:t>
            </w:r>
          </w:p>
        </w:tc>
        <w:tc>
          <w:tcPr>
            <w:tcW w:w="320" w:type="dxa"/>
            <w:vAlign w:val="bottom"/>
            <w:tcBorders>
              <w:bottom w:val="single" w:sz="8" w:color="DDDDDD"/>
            </w:tcBorders>
            <w:shd w:val="clear" w:color="auto" w:fill="DDDDDD"/>
          </w:tcPr>
          <w:p>
            <w:pPr>
              <w:spacing w:after="0"/>
              <w:rPr>
                <w:sz w:val="16"/>
                <w:szCs w:val="16"/>
                <w:color w:val="auto"/>
              </w:rPr>
            </w:pPr>
          </w:p>
        </w:tc>
        <w:tc>
          <w:tcPr>
            <w:tcW w:w="1300" w:type="dxa"/>
            <w:vAlign w:val="bottom"/>
            <w:tcBorders>
              <w:bottom w:val="single" w:sz="8" w:color="DDDDDD"/>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100,698</w:t>
            </w:r>
          </w:p>
        </w:tc>
        <w:tc>
          <w:tcPr>
            <w:tcW w:w="100" w:type="dxa"/>
            <w:vAlign w:val="bottom"/>
            <w:tcBorders>
              <w:bottom w:val="single" w:sz="8" w:color="DDDDDD"/>
            </w:tcBorders>
            <w:shd w:val="clear" w:color="auto" w:fill="DDDDDD"/>
          </w:tcPr>
          <w:p>
            <w:pPr>
              <w:spacing w:after="0"/>
              <w:rPr>
                <w:sz w:val="16"/>
                <w:szCs w:val="16"/>
                <w:color w:val="auto"/>
              </w:rPr>
            </w:pPr>
          </w:p>
        </w:tc>
      </w:tr>
      <w:tr>
        <w:trPr>
          <w:trHeight w:val="203"/>
        </w:trPr>
        <w:tc>
          <w:tcPr>
            <w:tcW w:w="430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At the Market Offering Program</w:t>
            </w:r>
            <w:r>
              <w:rPr>
                <w:rFonts w:ascii="Times New Roman" w:cs="Times New Roman" w:eastAsia="Times New Roman" w:hAnsi="Times New Roman"/>
                <w:sz w:val="10"/>
                <w:szCs w:val="10"/>
                <w:color w:val="auto"/>
              </w:rPr>
              <w:t>(3)</w:t>
            </w:r>
          </w:p>
        </w:tc>
        <w:tc>
          <w:tcPr>
            <w:tcW w:w="1640" w:type="dxa"/>
            <w:vAlign w:val="bottom"/>
            <w:tcBorders>
              <w:bottom w:val="single" w:sz="8" w:color="DDDDDD"/>
            </w:tcBorders>
          </w:tcPr>
          <w:p>
            <w:pPr>
              <w:spacing w:after="0" w:line="203" w:lineRule="exact"/>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8.25</w:t>
            </w:r>
          </w:p>
        </w:tc>
        <w:tc>
          <w:tcPr>
            <w:tcW w:w="1620" w:type="dxa"/>
            <w:vAlign w:val="bottom"/>
            <w:tcBorders>
              <w:bottom w:val="single" w:sz="8" w:color="DDDDDD"/>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13,314,022</w:t>
            </w:r>
          </w:p>
        </w:tc>
        <w:tc>
          <w:tcPr>
            <w:tcW w:w="320" w:type="dxa"/>
            <w:vAlign w:val="bottom"/>
            <w:tcBorders>
              <w:bottom w:val="single" w:sz="8" w:color="DDDDDD"/>
            </w:tcBorders>
          </w:tcPr>
          <w:p>
            <w:pPr>
              <w:spacing w:after="0"/>
              <w:rPr>
                <w:sz w:val="17"/>
                <w:szCs w:val="17"/>
                <w:color w:val="auto"/>
              </w:rPr>
            </w:pPr>
          </w:p>
        </w:tc>
        <w:tc>
          <w:tcPr>
            <w:tcW w:w="1300" w:type="dxa"/>
            <w:vAlign w:val="bottom"/>
            <w:tcBorders>
              <w:bottom w:val="single" w:sz="8" w:color="DDDDDD"/>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109,891</w:t>
            </w:r>
          </w:p>
        </w:tc>
        <w:tc>
          <w:tcPr>
            <w:tcW w:w="100" w:type="dxa"/>
            <w:vAlign w:val="bottom"/>
            <w:tcBorders>
              <w:bottom w:val="single" w:sz="8" w:color="DDDDDD"/>
            </w:tcBorders>
          </w:tcPr>
          <w:p>
            <w:pPr>
              <w:spacing w:after="0"/>
              <w:rPr>
                <w:sz w:val="17"/>
                <w:szCs w:val="17"/>
                <w:color w:val="auto"/>
              </w:rPr>
            </w:pPr>
          </w:p>
        </w:tc>
      </w:tr>
      <w:tr>
        <w:trPr>
          <w:trHeight w:val="195"/>
        </w:trPr>
        <w:tc>
          <w:tcPr>
            <w:tcW w:w="430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At the Market Offering Program</w:t>
            </w:r>
            <w:r>
              <w:rPr>
                <w:rFonts w:ascii="Times New Roman" w:cs="Times New Roman" w:eastAsia="Times New Roman" w:hAnsi="Times New Roman"/>
                <w:sz w:val="10"/>
                <w:szCs w:val="10"/>
                <w:color w:val="auto"/>
              </w:rPr>
              <w:t>(3)</w:t>
            </w:r>
          </w:p>
        </w:tc>
        <w:tc>
          <w:tcPr>
            <w:tcW w:w="1640" w:type="dxa"/>
            <w:vAlign w:val="bottom"/>
            <w:tcBorders>
              <w:bottom w:val="single" w:sz="8" w:color="auto"/>
            </w:tcBorders>
            <w:shd w:val="clear" w:color="auto" w:fill="DDDDDD"/>
          </w:tcPr>
          <w:p>
            <w:pPr>
              <w:spacing w:after="0" w:line="191" w:lineRule="exact"/>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7.86</w:t>
            </w:r>
          </w:p>
        </w:tc>
        <w:tc>
          <w:tcPr>
            <w:tcW w:w="32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4,533,067</w:t>
            </w:r>
          </w:p>
        </w:tc>
        <w:tc>
          <w:tcPr>
            <w:tcW w:w="32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line="191" w:lineRule="exact"/>
              <w:rPr>
                <w:sz w:val="20"/>
                <w:szCs w:val="20"/>
                <w:color w:val="auto"/>
              </w:rPr>
            </w:pPr>
            <w:r>
              <w:rPr>
                <w:rFonts w:ascii="Times New Roman" w:cs="Times New Roman" w:eastAsia="Times New Roman" w:hAnsi="Times New Roman"/>
                <w:sz w:val="18"/>
                <w:szCs w:val="18"/>
                <w:color w:val="auto"/>
              </w:rPr>
              <w:t>35,630</w:t>
            </w:r>
          </w:p>
        </w:tc>
        <w:tc>
          <w:tcPr>
            <w:tcW w:w="100" w:type="dxa"/>
            <w:vAlign w:val="bottom"/>
            <w:tcBorders>
              <w:bottom w:val="single" w:sz="8" w:color="auto"/>
            </w:tcBorders>
            <w:shd w:val="clear" w:color="auto" w:fill="DDDDDD"/>
          </w:tcPr>
          <w:p>
            <w:pPr>
              <w:spacing w:after="0"/>
              <w:rPr>
                <w:sz w:val="16"/>
                <w:szCs w:val="16"/>
                <w:color w:val="auto"/>
              </w:rPr>
            </w:pPr>
          </w:p>
        </w:tc>
      </w:tr>
      <w:tr>
        <w:trPr>
          <w:trHeight w:val="230"/>
        </w:trPr>
        <w:tc>
          <w:tcPr>
            <w:tcW w:w="4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31,327,547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259,328</w:t>
            </w:r>
          </w:p>
        </w:tc>
        <w:tc>
          <w:tcPr>
            <w:tcW w:w="100" w:type="dxa"/>
            <w:vAlign w:val="bottom"/>
            <w:tcBorders>
              <w:bottom w:val="single" w:sz="8" w:color="auto"/>
            </w:tcBorders>
          </w:tcPr>
          <w:p>
            <w:pPr>
              <w:spacing w:after="0"/>
              <w:rPr>
                <w:sz w:val="20"/>
                <w:szCs w:val="20"/>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360" w:hanging="350"/>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price received per share is after deducting the underwriters’ discount, if applicable, and other offering costs.</w:t>
      </w:r>
    </w:p>
    <w:p>
      <w:pPr>
        <w:spacing w:after="0" w:line="33" w:lineRule="exact"/>
        <w:rPr>
          <w:rFonts w:ascii="Times New Roman" w:cs="Times New Roman" w:eastAsia="Times New Roman" w:hAnsi="Times New Roman"/>
          <w:sz w:val="18"/>
          <w:szCs w:val="18"/>
          <w:color w:val="auto"/>
        </w:rPr>
      </w:pPr>
    </w:p>
    <w:p>
      <w:pPr>
        <w:ind w:left="360" w:hanging="350"/>
        <w:spacing w:after="0"/>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are net of the underwriters’ discount, if applicable, and other offering costs.</w:t>
      </w:r>
    </w:p>
    <w:p>
      <w:pPr>
        <w:spacing w:after="0" w:line="9" w:lineRule="exact"/>
        <w:rPr>
          <w:rFonts w:ascii="Times New Roman" w:cs="Times New Roman" w:eastAsia="Times New Roman" w:hAnsi="Times New Roman"/>
          <w:sz w:val="18"/>
          <w:szCs w:val="18"/>
          <w:color w:val="auto"/>
        </w:rPr>
      </w:pPr>
    </w:p>
    <w:p>
      <w:pPr>
        <w:ind w:left="360" w:right="280" w:hanging="350"/>
        <w:spacing w:after="0" w:line="252" w:lineRule="auto"/>
        <w:tabs>
          <w:tab w:leader="none" w:pos="3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entered into twelve equity distribution agreements, eleven of which have either been terminated because all shares were sold or were replaced with a subsequent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800"/>
          </w:cols>
          <w:pgMar w:left="720" w:top="796" w:right="720" w:bottom="0" w:gutter="0" w:footer="0" w:header="0"/>
        </w:sectPr>
      </w:pPr>
    </w:p>
    <w:bookmarkStart w:id="91" w:name="page92"/>
    <w:bookmarkEnd w:id="91"/>
    <w:p>
      <w:pPr>
        <w:ind w:left="540"/>
        <w:spacing w:after="0"/>
        <w:rPr>
          <w:sz w:val="20"/>
          <w:szCs w:val="20"/>
          <w:color w:val="auto"/>
        </w:rPr>
      </w:pPr>
      <w:r>
        <w:rPr>
          <w:rFonts w:ascii="Times New Roman" w:cs="Times New Roman" w:eastAsia="Times New Roman" w:hAnsi="Times New Roman"/>
          <w:sz w:val="20"/>
          <w:szCs w:val="20"/>
          <w:b w:val="1"/>
          <w:bCs w:val="1"/>
          <w:color w:val="auto"/>
        </w:rPr>
        <w:t>Stock Repurchase Program</w:t>
      </w:r>
    </w:p>
    <w:p>
      <w:pPr>
        <w:spacing w:after="0" w:line="233" w:lineRule="exact"/>
        <w:rPr>
          <w:sz w:val="20"/>
          <w:szCs w:val="20"/>
          <w:color w:val="auto"/>
        </w:rPr>
      </w:pPr>
    </w:p>
    <w:p>
      <w:pPr>
        <w:ind w:right="380" w:firstLine="499"/>
        <w:spacing w:after="0" w:line="249" w:lineRule="auto"/>
        <w:rPr>
          <w:sz w:val="20"/>
          <w:szCs w:val="20"/>
          <w:color w:val="auto"/>
        </w:rPr>
      </w:pPr>
      <w:r>
        <w:rPr>
          <w:rFonts w:ascii="Times New Roman" w:cs="Times New Roman" w:eastAsia="Times New Roman" w:hAnsi="Times New Roman"/>
          <w:sz w:val="20"/>
          <w:szCs w:val="20"/>
          <w:color w:val="auto"/>
        </w:rPr>
        <w:t>On July 29, 2015, the Company’s Board of Directors authorized the repurchase of up to 400,000 shares of the Company’s common stock.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1,061,315 shares, representing 10% of the then outstanding share count.</w:t>
      </w:r>
    </w:p>
    <w:p>
      <w:pPr>
        <w:spacing w:after="0" w:line="187" w:lineRule="exact"/>
        <w:rPr>
          <w:sz w:val="20"/>
          <w:szCs w:val="20"/>
          <w:color w:val="auto"/>
        </w:rPr>
      </w:pPr>
    </w:p>
    <w:p>
      <w:pPr>
        <w:ind w:right="40" w:firstLine="499"/>
        <w:spacing w:after="0" w:line="252" w:lineRule="auto"/>
        <w:rPr>
          <w:sz w:val="20"/>
          <w:szCs w:val="20"/>
          <w:color w:val="auto"/>
        </w:rPr>
      </w:pPr>
      <w:r>
        <w:rPr>
          <w:rFonts w:ascii="Times New Roman" w:cs="Times New Roman" w:eastAsia="Times New Roman" w:hAnsi="Times New Roman"/>
          <w:sz w:val="20"/>
          <w:szCs w:val="20"/>
          <w:color w:val="auto"/>
        </w:rPr>
        <w:t>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w:t>
      </w:r>
    </w:p>
    <w:p>
      <w:pPr>
        <w:spacing w:after="0" w:line="186" w:lineRule="exact"/>
        <w:rPr>
          <w:sz w:val="20"/>
          <w:szCs w:val="20"/>
          <w:color w:val="auto"/>
        </w:rPr>
      </w:pPr>
    </w:p>
    <w:p>
      <w:pPr>
        <w:ind w:right="40" w:firstLine="499"/>
        <w:spacing w:after="0" w:line="252" w:lineRule="auto"/>
        <w:rPr>
          <w:sz w:val="20"/>
          <w:szCs w:val="20"/>
          <w:color w:val="auto"/>
        </w:rPr>
      </w:pPr>
      <w:r>
        <w:rPr>
          <w:rFonts w:ascii="Times New Roman" w:cs="Times New Roman" w:eastAsia="Times New Roman" w:hAnsi="Times New Roman"/>
          <w:sz w:val="20"/>
          <w:szCs w:val="20"/>
          <w:color w:val="auto"/>
        </w:rPr>
        <w:t>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w:t>
      </w:r>
    </w:p>
    <w:p>
      <w:pPr>
        <w:spacing w:after="0" w:line="184"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As part of the stock repurchase program, shares may be purchased in open market transactions, block purchases, through privately negotiated transactions, or pursuant to any trading plan that may be adopted in accordance with Rule 10b5-1 of the Securities Exchange Act of 1934, as amended (the “Exchange Act”). Open market repurchases will be made in accordance with Exchange Act Rule 10b-18, which sets certain restrictions on the method, timing, price and volume of open market stock repurchases. The timing, manner, price and amount of any repurchases will be determined by the Company in its discretion and will be subject to economic and market conditions, stock price, applicable legal requirements and other factors. The authorization does not obligate the Company to acquire any particular amount of common stock. The stock repurchase program may be suspended or discontinued at the Company’s discretion without prior notice and has no termination date.</w:t>
      </w:r>
    </w:p>
    <w:p>
      <w:pPr>
        <w:spacing w:after="0" w:line="191" w:lineRule="exact"/>
        <w:rPr>
          <w:sz w:val="20"/>
          <w:szCs w:val="20"/>
          <w:color w:val="auto"/>
        </w:rPr>
      </w:pPr>
    </w:p>
    <w:p>
      <w:pPr>
        <w:ind w:right="20" w:firstLine="499"/>
        <w:spacing w:after="0" w:line="246" w:lineRule="auto"/>
        <w:rPr>
          <w:sz w:val="20"/>
          <w:szCs w:val="20"/>
          <w:color w:val="auto"/>
        </w:rPr>
      </w:pPr>
      <w:r>
        <w:rPr>
          <w:rFonts w:ascii="Times New Roman" w:cs="Times New Roman" w:eastAsia="Times New Roman" w:hAnsi="Times New Roman"/>
          <w:sz w:val="20"/>
          <w:szCs w:val="20"/>
          <w:color w:val="auto"/>
        </w:rPr>
        <w:t>From the inception of the stock repurchase program through December 31, 2025, the Company repurchased a total of 6,257,826 shares at an aggregate cost of approximately $84.8 million, including commissions and fees, for a weighted average price of $13.55 per share. During the year ended December 31, 2025, the Company repurchased a total of 1,113,224 shares at an aggregate cost of approximately $7.3 million, including commissions and fees, for a weighted average price of $ 6.52 per share. During the year ended December 31, 2024, the Company repurchased a total of 396,241 shares at an aggregate cost of approximately $3.3 million, including commissions and fees, for a weighted average price of $8.30 per share. The remaining authorization under the stock repurchase program as of February 20, 2026 was 2,719,137 shares.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Cash Dividends</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table below presents the cash dividends declared on the Company’s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45" w:type="dxa"/>
            <w:vAlign w:val="bottom"/>
            <w:tcBorders>
              <w:top w:val="single" w:sz="8" w:color="auto"/>
            </w:tcBorders>
          </w:tcPr>
          <w:p>
            <w:pPr>
              <w:spacing w:after="0"/>
              <w:rPr>
                <w:sz w:val="15"/>
                <w:szCs w:val="15"/>
                <w:color w:val="auto"/>
              </w:rPr>
            </w:pPr>
          </w:p>
        </w:tc>
        <w:tc>
          <w:tcPr>
            <w:tcW w:w="135" w:type="dxa"/>
            <w:vAlign w:val="bottom"/>
            <w:tcBorders>
              <w:top w:val="single" w:sz="8" w:color="auto"/>
            </w:tcBorders>
          </w:tcPr>
          <w:p>
            <w:pPr>
              <w:spacing w:after="0"/>
              <w:rPr>
                <w:sz w:val="15"/>
                <w:szCs w:val="15"/>
                <w:color w:val="auto"/>
              </w:rPr>
            </w:pPr>
          </w:p>
        </w:tc>
        <w:tc>
          <w:tcPr>
            <w:tcW w:w="1479" w:type="dxa"/>
            <w:vAlign w:val="bottom"/>
            <w:tcBorders>
              <w:top w:val="single" w:sz="8" w:color="auto"/>
            </w:tcBorders>
          </w:tcPr>
          <w:p>
            <w:pPr>
              <w:jc w:val="right"/>
              <w:ind w:right="409"/>
              <w:spacing w:after="0" w:line="181"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141"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236"/>
        </w:trPr>
        <w:tc>
          <w:tcPr>
            <w:tcW w:w="764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5" w:type="dxa"/>
            <w:vAlign w:val="bottom"/>
            <w:tcBorders>
              <w:bottom w:val="single" w:sz="8" w:color="auto"/>
            </w:tcBorders>
          </w:tcPr>
          <w:p>
            <w:pPr>
              <w:spacing w:after="0"/>
              <w:rPr>
                <w:sz w:val="20"/>
                <w:szCs w:val="20"/>
                <w:color w:val="auto"/>
              </w:rPr>
            </w:pPr>
          </w:p>
        </w:tc>
        <w:tc>
          <w:tcPr>
            <w:tcW w:w="1479"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1"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6"/>
        </w:trPr>
        <w:tc>
          <w:tcPr>
            <w:tcW w:w="7645"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2013</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79" w:type="dxa"/>
            <w:vAlign w:val="bottom"/>
            <w:shd w:val="clear" w:color="auto" w:fill="DDDDDD"/>
          </w:tcPr>
          <w:p>
            <w:pPr>
              <w:jc w:val="right"/>
              <w:ind w:right="89"/>
              <w:spacing w:after="0" w:line="206" w:lineRule="exact"/>
              <w:rPr>
                <w:sz w:val="20"/>
                <w:szCs w:val="20"/>
                <w:color w:val="auto"/>
              </w:rPr>
            </w:pPr>
            <w:r>
              <w:rPr>
                <w:rFonts w:ascii="Times New Roman" w:cs="Times New Roman" w:eastAsia="Times New Roman" w:hAnsi="Times New Roman"/>
                <w:sz w:val="18"/>
                <w:szCs w:val="18"/>
                <w:color w:val="auto"/>
              </w:rPr>
              <w:t>6.975</w:t>
            </w:r>
          </w:p>
        </w:tc>
        <w:tc>
          <w:tcPr>
            <w:tcW w:w="141"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shd w:val="clear" w:color="auto" w:fill="DDDDDD"/>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4,662</w:t>
            </w:r>
          </w:p>
        </w:tc>
      </w:tr>
      <w:tr>
        <w:trPr>
          <w:trHeight w:val="218"/>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10.800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22,643</w:t>
            </w:r>
          </w:p>
        </w:tc>
      </w:tr>
      <w:tr>
        <w:trPr>
          <w:trHeight w:val="216"/>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2015</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9.600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38,748</w:t>
            </w:r>
          </w:p>
        </w:tc>
      </w:tr>
      <w:tr>
        <w:trPr>
          <w:trHeight w:val="218"/>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8.400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41,388</w:t>
            </w:r>
          </w:p>
        </w:tc>
      </w:tr>
      <w:tr>
        <w:trPr>
          <w:trHeight w:val="216"/>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2017</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8.400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70,717</w:t>
            </w:r>
          </w:p>
        </w:tc>
      </w:tr>
      <w:tr>
        <w:trPr>
          <w:trHeight w:val="218"/>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5.350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55,814</w:t>
            </w:r>
          </w:p>
        </w:tc>
      </w:tr>
      <w:tr>
        <w:trPr>
          <w:trHeight w:val="216"/>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2019</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4.800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54,421</w:t>
            </w:r>
          </w:p>
        </w:tc>
      </w:tr>
      <w:tr>
        <w:trPr>
          <w:trHeight w:val="216"/>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3.950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53,570</w:t>
            </w:r>
          </w:p>
        </w:tc>
      </w:tr>
      <w:tr>
        <w:trPr>
          <w:trHeight w:val="218"/>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2021</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3.900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97,601</w:t>
            </w:r>
          </w:p>
        </w:tc>
      </w:tr>
      <w:tr>
        <w:trPr>
          <w:trHeight w:val="216"/>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2.475</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87,906</w:t>
            </w:r>
          </w:p>
        </w:tc>
      </w:tr>
      <w:tr>
        <w:trPr>
          <w:trHeight w:val="218"/>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2023</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1.800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81,127</w:t>
            </w:r>
          </w:p>
        </w:tc>
      </w:tr>
      <w:tr>
        <w:trPr>
          <w:trHeight w:val="216"/>
        </w:trPr>
        <w:tc>
          <w:tcPr>
            <w:tcW w:w="7645"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1.440</w:t>
            </w:r>
          </w:p>
        </w:tc>
        <w:tc>
          <w:tcPr>
            <w:tcW w:w="141"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96,309</w:t>
            </w:r>
          </w:p>
        </w:tc>
      </w:tr>
      <w:tr>
        <w:trPr>
          <w:trHeight w:val="216"/>
        </w:trPr>
        <w:tc>
          <w:tcPr>
            <w:tcW w:w="764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2025</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1.440</w:t>
            </w:r>
          </w:p>
        </w:tc>
        <w:tc>
          <w:tcPr>
            <w:tcW w:w="141"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190,930</w:t>
            </w:r>
          </w:p>
        </w:tc>
      </w:tr>
      <w:tr>
        <w:trPr>
          <w:trHeight w:val="219"/>
        </w:trPr>
        <w:tc>
          <w:tcPr>
            <w:tcW w:w="764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2026 YTD(1)</w:t>
            </w:r>
          </w:p>
        </w:tc>
        <w:tc>
          <w:tcPr>
            <w:tcW w:w="135" w:type="dxa"/>
            <w:vAlign w:val="bottom"/>
            <w:tcBorders>
              <w:bottom w:val="single" w:sz="8" w:color="auto"/>
            </w:tcBorders>
          </w:tcPr>
          <w:p>
            <w:pPr>
              <w:spacing w:after="0"/>
              <w:rPr>
                <w:sz w:val="19"/>
                <w:szCs w:val="19"/>
                <w:color w:val="auto"/>
              </w:rPr>
            </w:pPr>
          </w:p>
        </w:tc>
        <w:tc>
          <w:tcPr>
            <w:tcW w:w="1479"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0.240</w:t>
            </w:r>
          </w:p>
        </w:tc>
        <w:tc>
          <w:tcPr>
            <w:tcW w:w="141"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44,957</w:t>
            </w:r>
          </w:p>
        </w:tc>
      </w:tr>
      <w:tr>
        <w:trPr>
          <w:trHeight w:val="232"/>
        </w:trPr>
        <w:tc>
          <w:tcPr>
            <w:tcW w:w="7645" w:type="dxa"/>
            <w:vAlign w:val="bottom"/>
            <w:tcBorders>
              <w:bottom w:val="single" w:sz="8" w:color="DDDDDD"/>
            </w:tcBorders>
            <w:shd w:val="clear" w:color="auto" w:fill="DDDDDD"/>
          </w:tcPr>
          <w:p>
            <w:pPr>
              <w:spacing w:after="0" w:line="202" w:lineRule="exact"/>
              <w:rPr>
                <w:sz w:val="20"/>
                <w:szCs w:val="20"/>
                <w:color w:val="auto"/>
              </w:rPr>
            </w:pPr>
            <w:r>
              <w:rPr>
                <w:rFonts w:ascii="Times New Roman" w:cs="Times New Roman" w:eastAsia="Times New Roman" w:hAnsi="Times New Roman"/>
                <w:sz w:val="18"/>
                <w:szCs w:val="18"/>
                <w:color w:val="auto"/>
              </w:rPr>
              <w:t>Totals</w:t>
            </w:r>
          </w:p>
        </w:tc>
        <w:tc>
          <w:tcPr>
            <w:tcW w:w="135"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1479" w:type="dxa"/>
            <w:vAlign w:val="bottom"/>
            <w:tcBorders>
              <w:bottom w:val="single" w:sz="8" w:color="DDDDDD"/>
            </w:tcBorders>
            <w:shd w:val="clear" w:color="auto" w:fill="DDDDDD"/>
          </w:tcPr>
          <w:p>
            <w:pPr>
              <w:jc w:val="right"/>
              <w:ind w:right="89"/>
              <w:spacing w:after="0" w:line="202" w:lineRule="exact"/>
              <w:rPr>
                <w:sz w:val="20"/>
                <w:szCs w:val="20"/>
                <w:color w:val="auto"/>
              </w:rPr>
            </w:pPr>
            <w:r>
              <w:rPr>
                <w:rFonts w:ascii="Times New Roman" w:cs="Times New Roman" w:eastAsia="Times New Roman" w:hAnsi="Times New Roman"/>
                <w:sz w:val="18"/>
                <w:szCs w:val="18"/>
                <w:color w:val="auto"/>
              </w:rPr>
              <w:t>69.570</w:t>
            </w:r>
          </w:p>
        </w:tc>
        <w:tc>
          <w:tcPr>
            <w:tcW w:w="141" w:type="dxa"/>
            <w:vAlign w:val="bottom"/>
            <w:tcBorders>
              <w:bottom w:val="single" w:sz="8" w:color="DDDDDD"/>
            </w:tcBorders>
            <w:shd w:val="clear" w:color="auto" w:fill="DDDDDD"/>
          </w:tcPr>
          <w:p>
            <w:pPr>
              <w:jc w:val="right"/>
              <w:spacing w:after="0" w:line="202" w:lineRule="exact"/>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tcBorders>
              <w:bottom w:val="single" w:sz="8" w:color="DDDDDD"/>
            </w:tcBorders>
            <w:shd w:val="clear" w:color="auto" w:fill="DDDDDD"/>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940,793</w:t>
            </w:r>
          </w:p>
        </w:tc>
      </w:tr>
      <w:tr>
        <w:trPr>
          <w:trHeight w:val="20"/>
        </w:trPr>
        <w:tc>
          <w:tcPr>
            <w:tcW w:w="764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79" w:type="dxa"/>
            <w:vAlign w:val="bottom"/>
            <w:tcBorders>
              <w:top w:val="single" w:sz="8" w:color="auto"/>
              <w:bottom w:val="single" w:sz="8" w:color="auto"/>
            </w:tcBorders>
          </w:tcPr>
          <w:p>
            <w:pPr>
              <w:spacing w:after="0" w:line="20" w:lineRule="exact"/>
              <w:rPr>
                <w:sz w:val="1"/>
                <w:szCs w:val="1"/>
                <w:color w:val="auto"/>
              </w:rPr>
            </w:pPr>
          </w:p>
        </w:tc>
        <w:tc>
          <w:tcPr>
            <w:tcW w:w="141"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-186690</wp:posOffset>
                </wp:positionV>
                <wp:extent cx="68580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4.6999pt" to="540.2pt,-14.6999pt" o:allowincell="f" strokecolor="#FFFFFF" strokeweight="0.36pt"/>
            </w:pict>
          </mc:Fallback>
        </mc:AlternateContent>
      </w:r>
    </w:p>
    <w:p>
      <w:pPr>
        <w:spacing w:after="0" w:line="197" w:lineRule="exact"/>
        <w:rPr>
          <w:sz w:val="20"/>
          <w:szCs w:val="20"/>
          <w:color w:val="auto"/>
        </w:rPr>
      </w:pPr>
    </w:p>
    <w:p>
      <w:pPr>
        <w:ind w:left="360" w:right="80" w:hanging="350"/>
        <w:spacing w:after="0" w:line="260" w:lineRule="auto"/>
        <w:tabs>
          <w:tab w:leader="none" w:pos="3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2026, the Company declared a dividend of $0.12 per share to be paid on February 26, 2026. On February 11, 2026, the Company declared a dividend of $0.12 per share to be paid on March 30, 2026. The effect of these dividends are included in the table above, but are not reflected in the Company’s financial statements as of December 31, 2025.</w:t>
      </w:r>
    </w:p>
    <w:p>
      <w:pPr>
        <w:sectPr>
          <w:pgSz w:w="12240" w:h="15840" w:orient="portrait"/>
          <w:cols w:equalWidth="0" w:num="1">
            <w:col w:w="10800"/>
          </w:cols>
          <w:pgMar w:left="720" w:top="55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800"/>
          </w:cols>
          <w:pgMar w:left="720" w:top="553" w:right="72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NOTE 9. STOCK INCENTIVE PLAN</w:t>
      </w:r>
    </w:p>
    <w:p>
      <w:pPr>
        <w:spacing w:after="0" w:line="233" w:lineRule="exact"/>
        <w:rPr>
          <w:sz w:val="20"/>
          <w:szCs w:val="20"/>
          <w:color w:val="auto"/>
        </w:rPr>
      </w:pPr>
    </w:p>
    <w:p>
      <w:pPr>
        <w:ind w:right="40" w:firstLine="499"/>
        <w:spacing w:after="0" w:line="243" w:lineRule="auto"/>
        <w:rPr>
          <w:sz w:val="20"/>
          <w:szCs w:val="20"/>
          <w:color w:val="auto"/>
        </w:rPr>
      </w:pPr>
      <w:r>
        <w:rPr>
          <w:rFonts w:ascii="Times New Roman" w:cs="Times New Roman" w:eastAsia="Times New Roman" w:hAnsi="Times New Roman"/>
          <w:sz w:val="20"/>
          <w:szCs w:val="20"/>
          <w:color w:val="auto"/>
        </w:rPr>
        <w:t>In 2021, the Company’s Board of Directors adopted, and the stockholders approved, the Orchid Island Capital, Inc. 2021 Equity Incentive Plan (the “2021 Incentive Plan”) to replace the Orchid Island Capital, Inc. 2012 Equity Incentive Plan (the “2012 Incentive Plan” and together with the 2021 Incentive Plan, the “Incentive Plans”). The 2021 Incentive Plan provides for the award of stock options, stock appreciation rights, stock awards, PUs, other equity-based awards (and dividend equivalents with respect to awards of PUs and other equity-based awards) and incentive awards. The 2021 Incentive Plan is administered by the Compensation Committee of the Company’s Board of Directors except that the Company’s full Board of Directors will administer awards made to directors who are not employees of the Company or its affiliates. The 2021 Incentive Plan provides for awards of up to an aggregate of 10% of the issued and outstanding shares of the Company's common stock (on a fully diluted basis) at the time of the awards, subject to a maximum aggregate 1,473,324 shares of the Company’s common stock that may be issued under the 2021 Incentive Plan. The 2021 Incentive Plan replaces the 2012 Incentive Plan, and no further grants will be made under the 2012 Incentive Plan. However, any outstanding awards under the 2012 Incentive Plan will continue in accordance with the terms of the 2012 Incentive Plan and any award agreement executed in connection with such outstanding awards.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Units</w:t>
      </w:r>
    </w:p>
    <w:p>
      <w:pPr>
        <w:spacing w:after="0" w:line="235"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The Company has issued, and may in the future issue additional PUs under the Incentive Plan to certain executive officers and employees of its Manager. PUs vest after the end of a defined performance period, based on satisfaction of the performance conditions set forth in the PU agreement. When earned, each PU will be settled by the issuance of one share of the Company’s common stock, at which time the PU will be cancelled. The PUs contain dividend equivalent rights, which entitle the Participants to receive distributions declared by the Company on common stock, but do not include the right to vote the underlying shares of common stock. PUs are subject to forfeiture should the participant no longer serve as an executive officer or employee of the Company. Compensation expense for the PUs, included in incentive compensation on the statements of comprehensive income (loss), is recognized over the remaining vesting period once it becomes probable that the performance conditions will be achieved.</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information related to PUs outstanding during the years ended December 31, 2025 and 2024.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top w:val="single" w:sz="8" w:color="auto"/>
            </w:tcBorders>
          </w:tcPr>
          <w:p>
            <w:pPr>
              <w:spacing w:after="0"/>
              <w:rPr>
                <w:sz w:val="18"/>
                <w:szCs w:val="18"/>
                <w:color w:val="auto"/>
              </w:rPr>
            </w:pPr>
          </w:p>
        </w:tc>
      </w:tr>
      <w:tr>
        <w:trPr>
          <w:trHeight w:val="192"/>
        </w:trPr>
        <w:tc>
          <w:tcPr>
            <w:tcW w:w="5720" w:type="dxa"/>
            <w:vAlign w:val="bottom"/>
          </w:tcPr>
          <w:p>
            <w:pPr>
              <w:spacing w:after="0"/>
              <w:rPr>
                <w:sz w:val="16"/>
                <w:szCs w:val="16"/>
                <w:color w:val="auto"/>
              </w:rPr>
            </w:pPr>
          </w:p>
        </w:tc>
        <w:tc>
          <w:tcPr>
            <w:tcW w:w="1090" w:type="dxa"/>
            <w:vAlign w:val="bottom"/>
            <w:tcBorders>
              <w:top w:val="single" w:sz="8" w:color="auto"/>
            </w:tcBorders>
          </w:tcPr>
          <w:p>
            <w:pPr>
              <w:spacing w:after="0"/>
              <w:rPr>
                <w:sz w:val="16"/>
                <w:szCs w:val="16"/>
                <w:color w:val="auto"/>
              </w:rPr>
            </w:pPr>
          </w:p>
        </w:tc>
        <w:tc>
          <w:tcPr>
            <w:tcW w:w="11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10"/>
              <w:spacing w:after="0" w:line="193"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5" w:type="dxa"/>
            <w:vAlign w:val="bottom"/>
            <w:tcBorders>
              <w:top w:val="single" w:sz="8" w:color="auto"/>
            </w:tcBorders>
          </w:tcPr>
          <w:p>
            <w:pPr>
              <w:spacing w:after="0"/>
              <w:rPr>
                <w:sz w:val="16"/>
                <w:szCs w:val="16"/>
                <w:color w:val="auto"/>
              </w:rPr>
            </w:pPr>
          </w:p>
        </w:tc>
        <w:tc>
          <w:tcPr>
            <w:tcW w:w="115"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720" w:type="dxa"/>
            <w:vAlign w:val="bottom"/>
          </w:tcPr>
          <w:p>
            <w:pPr>
              <w:spacing w:after="0"/>
              <w:rPr>
                <w:sz w:val="18"/>
                <w:szCs w:val="18"/>
                <w:color w:val="auto"/>
              </w:rPr>
            </w:pPr>
          </w:p>
        </w:tc>
        <w:tc>
          <w:tcPr>
            <w:tcW w:w="109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8"/>
        </w:trPr>
        <w:tc>
          <w:tcPr>
            <w:tcW w:w="5720" w:type="dxa"/>
            <w:vAlign w:val="bottom"/>
          </w:tcPr>
          <w:p>
            <w:pPr>
              <w:spacing w:after="0"/>
              <w:rPr>
                <w:sz w:val="18"/>
                <w:szCs w:val="18"/>
                <w:color w:val="auto"/>
              </w:rPr>
            </w:pPr>
          </w:p>
        </w:tc>
        <w:tc>
          <w:tcPr>
            <w:tcW w:w="109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4"/>
        </w:trPr>
        <w:tc>
          <w:tcPr>
            <w:tcW w:w="5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5" w:type="dxa"/>
            <w:vAlign w:val="bottom"/>
            <w:tcBorders>
              <w:bottom w:val="single" w:sz="8" w:color="auto"/>
            </w:tcBorders>
          </w:tcPr>
          <w:p>
            <w:pPr>
              <w:spacing w:after="0"/>
              <w:rPr>
                <w:sz w:val="20"/>
                <w:szCs w:val="20"/>
                <w:color w:val="auto"/>
              </w:rPr>
            </w:pPr>
          </w:p>
        </w:tc>
        <w:tc>
          <w:tcPr>
            <w:tcW w:w="115"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8"/>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09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80,201</w:t>
            </w:r>
          </w:p>
        </w:tc>
        <w:tc>
          <w:tcPr>
            <w:tcW w:w="110" w:type="dxa"/>
            <w:vAlign w:val="bottom"/>
            <w:shd w:val="clear" w:color="auto" w:fill="DDDDDD"/>
          </w:tcPr>
          <w:p>
            <w:pPr>
              <w:spacing w:after="0"/>
              <w:rPr>
                <w:sz w:val="18"/>
                <w:szCs w:val="18"/>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10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95,768</w:t>
            </w:r>
          </w:p>
        </w:tc>
        <w:tc>
          <w:tcPr>
            <w:tcW w:w="100" w:type="dxa"/>
            <w:vAlign w:val="bottom"/>
            <w:shd w:val="clear" w:color="auto" w:fill="DDDDDD"/>
          </w:tcPr>
          <w:p>
            <w:pPr>
              <w:spacing w:after="0"/>
              <w:rPr>
                <w:sz w:val="18"/>
                <w:szCs w:val="18"/>
                <w:color w:val="auto"/>
              </w:rPr>
            </w:pPr>
          </w:p>
        </w:tc>
        <w:tc>
          <w:tcPr>
            <w:tcW w:w="105" w:type="dxa"/>
            <w:vAlign w:val="bottom"/>
            <w:shd w:val="clear" w:color="auto" w:fill="DDDDDD"/>
          </w:tcPr>
          <w:p>
            <w:pPr>
              <w:spacing w:after="0"/>
              <w:rPr>
                <w:sz w:val="18"/>
                <w:szCs w:val="18"/>
                <w:color w:val="auto"/>
              </w:rPr>
            </w:pPr>
          </w:p>
        </w:tc>
        <w:tc>
          <w:tcPr>
            <w:tcW w:w="11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r>
      <w:tr>
        <w:trPr>
          <w:trHeight w:val="215"/>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1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w:t>
            </w:r>
          </w:p>
        </w:tc>
        <w:tc>
          <w:tcPr>
            <w:tcW w:w="1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r>
      <w:tr>
        <w:trPr>
          <w:trHeight w:val="220"/>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10"/>
                <w:szCs w:val="10"/>
                <w:color w:val="auto"/>
              </w:rPr>
              <w:t>(1)(2)</w:t>
            </w:r>
          </w:p>
        </w:tc>
        <w:tc>
          <w:tcPr>
            <w:tcW w:w="109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1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05" w:type="dxa"/>
            <w:vAlign w:val="bottom"/>
            <w:shd w:val="clear" w:color="auto" w:fill="DDDDDD"/>
          </w:tcPr>
          <w:p>
            <w:pPr>
              <w:spacing w:after="0"/>
              <w:rPr>
                <w:sz w:val="19"/>
                <w:szCs w:val="19"/>
                <w:color w:val="auto"/>
              </w:rPr>
            </w:pPr>
          </w:p>
        </w:tc>
        <w:tc>
          <w:tcPr>
            <w:tcW w:w="115"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r>
      <w:tr>
        <w:trPr>
          <w:trHeight w:val="221"/>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(44,482 )</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10.65</w:t>
            </w: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(37,975 )</w:t>
            </w:r>
          </w:p>
        </w:tc>
        <w:tc>
          <w:tcPr>
            <w:tcW w:w="105" w:type="dxa"/>
            <w:vAlign w:val="bottom"/>
            <w:tcBorders>
              <w:bottom w:val="single" w:sz="8" w:color="auto"/>
            </w:tcBorders>
          </w:tcPr>
          <w:p>
            <w:pPr>
              <w:spacing w:after="0"/>
              <w:rPr>
                <w:sz w:val="19"/>
                <w:szCs w:val="19"/>
                <w:color w:val="auto"/>
              </w:rPr>
            </w:pPr>
          </w:p>
        </w:tc>
        <w:tc>
          <w:tcPr>
            <w:tcW w:w="115"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r>
      <w:tr>
        <w:trPr>
          <w:trHeight w:val="227"/>
        </w:trPr>
        <w:tc>
          <w:tcPr>
            <w:tcW w:w="5720" w:type="dxa"/>
            <w:vAlign w:val="bottom"/>
            <w:tcBorders>
              <w:bottom w:val="single" w:sz="8" w:color="DDDDDD"/>
            </w:tcBorders>
            <w:shd w:val="clear" w:color="auto" w:fill="DDDDDD"/>
          </w:tcPr>
          <w:p>
            <w:pPr>
              <w:spacing w:after="0" w:line="199" w:lineRule="exact"/>
              <w:rPr>
                <w:sz w:val="20"/>
                <w:szCs w:val="20"/>
                <w:color w:val="auto"/>
              </w:rPr>
            </w:pPr>
            <w:r>
              <w:rPr>
                <w:rFonts w:ascii="Times New Roman" w:cs="Times New Roman" w:eastAsia="Times New Roman" w:hAnsi="Times New Roman"/>
                <w:sz w:val="18"/>
                <w:szCs w:val="18"/>
                <w:color w:val="auto"/>
              </w:rPr>
              <w:t>Unvested, end of period</w:t>
            </w:r>
          </w:p>
        </w:tc>
        <w:tc>
          <w:tcPr>
            <w:tcW w:w="109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51,463</w:t>
            </w:r>
          </w:p>
        </w:tc>
        <w:tc>
          <w:tcPr>
            <w:tcW w:w="11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rPr>
              <w:t>$</w:t>
            </w:r>
          </w:p>
        </w:tc>
        <w:tc>
          <w:tcPr>
            <w:tcW w:w="1100" w:type="dxa"/>
            <w:vAlign w:val="bottom"/>
            <w:tcBorders>
              <w:bottom w:val="single" w:sz="8" w:color="DDDDDD"/>
            </w:tcBorders>
            <w:shd w:val="clear" w:color="auto" w:fill="DDDDDD"/>
          </w:tcPr>
          <w:p>
            <w:pPr>
              <w:jc w:val="right"/>
              <w:ind w:right="30"/>
              <w:spacing w:after="0" w:line="199" w:lineRule="exact"/>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DDDDDD"/>
            </w:tcBorders>
            <w:shd w:val="clear" w:color="auto" w:fill="DDDDDD"/>
          </w:tcPr>
          <w:p>
            <w:pPr>
              <w:spacing w:after="0"/>
              <w:rPr>
                <w:sz w:val="19"/>
                <w:szCs w:val="19"/>
                <w:color w:val="auto"/>
              </w:rPr>
            </w:pPr>
          </w:p>
        </w:tc>
        <w:tc>
          <w:tcPr>
            <w:tcW w:w="1080"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rPr>
              <w:t>80,201</w:t>
            </w:r>
          </w:p>
        </w:tc>
        <w:tc>
          <w:tcPr>
            <w:tcW w:w="100" w:type="dxa"/>
            <w:vAlign w:val="bottom"/>
            <w:tcBorders>
              <w:bottom w:val="single" w:sz="8" w:color="DDDDDD"/>
            </w:tcBorders>
            <w:shd w:val="clear" w:color="auto" w:fill="DDDDDD"/>
          </w:tcPr>
          <w:p>
            <w:pPr>
              <w:spacing w:after="0"/>
              <w:rPr>
                <w:sz w:val="19"/>
                <w:szCs w:val="19"/>
                <w:color w:val="auto"/>
              </w:rPr>
            </w:pPr>
          </w:p>
        </w:tc>
        <w:tc>
          <w:tcPr>
            <w:tcW w:w="105" w:type="dxa"/>
            <w:vAlign w:val="bottom"/>
            <w:tcBorders>
              <w:bottom w:val="single" w:sz="8" w:color="DDDDDD"/>
            </w:tcBorders>
            <w:shd w:val="clear" w:color="auto" w:fill="DDDDDD"/>
          </w:tcPr>
          <w:p>
            <w:pPr>
              <w:spacing w:after="0"/>
              <w:rPr>
                <w:sz w:val="19"/>
                <w:szCs w:val="19"/>
                <w:color w:val="auto"/>
              </w:rPr>
            </w:pPr>
          </w:p>
        </w:tc>
        <w:tc>
          <w:tcPr>
            <w:tcW w:w="115" w:type="dxa"/>
            <w:vAlign w:val="bottom"/>
            <w:tcBorders>
              <w:bottom w:val="single" w:sz="8" w:color="DDDDDD"/>
            </w:tcBorders>
            <w:shd w:val="clear" w:color="auto" w:fill="DDDDDD"/>
          </w:tcPr>
          <w:p>
            <w:pPr>
              <w:jc w:val="right"/>
              <w:spacing w:after="0" w:line="199" w:lineRule="exact"/>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tcBorders>
              <w:bottom w:val="single" w:sz="8" w:color="DDDDDD"/>
            </w:tcBorders>
            <w:shd w:val="clear" w:color="auto" w:fill="DDDDDD"/>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10.12</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109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5" w:type="dxa"/>
            <w:vAlign w:val="bottom"/>
            <w:tcBorders>
              <w:top w:val="single" w:sz="8" w:color="auto"/>
              <w:bottom w:val="single" w:sz="8" w:color="auto"/>
            </w:tcBorders>
          </w:tcPr>
          <w:p>
            <w:pPr>
              <w:spacing w:after="0" w:line="20" w:lineRule="exact"/>
              <w:rPr>
                <w:sz w:val="1"/>
                <w:szCs w:val="1"/>
                <w:color w:val="auto"/>
              </w:rPr>
            </w:pPr>
          </w:p>
        </w:tc>
        <w:tc>
          <w:tcPr>
            <w:tcW w:w="115"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9"/>
        </w:trPr>
        <w:tc>
          <w:tcPr>
            <w:tcW w:w="5720" w:type="dxa"/>
            <w:vAlign w:val="bottom"/>
            <w:tcBorders>
              <w:bottom w:val="single" w:sz="8" w:color="auto"/>
            </w:tcBorders>
          </w:tcPr>
          <w:p>
            <w:pPr>
              <w:spacing w:after="0"/>
              <w:rPr>
                <w:sz w:val="17"/>
                <w:szCs w:val="17"/>
                <w:color w:val="auto"/>
              </w:rPr>
            </w:pPr>
          </w:p>
        </w:tc>
        <w:tc>
          <w:tcPr>
            <w:tcW w:w="109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8"/>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Compensation expense during period</w:t>
            </w:r>
          </w:p>
        </w:tc>
        <w:tc>
          <w:tcPr>
            <w:tcW w:w="1090" w:type="dxa"/>
            <w:vAlign w:val="bottom"/>
            <w:shd w:val="clear" w:color="auto" w:fill="DDDDDD"/>
          </w:tcPr>
          <w:p>
            <w:pPr>
              <w:spacing w:after="0"/>
              <w:rPr>
                <w:sz w:val="18"/>
                <w:szCs w:val="18"/>
                <w:color w:val="auto"/>
              </w:rPr>
            </w:pPr>
          </w:p>
        </w:tc>
        <w:tc>
          <w:tcPr>
            <w:tcW w:w="110" w:type="dxa"/>
            <w:vAlign w:val="bottom"/>
            <w:shd w:val="clear" w:color="auto" w:fill="DDDDDD"/>
          </w:tcPr>
          <w:p>
            <w:pPr>
              <w:spacing w:after="0"/>
              <w:rPr>
                <w:sz w:val="18"/>
                <w:szCs w:val="18"/>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10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DDDDDD"/>
          </w:tcPr>
          <w:p>
            <w:pPr>
              <w:spacing w:after="0"/>
              <w:rPr>
                <w:sz w:val="18"/>
                <w:szCs w:val="18"/>
                <w:color w:val="auto"/>
              </w:rPr>
            </w:pPr>
          </w:p>
        </w:tc>
        <w:tc>
          <w:tcPr>
            <w:tcW w:w="10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5" w:type="dxa"/>
            <w:vAlign w:val="bottom"/>
            <w:shd w:val="clear" w:color="auto" w:fill="DDDDDD"/>
          </w:tcPr>
          <w:p>
            <w:pPr>
              <w:spacing w:after="0"/>
              <w:rPr>
                <w:sz w:val="18"/>
                <w:szCs w:val="18"/>
                <w:color w:val="auto"/>
              </w:rPr>
            </w:pPr>
          </w:p>
        </w:tc>
        <w:tc>
          <w:tcPr>
            <w:tcW w:w="11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compensation expense, end of period</w:t>
            </w:r>
          </w:p>
        </w:tc>
        <w:tc>
          <w:tcPr>
            <w:tcW w:w="109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18"/>
        </w:trPr>
        <w:tc>
          <w:tcPr>
            <w:tcW w:w="57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Intrinsic value, end of period</w:t>
            </w:r>
          </w:p>
        </w:tc>
        <w:tc>
          <w:tcPr>
            <w:tcW w:w="1090" w:type="dxa"/>
            <w:vAlign w:val="bottom"/>
            <w:shd w:val="clear" w:color="auto" w:fill="DDDDDD"/>
          </w:tcPr>
          <w:p>
            <w:pPr>
              <w:spacing w:after="0"/>
              <w:rPr>
                <w:sz w:val="18"/>
                <w:szCs w:val="18"/>
                <w:color w:val="auto"/>
              </w:rPr>
            </w:pPr>
          </w:p>
        </w:tc>
        <w:tc>
          <w:tcPr>
            <w:tcW w:w="110" w:type="dxa"/>
            <w:vAlign w:val="bottom"/>
            <w:shd w:val="clear" w:color="auto" w:fill="DDDDDD"/>
          </w:tcPr>
          <w:p>
            <w:pPr>
              <w:spacing w:after="0"/>
              <w:rPr>
                <w:sz w:val="18"/>
                <w:szCs w:val="18"/>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100" w:type="dxa"/>
            <w:vAlign w:val="bottom"/>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DDDDDD"/>
          </w:tcPr>
          <w:p>
            <w:pPr>
              <w:spacing w:after="0"/>
              <w:rPr>
                <w:sz w:val="18"/>
                <w:szCs w:val="18"/>
                <w:color w:val="auto"/>
              </w:rPr>
            </w:pPr>
          </w:p>
        </w:tc>
        <w:tc>
          <w:tcPr>
            <w:tcW w:w="10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5" w:type="dxa"/>
            <w:vAlign w:val="bottom"/>
            <w:shd w:val="clear" w:color="auto" w:fill="DDDDDD"/>
          </w:tcPr>
          <w:p>
            <w:pPr>
              <w:spacing w:after="0"/>
              <w:rPr>
                <w:sz w:val="18"/>
                <w:szCs w:val="18"/>
                <w:color w:val="auto"/>
              </w:rPr>
            </w:pPr>
          </w:p>
        </w:tc>
        <w:tc>
          <w:tcPr>
            <w:tcW w:w="115"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r>
      <w:tr>
        <w:trPr>
          <w:trHeight w:val="221"/>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Weighted-average remaining vesting term (in years)</w:t>
            </w:r>
          </w:p>
        </w:tc>
        <w:tc>
          <w:tcPr>
            <w:tcW w:w="109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5" w:type="dxa"/>
            <w:vAlign w:val="bottom"/>
            <w:tcBorders>
              <w:bottom w:val="single" w:sz="8" w:color="auto"/>
            </w:tcBorders>
          </w:tcPr>
          <w:p>
            <w:pPr>
              <w:spacing w:after="0"/>
              <w:rPr>
                <w:sz w:val="19"/>
                <w:szCs w:val="19"/>
                <w:color w:val="auto"/>
              </w:rPr>
            </w:pPr>
          </w:p>
        </w:tc>
        <w:tc>
          <w:tcPr>
            <w:tcW w:w="115"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-1168400</wp:posOffset>
                </wp:positionV>
                <wp:extent cx="68580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92pt" to="540.2pt,-92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-706120</wp:posOffset>
                </wp:positionV>
                <wp:extent cx="68580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55.5999pt" to="540.2pt,-55.5999pt" o:allowincell="f" strokecolor="#FFFFFF" strokeweight="0.14pt"/>
            </w:pict>
          </mc:Fallback>
        </mc:AlternateContent>
      </w:r>
    </w:p>
    <w:p>
      <w:pPr>
        <w:spacing w:after="0" w:line="197" w:lineRule="exact"/>
        <w:rPr>
          <w:sz w:val="20"/>
          <w:szCs w:val="20"/>
          <w:color w:val="auto"/>
        </w:rPr>
      </w:pPr>
    </w:p>
    <w:p>
      <w:pPr>
        <w:ind w:left="400" w:right="200" w:hanging="395"/>
        <w:spacing w:after="0" w:line="259" w:lineRule="auto"/>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 participant's service as an employee of the Manager ended resulting in the forfeiture of 2,393 PUs as provided in the Plans (as defined below).</w:t>
      </w:r>
    </w:p>
    <w:p>
      <w:pPr>
        <w:ind w:left="400" w:right="100" w:hanging="395"/>
        <w:spacing w:after="0" w:line="242" w:lineRule="auto"/>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the number of shares of common stock issuable upon the vesting of the remaining outstanding PUs as of December 31, 2023 was reduced by 14,365 shares as a result of a book value impairment event that occurred pursuant to the terms of the long term equity incentive compensation plans (the “Plans”) established under the Company’s Incentive Plans. The book value impairment event occurred when the Company's book value per share declined by more than 15% during the quarter ended September 30, 2023 and the Company’s book value per share decline from July 1, 2023 to December 31, 2023 was more than 10%. The Plans provide that if such a book value impairment event occurs, then the number of outstanding PUs that are outstanding as of the last day of such two quarter period shall be reduced by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800"/>
          </w:cols>
          <w:pgMar w:left="720" w:top="1060" w:right="720" w:bottom="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Stock Awards</w:t>
      </w:r>
    </w:p>
    <w:p>
      <w:pPr>
        <w:spacing w:after="0" w:line="233" w:lineRule="exact"/>
        <w:rPr>
          <w:sz w:val="20"/>
          <w:szCs w:val="20"/>
          <w:color w:val="auto"/>
        </w:rPr>
      </w:pPr>
    </w:p>
    <w:p>
      <w:pPr>
        <w:ind w:right="20" w:firstLine="499"/>
        <w:spacing w:after="0" w:line="247" w:lineRule="auto"/>
        <w:rPr>
          <w:sz w:val="20"/>
          <w:szCs w:val="20"/>
          <w:color w:val="auto"/>
        </w:rPr>
      </w:pPr>
      <w:r>
        <w:rPr>
          <w:rFonts w:ascii="Times New Roman" w:cs="Times New Roman" w:eastAsia="Times New Roman" w:hAnsi="Times New Roman"/>
          <w:sz w:val="20"/>
          <w:szCs w:val="20"/>
          <w:color w:val="auto"/>
        </w:rPr>
        <w:t>The Company has issued, and may in the future issue additional, immediately vested common stock under the Incentive Plans to certain executive officers and employees of its Manager. Compensation expense for the stock awards is based on the fair value of the Company’s common stock on the grant date and is included in incentive compensation in the statements of comprehensive income (loss) . The following table presents information related to fully vested common stock issued during the years ended December 31, 2025 and 2024. All of the fully vested shares of common stock issued during the years ended December 31, 2025 and 2024, and the related compensation expense, were granted with respect to service performed during the previous fiscal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6"/>
        </w:trPr>
        <w:tc>
          <w:tcPr>
            <w:tcW w:w="7560" w:type="dxa"/>
            <w:vAlign w:val="bottom"/>
            <w:tcBorders>
              <w:top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Fully vested shares granted</w:t>
            </w:r>
          </w:p>
        </w:tc>
        <w:tc>
          <w:tcPr>
            <w:tcW w:w="120" w:type="dxa"/>
            <w:vAlign w:val="bottom"/>
            <w:tcBorders>
              <w:top w:val="single" w:sz="8" w:color="DDDDDD"/>
            </w:tcBorders>
            <w:shd w:val="clear" w:color="auto" w:fill="DDDDDD"/>
          </w:tcPr>
          <w:p>
            <w:pPr>
              <w:spacing w:after="0"/>
              <w:rPr>
                <w:sz w:val="17"/>
                <w:szCs w:val="17"/>
                <w:color w:val="auto"/>
              </w:rPr>
            </w:pPr>
          </w:p>
        </w:tc>
        <w:tc>
          <w:tcPr>
            <w:tcW w:w="880" w:type="dxa"/>
            <w:vAlign w:val="bottom"/>
            <w:tcBorders>
              <w:top w:val="single" w:sz="8" w:color="auto"/>
            </w:tcBorders>
            <w:shd w:val="clear" w:color="auto" w:fill="DDDDDD"/>
          </w:tcPr>
          <w:p>
            <w:pPr>
              <w:spacing w:after="0"/>
              <w:rPr>
                <w:sz w:val="17"/>
                <w:szCs w:val="17"/>
                <w:color w:val="auto"/>
              </w:rPr>
            </w:pPr>
          </w:p>
        </w:tc>
        <w:tc>
          <w:tcPr>
            <w:tcW w:w="520" w:type="dxa"/>
            <w:vAlign w:val="bottom"/>
            <w:tcBorders>
              <w:top w:val="single" w:sz="8" w:color="auto"/>
            </w:tcBorders>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18,137</w:t>
            </w:r>
          </w:p>
        </w:tc>
        <w:tc>
          <w:tcPr>
            <w:tcW w:w="10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DDDDDD"/>
            </w:tcBorders>
            <w:shd w:val="clear" w:color="auto" w:fill="DDDDDD"/>
          </w:tcPr>
          <w:p>
            <w:pPr>
              <w:spacing w:after="0"/>
              <w:rPr>
                <w:sz w:val="17"/>
                <w:szCs w:val="17"/>
                <w:color w:val="auto"/>
              </w:rPr>
            </w:pPr>
          </w:p>
        </w:tc>
        <w:tc>
          <w:tcPr>
            <w:tcW w:w="100" w:type="dxa"/>
            <w:vAlign w:val="bottom"/>
            <w:tcBorders>
              <w:top w:val="single" w:sz="8" w:color="auto"/>
            </w:tcBorders>
            <w:shd w:val="clear" w:color="auto" w:fill="DDDDDD"/>
          </w:tcPr>
          <w:p>
            <w:pPr>
              <w:spacing w:after="0"/>
              <w:rPr>
                <w:sz w:val="17"/>
                <w:szCs w:val="17"/>
                <w:color w:val="auto"/>
              </w:rPr>
            </w:pPr>
          </w:p>
        </w:tc>
        <w:tc>
          <w:tcPr>
            <w:tcW w:w="1400" w:type="dxa"/>
            <w:vAlign w:val="bottom"/>
            <w:tcBorders>
              <w:top w:val="single" w:sz="8" w:color="auto"/>
            </w:tcBorders>
            <w:shd w:val="clear" w:color="auto" w:fill="DDDDDD"/>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36,773</w:t>
            </w:r>
          </w:p>
        </w:tc>
      </w:tr>
      <w:tr>
        <w:trPr>
          <w:trHeight w:val="21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price per share</w:t>
            </w:r>
          </w:p>
        </w:tc>
        <w:tc>
          <w:tcPr>
            <w:tcW w:w="1000" w:type="dxa"/>
            <w:vAlign w:val="bottom"/>
            <w:gridSpan w:val="2"/>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r>
      <w:tr>
        <w:trPr>
          <w:trHeight w:val="218"/>
        </w:trPr>
        <w:tc>
          <w:tcPr>
            <w:tcW w:w="7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Compensation expense related to fully vested shares of common stock awards</w:t>
            </w:r>
            <w:r>
              <w:rPr>
                <w:rFonts w:ascii="Times New Roman" w:cs="Times New Roman" w:eastAsia="Times New Roman" w:hAnsi="Times New Roman"/>
                <w:sz w:val="10"/>
                <w:szCs w:val="10"/>
                <w:color w:val="auto"/>
              </w:rPr>
              <w:t>(1)</w:t>
            </w:r>
          </w:p>
        </w:tc>
        <w:tc>
          <w:tcPr>
            <w:tcW w:w="12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jc w:val="right"/>
              <w:ind w:right="715"/>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5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400" w:type="dxa"/>
            <w:vAlign w:val="bottom"/>
            <w:tcBorders>
              <w:bottom w:val="single" w:sz="8" w:color="auto"/>
            </w:tcBorders>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bl>
    <w:p>
      <w:pPr>
        <w:spacing w:after="0" w:line="217" w:lineRule="exact"/>
        <w:rPr>
          <w:sz w:val="20"/>
          <w:szCs w:val="20"/>
          <w:color w:val="auto"/>
        </w:rPr>
      </w:pPr>
    </w:p>
    <w:p>
      <w:pPr>
        <w:jc w:val="both"/>
        <w:ind w:left="400" w:right="400" w:hanging="395"/>
        <w:spacing w:after="0" w:line="258" w:lineRule="auto"/>
        <w:tabs>
          <w:tab w:leader="none" w:pos="3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issued during the years ended December 31, 2025 and 2024 were granted with respect to service performed in 2024 and 2023, respectively. Compensation expense accrued related to the share awards was $0.6 million for both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Stock Units</w:t>
      </w:r>
    </w:p>
    <w:p>
      <w:pPr>
        <w:spacing w:after="0" w:line="235" w:lineRule="exact"/>
        <w:rPr>
          <w:sz w:val="20"/>
          <w:szCs w:val="20"/>
          <w:color w:val="auto"/>
        </w:rPr>
      </w:pPr>
    </w:p>
    <w:p>
      <w:pPr>
        <w:ind w:right="160" w:firstLine="499"/>
        <w:spacing w:after="0" w:line="246" w:lineRule="auto"/>
        <w:rPr>
          <w:sz w:val="20"/>
          <w:szCs w:val="20"/>
          <w:color w:val="auto"/>
        </w:rPr>
      </w:pPr>
      <w:r>
        <w:rPr>
          <w:rFonts w:ascii="Times New Roman" w:cs="Times New Roman" w:eastAsia="Times New Roman" w:hAnsi="Times New Roman"/>
          <w:sz w:val="20"/>
          <w:szCs w:val="20"/>
          <w:color w:val="auto"/>
        </w:rPr>
        <w:t>Non-employee directors receive a portion of their compensation in the form of DSU awards pursuant to the Incentive Plans. Each DSU represents a right to receive one share of the Company’s common stock. Each non-employee director may elect to receive all of his or her compensation in the form of DSUs. The DSUs are immediately vested and are settled at a future date based on the election of the individual participant. Compensation expense for the DSUs is included in directors’ fees and liability insurance in the statements of comprehensive income (loss). The DSUs contain dividend equivalent rights, which entitle the participant to receive distributions declared by the Company on common stock. These distributions will be made in the form of cash or additional DSUs at the participant’s election. The DSUs do not include the right to vote the underlying shares of common stock.</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information related to the DSUs outstanding during the years ended December 31, 2025 and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thousands,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top w:val="single" w:sz="8" w:color="auto"/>
            </w:tcBorders>
          </w:tcPr>
          <w:p>
            <w:pPr>
              <w:spacing w:after="0"/>
              <w:rPr>
                <w:sz w:val="18"/>
                <w:szCs w:val="18"/>
                <w:color w:val="auto"/>
              </w:rPr>
            </w:pPr>
          </w:p>
        </w:tc>
      </w:tr>
      <w:tr>
        <w:trPr>
          <w:trHeight w:val="190"/>
        </w:trPr>
        <w:tc>
          <w:tcPr>
            <w:tcW w:w="5720" w:type="dxa"/>
            <w:vAlign w:val="bottom"/>
          </w:tcPr>
          <w:p>
            <w:pPr>
              <w:spacing w:after="0"/>
              <w:rPr>
                <w:sz w:val="16"/>
                <w:szCs w:val="16"/>
                <w:color w:val="auto"/>
              </w:rPr>
            </w:pPr>
          </w:p>
        </w:tc>
        <w:tc>
          <w:tcPr>
            <w:tcW w:w="1269" w:type="dxa"/>
            <w:vAlign w:val="bottom"/>
            <w:tcBorders>
              <w:top w:val="single" w:sz="8" w:color="auto"/>
            </w:tcBorders>
          </w:tcPr>
          <w:p>
            <w:pPr>
              <w:spacing w:after="0"/>
              <w:rPr>
                <w:sz w:val="16"/>
                <w:szCs w:val="16"/>
                <w:color w:val="auto"/>
              </w:rPr>
            </w:pPr>
          </w:p>
        </w:tc>
        <w:tc>
          <w:tcPr>
            <w:tcW w:w="131"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10"/>
              <w:spacing w:after="0" w:line="19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285" w:type="dxa"/>
            <w:vAlign w:val="bottom"/>
            <w:tcBorders>
              <w:top w:val="single" w:sz="8" w:color="auto"/>
            </w:tcBorders>
          </w:tcPr>
          <w:p>
            <w:pPr>
              <w:spacing w:after="0"/>
              <w:rPr>
                <w:sz w:val="16"/>
                <w:szCs w:val="16"/>
                <w:color w:val="auto"/>
              </w:rPr>
            </w:pPr>
          </w:p>
        </w:tc>
        <w:tc>
          <w:tcPr>
            <w:tcW w:w="115"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30"/>
              <w:spacing w:after="0" w:line="190"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8"/>
        </w:trPr>
        <w:tc>
          <w:tcPr>
            <w:tcW w:w="5720" w:type="dxa"/>
            <w:vAlign w:val="bottom"/>
          </w:tcPr>
          <w:p>
            <w:pPr>
              <w:spacing w:after="0"/>
              <w:rPr>
                <w:sz w:val="18"/>
                <w:szCs w:val="18"/>
                <w:color w:val="auto"/>
              </w:rPr>
            </w:pPr>
          </w:p>
        </w:tc>
        <w:tc>
          <w:tcPr>
            <w:tcW w:w="1269" w:type="dxa"/>
            <w:vAlign w:val="bottom"/>
          </w:tcPr>
          <w:p>
            <w:pPr>
              <w:spacing w:after="0"/>
              <w:rPr>
                <w:sz w:val="18"/>
                <w:szCs w:val="18"/>
                <w:color w:val="auto"/>
              </w:rPr>
            </w:pPr>
          </w:p>
        </w:tc>
        <w:tc>
          <w:tcPr>
            <w:tcW w:w="131"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8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720" w:type="dxa"/>
            <w:vAlign w:val="bottom"/>
          </w:tcPr>
          <w:p>
            <w:pPr>
              <w:spacing w:after="0"/>
              <w:rPr>
                <w:sz w:val="18"/>
                <w:szCs w:val="18"/>
                <w:color w:val="auto"/>
              </w:rPr>
            </w:pPr>
          </w:p>
        </w:tc>
        <w:tc>
          <w:tcPr>
            <w:tcW w:w="1269" w:type="dxa"/>
            <w:vAlign w:val="bottom"/>
          </w:tcPr>
          <w:p>
            <w:pPr>
              <w:spacing w:after="0"/>
              <w:rPr>
                <w:sz w:val="18"/>
                <w:szCs w:val="18"/>
                <w:color w:val="auto"/>
              </w:rPr>
            </w:pPr>
          </w:p>
        </w:tc>
        <w:tc>
          <w:tcPr>
            <w:tcW w:w="131"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285" w:type="dxa"/>
            <w:vAlign w:val="bottom"/>
          </w:tcPr>
          <w:p>
            <w:pPr>
              <w:spacing w:after="0"/>
              <w:rPr>
                <w:sz w:val="18"/>
                <w:szCs w:val="18"/>
                <w:color w:val="auto"/>
              </w:rPr>
            </w:pPr>
          </w:p>
        </w:tc>
        <w:tc>
          <w:tcPr>
            <w:tcW w:w="115"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6"/>
        </w:trPr>
        <w:tc>
          <w:tcPr>
            <w:tcW w:w="5720" w:type="dxa"/>
            <w:vAlign w:val="bottom"/>
            <w:tcBorders>
              <w:bottom w:val="single" w:sz="8" w:color="auto"/>
            </w:tcBorders>
          </w:tcPr>
          <w:p>
            <w:pPr>
              <w:spacing w:after="0"/>
              <w:rPr>
                <w:sz w:val="20"/>
                <w:szCs w:val="20"/>
                <w:color w:val="auto"/>
              </w:rPr>
            </w:pPr>
          </w:p>
        </w:tc>
        <w:tc>
          <w:tcPr>
            <w:tcW w:w="1269"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1"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Borders>
              <w:bottom w:val="single" w:sz="8" w:color="auto"/>
            </w:tcBorders>
          </w:tcPr>
          <w:p>
            <w:pPr>
              <w:spacing w:after="0"/>
              <w:rPr>
                <w:sz w:val="20"/>
                <w:szCs w:val="20"/>
                <w:color w:val="auto"/>
              </w:rPr>
            </w:pPr>
          </w:p>
        </w:tc>
        <w:tc>
          <w:tcPr>
            <w:tcW w:w="1285"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5"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6"/>
        </w:trPr>
        <w:tc>
          <w:tcPr>
            <w:tcW w:w="5720"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Outstanding, beginning of period</w:t>
            </w:r>
          </w:p>
        </w:tc>
        <w:tc>
          <w:tcPr>
            <w:tcW w:w="1269" w:type="dxa"/>
            <w:vAlign w:val="bottom"/>
            <w:shd w:val="clear" w:color="auto" w:fill="DDDDDD"/>
          </w:tcPr>
          <w:p>
            <w:pPr>
              <w:jc w:val="right"/>
              <w:ind w:right="99"/>
              <w:spacing w:after="0" w:line="206" w:lineRule="exact"/>
              <w:rPr>
                <w:sz w:val="20"/>
                <w:szCs w:val="20"/>
                <w:color w:val="auto"/>
              </w:rPr>
            </w:pPr>
            <w:r>
              <w:rPr>
                <w:rFonts w:ascii="Times New Roman" w:cs="Times New Roman" w:eastAsia="Times New Roman" w:hAnsi="Times New Roman"/>
                <w:sz w:val="18"/>
                <w:szCs w:val="18"/>
                <w:color w:val="auto"/>
              </w:rPr>
              <w:t>154,385</w:t>
            </w:r>
          </w:p>
        </w:tc>
        <w:tc>
          <w:tcPr>
            <w:tcW w:w="131"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100" w:type="dxa"/>
            <w:vAlign w:val="bottom"/>
            <w:shd w:val="clear" w:color="auto" w:fill="DDDDDD"/>
          </w:tcPr>
          <w:p>
            <w:pPr>
              <w:jc w:val="right"/>
              <w:ind w:right="30"/>
              <w:spacing w:after="0" w:line="206" w:lineRule="exact"/>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DDDDDD"/>
          </w:tcPr>
          <w:p>
            <w:pPr>
              <w:spacing w:after="0"/>
              <w:rPr>
                <w:sz w:val="17"/>
                <w:szCs w:val="17"/>
                <w:color w:val="auto"/>
              </w:rPr>
            </w:pPr>
          </w:p>
        </w:tc>
        <w:tc>
          <w:tcPr>
            <w:tcW w:w="1285" w:type="dxa"/>
            <w:vAlign w:val="bottom"/>
            <w:shd w:val="clear" w:color="auto" w:fill="DDDDDD"/>
          </w:tcPr>
          <w:p>
            <w:pPr>
              <w:jc w:val="right"/>
              <w:ind w:right="115"/>
              <w:spacing w:after="0" w:line="206" w:lineRule="exact"/>
              <w:rPr>
                <w:sz w:val="20"/>
                <w:szCs w:val="20"/>
                <w:color w:val="auto"/>
              </w:rPr>
            </w:pPr>
            <w:r>
              <w:rPr>
                <w:rFonts w:ascii="Times New Roman" w:cs="Times New Roman" w:eastAsia="Times New Roman" w:hAnsi="Times New Roman"/>
                <w:sz w:val="18"/>
                <w:szCs w:val="18"/>
                <w:color w:val="auto"/>
              </w:rPr>
              <w:t>96,704</w:t>
            </w:r>
          </w:p>
        </w:tc>
        <w:tc>
          <w:tcPr>
            <w:tcW w:w="11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shd w:val="clear" w:color="auto" w:fill="DDDDDD"/>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15.69</w:t>
            </w:r>
          </w:p>
        </w:tc>
      </w:tr>
      <w:tr>
        <w:trPr>
          <w:trHeight w:val="221"/>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Granted and vested</w:t>
            </w:r>
          </w:p>
        </w:tc>
        <w:tc>
          <w:tcPr>
            <w:tcW w:w="1269"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78,583</w:t>
            </w:r>
          </w:p>
        </w:tc>
        <w:tc>
          <w:tcPr>
            <w:tcW w:w="131"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1385"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57,681</w:t>
            </w:r>
          </w:p>
        </w:tc>
        <w:tc>
          <w:tcPr>
            <w:tcW w:w="115"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229"/>
        </w:trPr>
        <w:tc>
          <w:tcPr>
            <w:tcW w:w="5720"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Outstanding, end of period</w:t>
            </w:r>
          </w:p>
        </w:tc>
        <w:tc>
          <w:tcPr>
            <w:tcW w:w="1269" w:type="dxa"/>
            <w:vAlign w:val="bottom"/>
            <w:tcBorders>
              <w:bottom w:val="single" w:sz="8" w:color="DDDDDD"/>
            </w:tcBorders>
            <w:shd w:val="clear" w:color="auto" w:fill="DDDDDD"/>
          </w:tcPr>
          <w:p>
            <w:pPr>
              <w:jc w:val="right"/>
              <w:ind w:right="99"/>
              <w:spacing w:after="0" w:line="201" w:lineRule="exact"/>
              <w:rPr>
                <w:sz w:val="20"/>
                <w:szCs w:val="20"/>
                <w:color w:val="auto"/>
              </w:rPr>
            </w:pPr>
            <w:r>
              <w:rPr>
                <w:rFonts w:ascii="Times New Roman" w:cs="Times New Roman" w:eastAsia="Times New Roman" w:hAnsi="Times New Roman"/>
                <w:sz w:val="18"/>
                <w:szCs w:val="18"/>
                <w:color w:val="auto"/>
              </w:rPr>
              <w:t>232,968</w:t>
            </w:r>
          </w:p>
        </w:tc>
        <w:tc>
          <w:tcPr>
            <w:tcW w:w="131"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100" w:type="dxa"/>
            <w:vAlign w:val="bottom"/>
            <w:tcBorders>
              <w:bottom w:val="single" w:sz="8" w:color="DDDDDD"/>
            </w:tcBorders>
            <w:shd w:val="clear" w:color="auto" w:fill="DDDDDD"/>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DDDDDD"/>
            </w:tcBorders>
            <w:shd w:val="clear" w:color="auto" w:fill="DDDDDD"/>
          </w:tcPr>
          <w:p>
            <w:pPr>
              <w:spacing w:after="0"/>
              <w:rPr>
                <w:sz w:val="19"/>
                <w:szCs w:val="19"/>
                <w:color w:val="auto"/>
              </w:rPr>
            </w:pPr>
          </w:p>
        </w:tc>
        <w:tc>
          <w:tcPr>
            <w:tcW w:w="1285" w:type="dxa"/>
            <w:vAlign w:val="bottom"/>
            <w:tcBorders>
              <w:bottom w:val="single" w:sz="8" w:color="DDDDDD"/>
            </w:tcBorders>
            <w:shd w:val="clear" w:color="auto" w:fill="DDDDDD"/>
          </w:tcPr>
          <w:p>
            <w:pPr>
              <w:jc w:val="right"/>
              <w:ind w:right="115"/>
              <w:spacing w:after="0" w:line="201" w:lineRule="exact"/>
              <w:rPr>
                <w:sz w:val="20"/>
                <w:szCs w:val="20"/>
                <w:color w:val="auto"/>
              </w:rPr>
            </w:pPr>
            <w:r>
              <w:rPr>
                <w:rFonts w:ascii="Times New Roman" w:cs="Times New Roman" w:eastAsia="Times New Roman" w:hAnsi="Times New Roman"/>
                <w:sz w:val="18"/>
                <w:szCs w:val="18"/>
                <w:color w:val="auto"/>
              </w:rPr>
              <w:t>154,385</w:t>
            </w:r>
          </w:p>
        </w:tc>
        <w:tc>
          <w:tcPr>
            <w:tcW w:w="115"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tcBorders>
              <w:bottom w:val="single" w:sz="8" w:color="DDDDDD"/>
            </w:tcBorders>
            <w:shd w:val="clear" w:color="auto" w:fill="DDDDDD"/>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rPr>
              <w:t>12.98</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1269" w:type="dxa"/>
            <w:vAlign w:val="bottom"/>
            <w:tcBorders>
              <w:top w:val="single" w:sz="8" w:color="auto"/>
              <w:bottom w:val="single" w:sz="8" w:color="auto"/>
            </w:tcBorders>
          </w:tcPr>
          <w:p>
            <w:pPr>
              <w:spacing w:after="0" w:line="20" w:lineRule="exact"/>
              <w:rPr>
                <w:sz w:val="1"/>
                <w:szCs w:val="1"/>
                <w:color w:val="auto"/>
              </w:rPr>
            </w:pPr>
          </w:p>
        </w:tc>
        <w:tc>
          <w:tcPr>
            <w:tcW w:w="131"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5" w:type="dxa"/>
            <w:vAlign w:val="bottom"/>
            <w:tcBorders>
              <w:top w:val="single" w:sz="8" w:color="auto"/>
              <w:bottom w:val="single" w:sz="8" w:color="auto"/>
            </w:tcBorders>
          </w:tcPr>
          <w:p>
            <w:pPr>
              <w:spacing w:after="0" w:line="20" w:lineRule="exact"/>
              <w:rPr>
                <w:sz w:val="1"/>
                <w:szCs w:val="1"/>
                <w:color w:val="auto"/>
              </w:rPr>
            </w:pPr>
          </w:p>
        </w:tc>
        <w:tc>
          <w:tcPr>
            <w:tcW w:w="115"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5720" w:type="dxa"/>
            <w:vAlign w:val="bottom"/>
            <w:tcBorders>
              <w:bottom w:val="single" w:sz="8" w:color="auto"/>
            </w:tcBorders>
          </w:tcPr>
          <w:p>
            <w:pPr>
              <w:spacing w:after="0"/>
              <w:rPr>
                <w:sz w:val="17"/>
                <w:szCs w:val="17"/>
                <w:color w:val="auto"/>
              </w:rPr>
            </w:pPr>
          </w:p>
        </w:tc>
        <w:tc>
          <w:tcPr>
            <w:tcW w:w="1269" w:type="dxa"/>
            <w:vAlign w:val="bottom"/>
            <w:tcBorders>
              <w:bottom w:val="single" w:sz="8" w:color="auto"/>
            </w:tcBorders>
          </w:tcPr>
          <w:p>
            <w:pPr>
              <w:spacing w:after="0"/>
              <w:rPr>
                <w:sz w:val="17"/>
                <w:szCs w:val="17"/>
                <w:color w:val="auto"/>
              </w:rPr>
            </w:pPr>
          </w:p>
        </w:tc>
        <w:tc>
          <w:tcPr>
            <w:tcW w:w="131"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5" w:type="dxa"/>
            <w:vAlign w:val="bottom"/>
            <w:tcBorders>
              <w:bottom w:val="single" w:sz="8" w:color="auto"/>
            </w:tcBorders>
          </w:tcPr>
          <w:p>
            <w:pPr>
              <w:spacing w:after="0"/>
              <w:rPr>
                <w:sz w:val="17"/>
                <w:szCs w:val="17"/>
                <w:color w:val="auto"/>
              </w:rPr>
            </w:pPr>
          </w:p>
        </w:tc>
        <w:tc>
          <w:tcPr>
            <w:tcW w:w="115"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6"/>
        </w:trPr>
        <w:tc>
          <w:tcPr>
            <w:tcW w:w="5720"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Compensation expense during period</w:t>
            </w:r>
          </w:p>
        </w:tc>
        <w:tc>
          <w:tcPr>
            <w:tcW w:w="1269" w:type="dxa"/>
            <w:vAlign w:val="bottom"/>
            <w:shd w:val="clear" w:color="auto" w:fill="DDDDDD"/>
          </w:tcPr>
          <w:p>
            <w:pPr>
              <w:spacing w:after="0"/>
              <w:rPr>
                <w:sz w:val="17"/>
                <w:szCs w:val="17"/>
                <w:color w:val="auto"/>
              </w:rPr>
            </w:pPr>
          </w:p>
        </w:tc>
        <w:tc>
          <w:tcPr>
            <w:tcW w:w="131"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100" w:type="dxa"/>
            <w:vAlign w:val="bottom"/>
            <w:shd w:val="clear" w:color="auto" w:fill="DDDDDD"/>
          </w:tcPr>
          <w:p>
            <w:pPr>
              <w:jc w:val="right"/>
              <w:ind w:right="30"/>
              <w:spacing w:after="0" w:line="206" w:lineRule="exact"/>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DDDDDD"/>
          </w:tcPr>
          <w:p>
            <w:pPr>
              <w:spacing w:after="0"/>
              <w:rPr>
                <w:sz w:val="17"/>
                <w:szCs w:val="17"/>
                <w:color w:val="auto"/>
              </w:rPr>
            </w:pPr>
          </w:p>
        </w:tc>
        <w:tc>
          <w:tcPr>
            <w:tcW w:w="1285" w:type="dxa"/>
            <w:vAlign w:val="bottom"/>
            <w:shd w:val="clear" w:color="auto" w:fill="DDDDDD"/>
          </w:tcPr>
          <w:p>
            <w:pPr>
              <w:spacing w:after="0"/>
              <w:rPr>
                <w:sz w:val="17"/>
                <w:szCs w:val="17"/>
                <w:color w:val="auto"/>
              </w:rPr>
            </w:pPr>
          </w:p>
        </w:tc>
        <w:tc>
          <w:tcPr>
            <w:tcW w:w="11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080" w:type="dxa"/>
            <w:vAlign w:val="bottom"/>
            <w:shd w:val="clear" w:color="auto" w:fill="DDDDDD"/>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429</w:t>
            </w:r>
          </w:p>
        </w:tc>
      </w:tr>
      <w:tr>
        <w:trPr>
          <w:trHeight w:val="217"/>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Intrinsic value, end of period</w:t>
            </w:r>
          </w:p>
        </w:tc>
        <w:tc>
          <w:tcPr>
            <w:tcW w:w="1269" w:type="dxa"/>
            <w:vAlign w:val="bottom"/>
            <w:tcBorders>
              <w:bottom w:val="single" w:sz="8" w:color="auto"/>
            </w:tcBorders>
          </w:tcPr>
          <w:p>
            <w:pPr>
              <w:spacing w:after="0"/>
              <w:rPr>
                <w:sz w:val="18"/>
                <w:szCs w:val="18"/>
                <w:color w:val="auto"/>
              </w:rPr>
            </w:pPr>
          </w:p>
        </w:tc>
        <w:tc>
          <w:tcPr>
            <w:tcW w:w="131"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auto"/>
            </w:tcBorders>
          </w:tcPr>
          <w:p>
            <w:pPr>
              <w:spacing w:after="0"/>
              <w:rPr>
                <w:sz w:val="18"/>
                <w:szCs w:val="18"/>
                <w:color w:val="auto"/>
              </w:rPr>
            </w:pPr>
          </w:p>
        </w:tc>
        <w:tc>
          <w:tcPr>
            <w:tcW w:w="1285" w:type="dxa"/>
            <w:vAlign w:val="bottom"/>
            <w:tcBorders>
              <w:bottom w:val="single" w:sz="8" w:color="auto"/>
            </w:tcBorders>
          </w:tcPr>
          <w:p>
            <w:pPr>
              <w:spacing w:after="0"/>
              <w:rPr>
                <w:sz w:val="18"/>
                <w:szCs w:val="18"/>
                <w:color w:val="auto"/>
              </w:rPr>
            </w:pPr>
          </w:p>
        </w:tc>
        <w:tc>
          <w:tcPr>
            <w:tcW w:w="11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-428625</wp:posOffset>
                </wp:positionV>
                <wp:extent cx="68580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3.7499pt" to="540.2pt,-33.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-12700</wp:posOffset>
                </wp:positionV>
                <wp:extent cx="68580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pt" to="540.2pt,-1pt" o:allowincell="f" strokecolor="#FFFFFF" strokeweight="0.36pt"/>
            </w:pict>
          </mc:Fallback>
        </mc:AlternateConten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COMMITMENTS AND CONTINGENCIES</w:t>
      </w:r>
    </w:p>
    <w:p>
      <w:pPr>
        <w:spacing w:after="0" w:line="235" w:lineRule="exact"/>
        <w:rPr>
          <w:sz w:val="20"/>
          <w:szCs w:val="20"/>
          <w:color w:val="auto"/>
        </w:rPr>
      </w:pPr>
    </w:p>
    <w:p>
      <w:pPr>
        <w:ind w:right="440" w:firstLine="499"/>
        <w:spacing w:after="0" w:line="277" w:lineRule="auto"/>
        <w:rPr>
          <w:sz w:val="20"/>
          <w:szCs w:val="20"/>
          <w:color w:val="auto"/>
        </w:rPr>
      </w:pPr>
      <w:r>
        <w:rPr>
          <w:rFonts w:ascii="Times New Roman" w:cs="Times New Roman" w:eastAsia="Times New Roman" w:hAnsi="Times New Roman"/>
          <w:sz w:val="20"/>
          <w:szCs w:val="20"/>
          <w:color w:val="auto"/>
        </w:rPr>
        <w:t>From time to time, the Company may become involved in various claims and legal actions arising in the ordinary course of business. Management is not aware of any reported or unreported contingencies as of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INCOME TAXES</w:t>
      </w:r>
    </w:p>
    <w:p>
      <w:pPr>
        <w:spacing w:after="0" w:line="235"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20"/>
          <w:szCs w:val="20"/>
          <w:color w:val="auto"/>
        </w:rPr>
        <w:t>The Company will generally not be subject to U.S. federal income tax on its REIT taxable income to the extent that it distributes its REIT taxable income to its stockholders and satisfies the ongoing REIT requirements, including meeting certain asset, income and stock ownership tests. A REIT must generally distribute at least 90% of its REIT taxable income, determined without regard to the deductions for dividends paid and excluding net capital gain, to its stockholders annually to maintain REIT status. An amount equal to the sum of 85% of its REIT ordinary income and 95% of its REIT capital gain net income, plus certain undistributed income from prior taxable years, must be distributed within the taxable year in order to avoid the imposition of a 4% excise tax. The remaining balance may be distributed up to the end of the following taxable year, provided the REIT elects to treat such amount as a prior year distribution and meets certain other requirements.</w:t>
      </w:r>
    </w:p>
    <w:p>
      <w:pPr>
        <w:sectPr>
          <w:pgSz w:w="12240" w:h="15840" w:orient="portrait"/>
          <w:cols w:equalWidth="0" w:num="1">
            <w:col w:w="10800"/>
          </w:cols>
          <w:pgMar w:left="720" w:top="7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800"/>
          </w:cols>
          <w:pgMar w:left="720" w:top="784" w:right="720" w:bottom="0" w:gutter="0" w:footer="0" w:header="0"/>
          <w:type w:val="continuous"/>
        </w:sectPr>
      </w:pPr>
    </w:p>
    <w:bookmarkStart w:id="94" w:name="page95"/>
    <w:bookmarkEnd w:id="94"/>
    <w:p>
      <w:pPr>
        <w:ind w:firstLine="499"/>
        <w:spacing w:after="0" w:line="252" w:lineRule="auto"/>
        <w:rPr>
          <w:sz w:val="20"/>
          <w:szCs w:val="20"/>
          <w:color w:val="auto"/>
        </w:rPr>
      </w:pPr>
      <w:r>
        <w:rPr>
          <w:rFonts w:ascii="Times New Roman" w:cs="Times New Roman" w:eastAsia="Times New Roman" w:hAnsi="Times New Roman"/>
          <w:sz w:val="20"/>
          <w:szCs w:val="20"/>
          <w:color w:val="auto"/>
        </w:rPr>
        <w:t>REIT taxable income (loss) is computed in accordance with the Code, which is different than the Company’s financial statement net income (loss) computed in accordance with GAAP. Book to tax differences primarily relate to the recognition of interest income on RMBS, unrealized gains and losses on RMBS, and the amortization of losses on derivative instruments that are treated as hedges for tax purposes.</w:t>
      </w:r>
    </w:p>
    <w:p>
      <w:pPr>
        <w:spacing w:after="0" w:line="184" w:lineRule="exact"/>
        <w:rPr>
          <w:sz w:val="20"/>
          <w:szCs w:val="20"/>
          <w:color w:val="auto"/>
        </w:rPr>
      </w:pPr>
    </w:p>
    <w:p>
      <w:pPr>
        <w:ind w:right="140" w:firstLine="499"/>
        <w:spacing w:after="0" w:line="277" w:lineRule="auto"/>
        <w:rPr>
          <w:sz w:val="20"/>
          <w:szCs w:val="20"/>
          <w:color w:val="auto"/>
        </w:rPr>
      </w:pPr>
      <w:r>
        <w:rPr>
          <w:rFonts w:ascii="Times New Roman" w:cs="Times New Roman" w:eastAsia="Times New Roman" w:hAnsi="Times New Roman"/>
          <w:sz w:val="20"/>
          <w:szCs w:val="20"/>
          <w:color w:val="auto"/>
        </w:rPr>
        <w:t>As of December 31, 2025, we had distributed all of our estimated REIT taxable income through fiscal year 2025. Accordingly, no income tax provision was recorded for 2025, 2024 and 2023.</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EARNINGS PER SHARE (EPS)</w:t>
      </w:r>
    </w:p>
    <w:p>
      <w:pPr>
        <w:spacing w:after="0" w:line="235" w:lineRule="exact"/>
        <w:rPr>
          <w:sz w:val="20"/>
          <w:szCs w:val="20"/>
          <w:color w:val="auto"/>
        </w:rPr>
      </w:pPr>
    </w:p>
    <w:p>
      <w:pPr>
        <w:ind w:right="80" w:firstLine="499"/>
        <w:spacing w:after="0" w:line="249" w:lineRule="auto"/>
        <w:rPr>
          <w:sz w:val="20"/>
          <w:szCs w:val="20"/>
          <w:color w:val="auto"/>
        </w:rPr>
      </w:pPr>
      <w:r>
        <w:rPr>
          <w:rFonts w:ascii="Times New Roman" w:cs="Times New Roman" w:eastAsia="Times New Roman" w:hAnsi="Times New Roman"/>
          <w:sz w:val="20"/>
          <w:szCs w:val="20"/>
          <w:color w:val="auto"/>
        </w:rPr>
        <w:t>The Company had dividend eligible PUs and DSUs that were outstanding during the years ended December 31, 2025, 2024 and 2023. The basic and diluted per share computations include these unvested PUs and DSUs if there is income available to common stock, as they have dividend participation rights. The unvested PUs and DSUs have no contractual obligation to share in losses. Because there is no such obligation, the unvested PUs and DSUs are not included in the basic and diluted EPS computations when no income is available to common stock even though they are considered participating securities.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table below reconciles the numerator and denominator of EPS for the years ended December 31, 2025, 2024 and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per-share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5" w:type="dxa"/>
            <w:vAlign w:val="bottom"/>
            <w:tcBorders>
              <w:top w:val="single" w:sz="8" w:color="auto"/>
              <w:bottom w:val="single" w:sz="8" w:color="auto"/>
            </w:tcBorders>
          </w:tcPr>
          <w:p>
            <w:pPr>
              <w:spacing w:after="0"/>
              <w:rPr>
                <w:sz w:val="18"/>
                <w:szCs w:val="18"/>
                <w:color w:val="auto"/>
              </w:rPr>
            </w:pPr>
          </w:p>
        </w:tc>
        <w:tc>
          <w:tcPr>
            <w:tcW w:w="135" w:type="dxa"/>
            <w:vAlign w:val="bottom"/>
            <w:tcBorders>
              <w:top w:val="single" w:sz="8" w:color="auto"/>
              <w:bottom w:val="single" w:sz="8" w:color="auto"/>
            </w:tcBorders>
          </w:tcPr>
          <w:p>
            <w:pPr>
              <w:spacing w:after="0"/>
              <w:rPr>
                <w:sz w:val="18"/>
                <w:szCs w:val="18"/>
                <w:color w:val="auto"/>
              </w:rPr>
            </w:pPr>
          </w:p>
        </w:tc>
        <w:tc>
          <w:tcPr>
            <w:tcW w:w="1485"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5" w:type="dxa"/>
            <w:vAlign w:val="bottom"/>
            <w:tcBorders>
              <w:top w:val="single" w:sz="8" w:color="auto"/>
              <w:bottom w:val="single" w:sz="8" w:color="auto"/>
            </w:tcBorders>
          </w:tcPr>
          <w:p>
            <w:pPr>
              <w:spacing w:after="0"/>
              <w:rPr>
                <w:sz w:val="18"/>
                <w:szCs w:val="18"/>
                <w:color w:val="auto"/>
              </w:rPr>
            </w:pPr>
          </w:p>
        </w:tc>
        <w:tc>
          <w:tcPr>
            <w:tcW w:w="1485"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5"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r>
      <w:tr>
        <w:trPr>
          <w:trHeight w:val="208"/>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Numerator for basic and diluted EPS per share of common stock:</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1"/>
        </w:trPr>
        <w:tc>
          <w:tcPr>
            <w:tcW w:w="6025"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 Basic and diluted</w:t>
            </w:r>
          </w:p>
        </w:tc>
        <w:tc>
          <w:tcPr>
            <w:tcW w:w="135"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1485"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159,030</w:t>
            </w:r>
          </w:p>
        </w:tc>
        <w:tc>
          <w:tcPr>
            <w:tcW w:w="135"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1485"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37,662</w:t>
            </w:r>
          </w:p>
        </w:tc>
        <w:tc>
          <w:tcPr>
            <w:tcW w:w="135"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2"/>
        </w:trPr>
        <w:tc>
          <w:tcPr>
            <w:tcW w:w="602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48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48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602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48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48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7"/>
        </w:trPr>
        <w:tc>
          <w:tcPr>
            <w:tcW w:w="6025" w:type="dxa"/>
            <w:vAlign w:val="bottom"/>
            <w:shd w:val="clear" w:color="auto" w:fill="DDDDDD"/>
          </w:tcPr>
          <w:p>
            <w:pPr>
              <w:spacing w:after="0" w:line="197"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135" w:type="dxa"/>
            <w:vAlign w:val="bottom"/>
            <w:shd w:val="clear" w:color="auto" w:fill="DDDDDD"/>
          </w:tcPr>
          <w:p>
            <w:pPr>
              <w:spacing w:after="0"/>
              <w:rPr>
                <w:sz w:val="17"/>
                <w:szCs w:val="17"/>
                <w:color w:val="auto"/>
              </w:rPr>
            </w:pPr>
          </w:p>
        </w:tc>
        <w:tc>
          <w:tcPr>
            <w:tcW w:w="1485" w:type="dxa"/>
            <w:vAlign w:val="bottom"/>
            <w:shd w:val="clear" w:color="auto" w:fill="DDDDDD"/>
          </w:tcPr>
          <w:p>
            <w:pPr>
              <w:spacing w:after="0"/>
              <w:rPr>
                <w:sz w:val="17"/>
                <w:szCs w:val="17"/>
                <w:color w:val="auto"/>
              </w:rPr>
            </w:pPr>
          </w:p>
        </w:tc>
        <w:tc>
          <w:tcPr>
            <w:tcW w:w="135" w:type="dxa"/>
            <w:vAlign w:val="bottom"/>
            <w:shd w:val="clear" w:color="auto" w:fill="DDDDDD"/>
          </w:tcPr>
          <w:p>
            <w:pPr>
              <w:spacing w:after="0"/>
              <w:rPr>
                <w:sz w:val="17"/>
                <w:szCs w:val="17"/>
                <w:color w:val="auto"/>
              </w:rPr>
            </w:pPr>
          </w:p>
        </w:tc>
        <w:tc>
          <w:tcPr>
            <w:tcW w:w="1485" w:type="dxa"/>
            <w:vAlign w:val="bottom"/>
            <w:shd w:val="clear" w:color="auto" w:fill="DDDDDD"/>
          </w:tcPr>
          <w:p>
            <w:pPr>
              <w:spacing w:after="0"/>
              <w:rPr>
                <w:sz w:val="17"/>
                <w:szCs w:val="17"/>
                <w:color w:val="auto"/>
              </w:rPr>
            </w:pPr>
          </w:p>
        </w:tc>
        <w:tc>
          <w:tcPr>
            <w:tcW w:w="135"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r>
      <w:tr>
        <w:trPr>
          <w:trHeight w:val="218"/>
        </w:trPr>
        <w:tc>
          <w:tcPr>
            <w:tcW w:w="6025"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of common stock outstanding at the balance sheet date</w:t>
            </w:r>
          </w:p>
        </w:tc>
        <w:tc>
          <w:tcPr>
            <w:tcW w:w="135" w:type="dxa"/>
            <w:vAlign w:val="bottom"/>
          </w:tcPr>
          <w:p>
            <w:pPr>
              <w:spacing w:after="0"/>
              <w:rPr>
                <w:sz w:val="18"/>
                <w:szCs w:val="18"/>
                <w:color w:val="auto"/>
              </w:rPr>
            </w:pPr>
          </w:p>
        </w:tc>
        <w:tc>
          <w:tcPr>
            <w:tcW w:w="1485"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181,986</w:t>
            </w:r>
          </w:p>
        </w:tc>
        <w:tc>
          <w:tcPr>
            <w:tcW w:w="135" w:type="dxa"/>
            <w:vAlign w:val="bottom"/>
          </w:tcPr>
          <w:p>
            <w:pPr>
              <w:spacing w:after="0"/>
              <w:rPr>
                <w:sz w:val="18"/>
                <w:szCs w:val="18"/>
                <w:color w:val="auto"/>
              </w:rPr>
            </w:pPr>
          </w:p>
        </w:tc>
        <w:tc>
          <w:tcPr>
            <w:tcW w:w="1485"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82,622</w:t>
            </w:r>
          </w:p>
        </w:tc>
        <w:tc>
          <w:tcPr>
            <w:tcW w:w="135"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51,636</w:t>
            </w:r>
          </w:p>
        </w:tc>
        <w:tc>
          <w:tcPr>
            <w:tcW w:w="100" w:type="dxa"/>
            <w:vAlign w:val="bottom"/>
          </w:tcPr>
          <w:p>
            <w:pPr>
              <w:spacing w:after="0"/>
              <w:rPr>
                <w:sz w:val="18"/>
                <w:szCs w:val="18"/>
                <w:color w:val="auto"/>
              </w:rPr>
            </w:pPr>
          </w:p>
        </w:tc>
      </w:tr>
      <w:tr>
        <w:trPr>
          <w:trHeight w:val="211"/>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Unvested dividend eligible share based compensation outstanding at the balance</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r>
      <w:tr>
        <w:trPr>
          <w:trHeight w:val="211"/>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sheet date</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284</w:t>
            </w:r>
          </w:p>
        </w:tc>
        <w:tc>
          <w:tcPr>
            <w:tcW w:w="135" w:type="dxa"/>
            <w:vAlign w:val="bottom"/>
            <w:shd w:val="clear" w:color="auto" w:fill="DDDDDD"/>
          </w:tcPr>
          <w:p>
            <w:pPr>
              <w:spacing w:after="0"/>
              <w:rPr>
                <w:sz w:val="18"/>
                <w:szCs w:val="18"/>
                <w:color w:val="auto"/>
              </w:rPr>
            </w:pPr>
          </w:p>
        </w:tc>
        <w:tc>
          <w:tcPr>
            <w:tcW w:w="1485" w:type="dxa"/>
            <w:vAlign w:val="bottom"/>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235</w:t>
            </w:r>
          </w:p>
        </w:tc>
        <w:tc>
          <w:tcPr>
            <w:tcW w:w="135"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DDDDD"/>
          </w:tcPr>
          <w:p>
            <w:pPr>
              <w:spacing w:after="0"/>
              <w:rPr>
                <w:sz w:val="18"/>
                <w:szCs w:val="18"/>
                <w:color w:val="auto"/>
              </w:rPr>
            </w:pPr>
          </w:p>
        </w:tc>
      </w:tr>
      <w:tr>
        <w:trPr>
          <w:trHeight w:val="221"/>
        </w:trPr>
        <w:tc>
          <w:tcPr>
            <w:tcW w:w="6025"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Effect of weighting</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(53,968 )</w:t>
            </w:r>
          </w:p>
        </w:tc>
        <w:tc>
          <w:tcPr>
            <w:tcW w:w="135" w:type="dxa"/>
            <w:vAlign w:val="bottom"/>
            <w:tcBorders>
              <w:bottom w:val="single" w:sz="8" w:color="auto"/>
            </w:tcBorders>
          </w:tcPr>
          <w:p>
            <w:pPr>
              <w:spacing w:after="0"/>
              <w:rPr>
                <w:sz w:val="19"/>
                <w:szCs w:val="19"/>
                <w:color w:val="auto"/>
              </w:rPr>
            </w:pPr>
          </w:p>
        </w:tc>
        <w:tc>
          <w:tcPr>
            <w:tcW w:w="1485"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(17,408 )</w:t>
            </w:r>
          </w:p>
        </w:tc>
        <w:tc>
          <w:tcPr>
            <w:tcW w:w="135"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(6,987 )</w:t>
            </w:r>
          </w:p>
        </w:tc>
      </w:tr>
      <w:tr>
        <w:trPr>
          <w:trHeight w:val="230"/>
        </w:trPr>
        <w:tc>
          <w:tcPr>
            <w:tcW w:w="6025" w:type="dxa"/>
            <w:vAlign w:val="bottom"/>
            <w:tcBorders>
              <w:bottom w:val="single" w:sz="8" w:color="DDDDDD"/>
            </w:tcBorders>
            <w:shd w:val="clear" w:color="auto" w:fill="DDDDDD"/>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shares-basic and diluted</w:t>
            </w:r>
          </w:p>
        </w:tc>
        <w:tc>
          <w:tcPr>
            <w:tcW w:w="135" w:type="dxa"/>
            <w:vAlign w:val="bottom"/>
            <w:tcBorders>
              <w:bottom w:val="single" w:sz="8" w:color="DDDDDD"/>
            </w:tcBorders>
            <w:shd w:val="clear" w:color="auto" w:fill="DDDDDD"/>
          </w:tcPr>
          <w:p>
            <w:pPr>
              <w:spacing w:after="0"/>
              <w:rPr>
                <w:sz w:val="19"/>
                <w:szCs w:val="19"/>
                <w:color w:val="auto"/>
              </w:rPr>
            </w:pPr>
          </w:p>
        </w:tc>
        <w:tc>
          <w:tcPr>
            <w:tcW w:w="1485" w:type="dxa"/>
            <w:vAlign w:val="bottom"/>
            <w:tcBorders>
              <w:bottom w:val="single" w:sz="8" w:color="DDDDDD"/>
            </w:tcBorders>
            <w:shd w:val="clear" w:color="auto" w:fill="DDDDDD"/>
          </w:tcPr>
          <w:p>
            <w:pPr>
              <w:jc w:val="right"/>
              <w:ind w:right="95"/>
              <w:spacing w:after="0" w:line="201" w:lineRule="exact"/>
              <w:rPr>
                <w:sz w:val="20"/>
                <w:szCs w:val="20"/>
                <w:color w:val="auto"/>
              </w:rPr>
            </w:pPr>
            <w:r>
              <w:rPr>
                <w:rFonts w:ascii="Times New Roman" w:cs="Times New Roman" w:eastAsia="Times New Roman" w:hAnsi="Times New Roman"/>
                <w:sz w:val="18"/>
                <w:szCs w:val="18"/>
                <w:color w:val="auto"/>
              </w:rPr>
              <w:t>128,302</w:t>
            </w:r>
          </w:p>
        </w:tc>
        <w:tc>
          <w:tcPr>
            <w:tcW w:w="135" w:type="dxa"/>
            <w:vAlign w:val="bottom"/>
            <w:tcBorders>
              <w:bottom w:val="single" w:sz="8" w:color="DDDDDD"/>
            </w:tcBorders>
            <w:shd w:val="clear" w:color="auto" w:fill="DDDDDD"/>
          </w:tcPr>
          <w:p>
            <w:pPr>
              <w:spacing w:after="0"/>
              <w:rPr>
                <w:sz w:val="19"/>
                <w:szCs w:val="19"/>
                <w:color w:val="auto"/>
              </w:rPr>
            </w:pPr>
          </w:p>
        </w:tc>
        <w:tc>
          <w:tcPr>
            <w:tcW w:w="1485" w:type="dxa"/>
            <w:vAlign w:val="bottom"/>
            <w:tcBorders>
              <w:bottom w:val="single" w:sz="8" w:color="DDDDDD"/>
            </w:tcBorders>
            <w:shd w:val="clear" w:color="auto" w:fill="DDDDDD"/>
          </w:tcPr>
          <w:p>
            <w:pPr>
              <w:jc w:val="right"/>
              <w:ind w:right="95"/>
              <w:spacing w:after="0" w:line="201" w:lineRule="exact"/>
              <w:rPr>
                <w:sz w:val="20"/>
                <w:szCs w:val="20"/>
                <w:color w:val="auto"/>
              </w:rPr>
            </w:pPr>
            <w:r>
              <w:rPr>
                <w:rFonts w:ascii="Times New Roman" w:cs="Times New Roman" w:eastAsia="Times New Roman" w:hAnsi="Times New Roman"/>
                <w:sz w:val="18"/>
                <w:szCs w:val="18"/>
                <w:color w:val="auto"/>
              </w:rPr>
              <w:t>65,449</w:t>
            </w:r>
          </w:p>
        </w:tc>
        <w:tc>
          <w:tcPr>
            <w:tcW w:w="135" w:type="dxa"/>
            <w:vAlign w:val="bottom"/>
            <w:tcBorders>
              <w:bottom w:val="single" w:sz="8" w:color="DDDDDD"/>
            </w:tcBorders>
            <w:shd w:val="clear" w:color="auto" w:fill="DDDDDD"/>
          </w:tcPr>
          <w:p>
            <w:pPr>
              <w:spacing w:after="0"/>
              <w:rPr>
                <w:sz w:val="19"/>
                <w:szCs w:val="19"/>
                <w:color w:val="auto"/>
              </w:rPr>
            </w:pPr>
          </w:p>
        </w:tc>
        <w:tc>
          <w:tcPr>
            <w:tcW w:w="1300" w:type="dxa"/>
            <w:vAlign w:val="bottom"/>
            <w:tcBorders>
              <w:bottom w:val="single" w:sz="8" w:color="DDDDDD"/>
            </w:tcBorders>
            <w:shd w:val="clear" w:color="auto" w:fill="DDDDDD"/>
          </w:tcPr>
          <w:p>
            <w:pPr>
              <w:jc w:val="right"/>
              <w:spacing w:after="0" w:line="201" w:lineRule="exact"/>
              <w:rPr>
                <w:sz w:val="20"/>
                <w:szCs w:val="20"/>
                <w:color w:val="auto"/>
              </w:rPr>
            </w:pPr>
            <w:r>
              <w:rPr>
                <w:rFonts w:ascii="Times New Roman" w:cs="Times New Roman" w:eastAsia="Times New Roman" w:hAnsi="Times New Roman"/>
                <w:sz w:val="18"/>
                <w:szCs w:val="18"/>
                <w:color w:val="auto"/>
              </w:rPr>
              <w:t>44,649</w:t>
            </w:r>
          </w:p>
        </w:tc>
        <w:tc>
          <w:tcPr>
            <w:tcW w:w="100" w:type="dxa"/>
            <w:vAlign w:val="bottom"/>
            <w:tcBorders>
              <w:bottom w:val="single" w:sz="8" w:color="DDDDDD"/>
            </w:tcBorders>
            <w:shd w:val="clear" w:color="auto" w:fill="DDDDDD"/>
          </w:tcPr>
          <w:p>
            <w:pPr>
              <w:spacing w:after="0"/>
              <w:rPr>
                <w:sz w:val="19"/>
                <w:szCs w:val="19"/>
                <w:color w:val="auto"/>
              </w:rPr>
            </w:pPr>
          </w:p>
        </w:tc>
      </w:tr>
      <w:tr>
        <w:trPr>
          <w:trHeight w:val="20"/>
        </w:trPr>
        <w:tc>
          <w:tcPr>
            <w:tcW w:w="602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025"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135" w:type="dxa"/>
            <w:vAlign w:val="bottom"/>
          </w:tcPr>
          <w:p>
            <w:pPr>
              <w:spacing w:after="0"/>
              <w:rPr>
                <w:sz w:val="17"/>
                <w:szCs w:val="17"/>
                <w:color w:val="auto"/>
              </w:rPr>
            </w:pPr>
          </w:p>
        </w:tc>
        <w:tc>
          <w:tcPr>
            <w:tcW w:w="1485"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1485"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025"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tcBorders>
              <w:bottom w:val="single" w:sz="8" w:color="DDDDDD"/>
            </w:tcBorders>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1.24</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485" w:type="dxa"/>
            <w:vAlign w:val="bottom"/>
            <w:tcBorders>
              <w:bottom w:val="single" w:sz="8" w:color="DDDDDD"/>
            </w:tcBorders>
            <w:shd w:val="clear" w:color="auto" w:fill="DDDDDD"/>
          </w:tcPr>
          <w:p>
            <w:pPr>
              <w:jc w:val="right"/>
              <w:ind w:right="95"/>
              <w:spacing w:after="0"/>
              <w:rPr>
                <w:sz w:val="20"/>
                <w:szCs w:val="20"/>
                <w:color w:val="auto"/>
              </w:rPr>
            </w:pPr>
            <w:r>
              <w:rPr>
                <w:rFonts w:ascii="Times New Roman" w:cs="Times New Roman" w:eastAsia="Times New Roman" w:hAnsi="Times New Roman"/>
                <w:sz w:val="18"/>
                <w:szCs w:val="18"/>
                <w:color w:val="auto"/>
              </w:rPr>
              <w:t>0.57</w:t>
            </w:r>
          </w:p>
        </w:tc>
        <w:tc>
          <w:tcPr>
            <w:tcW w:w="135"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0"/>
        </w:trPr>
        <w:tc>
          <w:tcPr>
            <w:tcW w:w="602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485" w:type="dxa"/>
            <w:vAlign w:val="bottom"/>
            <w:tcBorders>
              <w:top w:val="single" w:sz="8" w:color="auto"/>
              <w:bottom w:val="single" w:sz="8" w:color="auto"/>
            </w:tcBorders>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Anti-dilutive incentive shares not included in calculation.</w:t>
            </w:r>
          </w:p>
        </w:tc>
        <w:tc>
          <w:tcPr>
            <w:tcW w:w="135" w:type="dxa"/>
            <w:vAlign w:val="bottom"/>
            <w:tcBorders>
              <w:bottom w:val="single" w:sz="8" w:color="auto"/>
            </w:tcBorders>
          </w:tcPr>
          <w:p>
            <w:pPr>
              <w:spacing w:after="0"/>
              <w:rPr>
                <w:sz w:val="18"/>
                <w:szCs w:val="18"/>
                <w:color w:val="auto"/>
              </w:rPr>
            </w:pPr>
          </w:p>
        </w:tc>
        <w:tc>
          <w:tcPr>
            <w:tcW w:w="1485"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5" w:type="dxa"/>
            <w:vAlign w:val="bottom"/>
            <w:tcBorders>
              <w:bottom w:val="single" w:sz="8" w:color="auto"/>
            </w:tcBorders>
          </w:tcPr>
          <w:p>
            <w:pPr>
              <w:spacing w:after="0"/>
              <w:rPr>
                <w:sz w:val="18"/>
                <w:szCs w:val="18"/>
                <w:color w:val="auto"/>
              </w:rPr>
            </w:pPr>
          </w:p>
        </w:tc>
        <w:tc>
          <w:tcPr>
            <w:tcW w:w="1485"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5"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auto"/>
            </w:tcBorders>
          </w:tcPr>
          <w:p>
            <w:pPr>
              <w:spacing w:after="0"/>
              <w:rPr>
                <w:sz w:val="18"/>
                <w:szCs w:val="18"/>
                <w:color w:val="auto"/>
              </w:rPr>
            </w:pPr>
          </w:p>
        </w:tc>
      </w:tr>
      <w:tr>
        <w:trPr>
          <w:trHeight w:val="20"/>
        </w:trPr>
        <w:tc>
          <w:tcPr>
            <w:tcW w:w="602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48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485" w:type="dxa"/>
            <w:vAlign w:val="bottom"/>
            <w:tcBorders>
              <w:bottom w:val="single" w:sz="8" w:color="auto"/>
            </w:tcBorders>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-1387475</wp:posOffset>
                </wp:positionV>
                <wp:extent cx="68580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3715">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9.2499pt" to="540.2pt,-109.2499pt" o:allowincell="f" strokecolor="#FFFFFF" strokeweight="1.07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-485140</wp:posOffset>
                </wp:positionV>
                <wp:extent cx="68580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8.1999pt" to="540.2pt,-38.1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-173990</wp:posOffset>
                </wp:positionV>
                <wp:extent cx="68580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6999pt" to="540.2pt,-13.6999pt" o:allowincell="f" strokecolor="#FFFFFF" strokeweight="0.1399pt"/>
            </w:pict>
          </mc:Fallback>
        </mc:AlternateConten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FAIR VALUE</w:t>
      </w:r>
    </w:p>
    <w:p>
      <w:pPr>
        <w:spacing w:after="0" w:line="233" w:lineRule="exact"/>
        <w:rPr>
          <w:sz w:val="20"/>
          <w:szCs w:val="20"/>
          <w:color w:val="auto"/>
        </w:rPr>
      </w:pPr>
    </w:p>
    <w:p>
      <w:pPr>
        <w:ind w:right="120" w:firstLine="499"/>
        <w:spacing w:after="0" w:line="249" w:lineRule="auto"/>
        <w:rPr>
          <w:sz w:val="20"/>
          <w:szCs w:val="20"/>
          <w:color w:val="auto"/>
        </w:rPr>
      </w:pPr>
      <w:r>
        <w:rPr>
          <w:rFonts w:ascii="Times New Roman" w:cs="Times New Roman" w:eastAsia="Times New Roman" w:hAnsi="Times New Roman"/>
          <w:sz w:val="20"/>
          <w:szCs w:val="20"/>
          <w:color w:val="auto"/>
        </w:rPr>
        <w:t>The framework for using fair value to measure assets and liabilities defines fair value as the price that would be received to sell an asset or paid to transfer a liability (an exit price). A fair value measure should reflect the assumptions that market participants would use in pricing the asset or liability, including the assumptions about the risk inherent in a particular valuation technique, the effect of a restriction on the sale or use of an asset and the risk of non-performance. Required disclosures include presentation of balance sheet amounts measured at fair value based on inputs the Company uses to derive fair value measurements. These inputs are:</w:t>
      </w:r>
    </w:p>
    <w:p>
      <w:pPr>
        <w:spacing w:after="0" w:line="192" w:lineRule="exact"/>
        <w:rPr>
          <w:sz w:val="20"/>
          <w:szCs w:val="20"/>
          <w:color w:val="auto"/>
        </w:rPr>
      </w:pPr>
    </w:p>
    <w:p>
      <w:pPr>
        <w:ind w:left="780" w:right="360" w:hanging="403"/>
        <w:spacing w:after="0" w:line="258" w:lineRule="auto"/>
        <w:tabs>
          <w:tab w:leader="none" w:pos="7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valuations, where the valuation is based on quoted market prices for identical assets or liabilities traded in active markets (which include exchanges and over-the-counter markets with sufficient volume),</w:t>
      </w:r>
    </w:p>
    <w:p>
      <w:pPr>
        <w:spacing w:after="0" w:line="1" w:lineRule="exact"/>
        <w:rPr>
          <w:rFonts w:ascii="Times New Roman" w:cs="Times New Roman" w:eastAsia="Times New Roman" w:hAnsi="Times New Roman"/>
          <w:sz w:val="20"/>
          <w:szCs w:val="20"/>
          <w:color w:val="auto"/>
        </w:rPr>
      </w:pPr>
    </w:p>
    <w:p>
      <w:pPr>
        <w:jc w:val="both"/>
        <w:ind w:left="780" w:right="300" w:hanging="442"/>
        <w:spacing w:after="0" w:line="243" w:lineRule="auto"/>
        <w:tabs>
          <w:tab w:leader="none" w:pos="7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valuations, where the valuation is based on quoted market prices for similar instruments traded in active markets, quoted prices for identical or similar instruments in markets that are not active and model-based valuation techniques for which all significant assumptions are observable in the market, and</w:t>
      </w:r>
    </w:p>
    <w:p>
      <w:pPr>
        <w:spacing w:after="0" w:line="2" w:lineRule="exact"/>
        <w:rPr>
          <w:rFonts w:ascii="Times New Roman" w:cs="Times New Roman" w:eastAsia="Times New Roman" w:hAnsi="Times New Roman"/>
          <w:sz w:val="20"/>
          <w:szCs w:val="20"/>
          <w:color w:val="auto"/>
        </w:rPr>
      </w:pPr>
    </w:p>
    <w:p>
      <w:pPr>
        <w:ind w:left="780" w:right="440" w:hanging="442"/>
        <w:spacing w:after="0" w:line="242" w:lineRule="auto"/>
        <w:tabs>
          <w:tab w:leader="none" w:pos="7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valuations, where the valuation is generated from model-based techniques that use significant assumptions not observable in the market, but observable based on Company-specific data. These unobservable assumptions reflect the Company’s own estimates for assumptions that market participants would use in pricing the asset or liability. Valuation techniques typically include option pricing models, discounted cash flow models and similar techniques, but may also include the use of market prices of assets or liabilities that are not directly comparable to the subject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800"/>
          </w:cols>
          <w:pgMar w:left="720" w:top="788" w:right="720" w:bottom="0" w:gutter="0" w:footer="0" w:header="0"/>
        </w:sectPr>
      </w:pPr>
    </w:p>
    <w:bookmarkStart w:id="95" w:name="page96"/>
    <w:bookmarkEnd w:id="95"/>
    <w:p>
      <w:pPr>
        <w:ind w:firstLine="499"/>
        <w:spacing w:after="0" w:line="242" w:lineRule="auto"/>
        <w:rPr>
          <w:sz w:val="20"/>
          <w:szCs w:val="20"/>
          <w:color w:val="auto"/>
        </w:rPr>
      </w:pPr>
      <w:r>
        <w:rPr>
          <w:rFonts w:ascii="Times New Roman" w:cs="Times New Roman" w:eastAsia="Times New Roman" w:hAnsi="Times New Roman"/>
          <w:sz w:val="20"/>
          <w:szCs w:val="20"/>
          <w:color w:val="auto"/>
        </w:rPr>
        <w:t>The Company's RMBS and TBA securities are Level 2 valuations, and such valuations are determined by the Company based on independent pricing sources and/or third party broker quotes, when available. Because the price estimates may vary, the Company must make certain judgments and assumptions about the appropriate price to use to calculate the fair values. The Company and the independent pricing sources use various valuation techniques to determine the price of the Company’s securities. These techniques include observing the most recent market for like or identical assets (including security coupon, maturity, yield, and prepayment speeds), spread pricing techniques to determine market credit spreads (option adjusted spread, zero volatility spread, spread to the U.S. Treasury curve or spread to a benchmark such as a TBA), and model driven approaches (the discounted cash flow method, Black Scholes and SABR models which rely upon observable market rates such as the term structure of interest rates and volatility). The appropriate spread pricing method used is based on market convention. The pricing source determines the spread of recently observed trade activity or observable markets for assets similar to those being priced. The spread is then adjusted based on variances in certain characteristics between the market observation and the asset being priced. Those characteristics include: type of asset, the expected life of the asset, the stability and predictability of the expected future cash flows of the asset, whether the coupon of the asset is fixed or adjustable, the guarantor of the security if applicable, the coupon, the maturity, the issuer, size of the underlying loans, year in which the underlying loans were originated, loan to value ratio, state in which the underlying loans reside, credit score of the underlying borrowers and other variables if appropriate. The fair value of the security is determined by using the adjusted spread.</w:t>
      </w:r>
    </w:p>
    <w:p>
      <w:pPr>
        <w:spacing w:after="0" w:line="202" w:lineRule="exact"/>
        <w:rPr>
          <w:sz w:val="20"/>
          <w:szCs w:val="20"/>
          <w:color w:val="auto"/>
        </w:rPr>
      </w:pPr>
    </w:p>
    <w:p>
      <w:pPr>
        <w:ind w:firstLine="499"/>
        <w:spacing w:after="0" w:line="259" w:lineRule="auto"/>
        <w:rPr>
          <w:sz w:val="20"/>
          <w:szCs w:val="20"/>
          <w:color w:val="auto"/>
        </w:rPr>
      </w:pPr>
      <w:r>
        <w:rPr>
          <w:rFonts w:ascii="Times New Roman" w:cs="Times New Roman" w:eastAsia="Times New Roman" w:hAnsi="Times New Roman"/>
          <w:sz w:val="20"/>
          <w:szCs w:val="20"/>
          <w:color w:val="auto"/>
        </w:rPr>
        <w:t>The Company’s U.S. Treasury securities that are based on quoted prices for identical instruments in active markets are classified as Level 1 assets. U.S. treasury securities are considered Level 2 investments when they were issued before the most recent issue and were still outstanding at measurement day.</w:t>
      </w:r>
    </w:p>
    <w:p>
      <w:pPr>
        <w:spacing w:after="0" w:line="175" w:lineRule="exact"/>
        <w:rPr>
          <w:sz w:val="20"/>
          <w:szCs w:val="20"/>
          <w:color w:val="auto"/>
        </w:rPr>
      </w:pPr>
    </w:p>
    <w:p>
      <w:pPr>
        <w:ind w:right="140" w:firstLine="500"/>
        <w:spacing w:after="0" w:line="249" w:lineRule="auto"/>
        <w:rPr>
          <w:sz w:val="20"/>
          <w:szCs w:val="20"/>
          <w:color w:val="auto"/>
        </w:rPr>
      </w:pPr>
      <w:r>
        <w:rPr>
          <w:rFonts w:ascii="Times New Roman" w:cs="Times New Roman" w:eastAsia="Times New Roman" w:hAnsi="Times New Roman"/>
          <w:sz w:val="20"/>
          <w:szCs w:val="20"/>
          <w:color w:val="auto"/>
        </w:rPr>
        <w:t>The Company’s futures contracts are Level 1 valuations, as they are exchange-traded instruments and quoted market prices are readily available. Futures contracts are settled daily. The Company’s interest rate swaps and interest rate swaptions are Level 2 valuations. The fair value of interest rate swaps is determined using a discounted cash flow approach using forward market interest rates and discount rates, which are observable inputs. The fair value of interest rate swaptions is determined using an option pricing model.</w:t>
      </w:r>
    </w:p>
    <w:p>
      <w:pPr>
        <w:spacing w:after="0" w:line="187" w:lineRule="exact"/>
        <w:rPr>
          <w:sz w:val="20"/>
          <w:szCs w:val="20"/>
          <w:color w:val="auto"/>
        </w:rPr>
      </w:pPr>
    </w:p>
    <w:p>
      <w:pPr>
        <w:ind w:right="80" w:firstLine="499"/>
        <w:spacing w:after="0" w:line="249" w:lineRule="auto"/>
        <w:rPr>
          <w:sz w:val="20"/>
          <w:szCs w:val="20"/>
          <w:color w:val="auto"/>
        </w:rPr>
      </w:pPr>
      <w:r>
        <w:rPr>
          <w:rFonts w:ascii="Times New Roman" w:cs="Times New Roman" w:eastAsia="Times New Roman" w:hAnsi="Times New Roman"/>
          <w:sz w:val="20"/>
          <w:szCs w:val="20"/>
          <w:color w:val="auto"/>
        </w:rPr>
        <w:t>RMBS, U.S. Treasury securities, derivatives and TBA securities were recorded at fair value on a recurring basis during the years ended December 31, 2025, 2024 and 2023. When determining fair value measurements, the Company considers the principal or most advantageous market in which it would transact and considers assumptions that market participants would use when pricing the asset. When possible, the Company looks to active and observable markets to price identical assets. When identical assets are not traded in active markets, the Company looks to market observable data for similar assets.</w:t>
      </w:r>
    </w:p>
    <w:p>
      <w:pPr>
        <w:spacing w:after="0" w:line="187" w:lineRule="exact"/>
        <w:rPr>
          <w:sz w:val="20"/>
          <w:szCs w:val="20"/>
          <w:color w:val="auto"/>
        </w:rPr>
      </w:pPr>
    </w:p>
    <w:p>
      <w:pPr>
        <w:ind w:right="120" w:firstLine="499"/>
        <w:spacing w:after="0" w:line="247" w:lineRule="auto"/>
        <w:rPr>
          <w:sz w:val="20"/>
          <w:szCs w:val="20"/>
          <w:color w:val="auto"/>
        </w:rPr>
      </w:pPr>
      <w:r>
        <w:rPr>
          <w:rFonts w:ascii="Times New Roman" w:cs="Times New Roman" w:eastAsia="Times New Roman" w:hAnsi="Times New Roman"/>
          <w:sz w:val="20"/>
          <w:szCs w:val="20"/>
          <w:color w:val="auto"/>
        </w:rPr>
        <w:t>The estimated fair value of cash and cash equivalents, restricted cash, accrued interest receivable, receivable for securities sold, other assets, due to affiliates, repurchase agreements, payable for unsettled securities purchased, accrued interest payable and other liabilities generally approximates their carrying values due to the short-term nature of these financial instruments as of December 31, 2025 and 2024. The Company estimates the fair value of the cash and cash equivalents using Level 1 inputs, and the accrued interest receivable, receivable for securities sold, other assets, due to affiliates, repurchase agreements, payable for unsettled securities purchased, accrued interest payable and other liabilities using Level 2 inputs.</w:t>
      </w:r>
    </w:p>
    <w:p>
      <w:pPr>
        <w:spacing w:after="0" w:line="191" w:lineRule="exact"/>
        <w:rPr>
          <w:sz w:val="20"/>
          <w:szCs w:val="20"/>
          <w:color w:val="auto"/>
        </w:rPr>
      </w:pPr>
    </w:p>
    <w:p>
      <w:pPr>
        <w:ind w:right="320" w:firstLine="499"/>
        <w:spacing w:after="0" w:line="277" w:lineRule="auto"/>
        <w:rPr>
          <w:sz w:val="20"/>
          <w:szCs w:val="20"/>
          <w:color w:val="auto"/>
        </w:rPr>
      </w:pPr>
      <w:r>
        <w:rPr>
          <w:rFonts w:ascii="Times New Roman" w:cs="Times New Roman" w:eastAsia="Times New Roman" w:hAnsi="Times New Roman"/>
          <w:sz w:val="20"/>
          <w:szCs w:val="20"/>
          <w:color w:val="auto"/>
        </w:rPr>
        <w:t>The following table presents financial assets (liabilities) measured at fair value on a recurring basis as of December 31, 2025 and 2024. Derivative contracts are reported as a net position by contract type, and not based on master netting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5" w:type="dxa"/>
            <w:vAlign w:val="bottom"/>
            <w:tcBorders>
              <w:top w:val="single" w:sz="8" w:color="auto"/>
            </w:tcBorders>
          </w:tcPr>
          <w:p>
            <w:pPr>
              <w:spacing w:after="0"/>
              <w:rPr>
                <w:sz w:val="16"/>
                <w:szCs w:val="16"/>
                <w:color w:val="auto"/>
              </w:rPr>
            </w:pPr>
          </w:p>
        </w:tc>
        <w:tc>
          <w:tcPr>
            <w:tcW w:w="135" w:type="dxa"/>
            <w:vAlign w:val="bottom"/>
            <w:tcBorders>
              <w:top w:val="single" w:sz="8" w:color="auto"/>
            </w:tcBorders>
          </w:tcPr>
          <w:p>
            <w:pPr>
              <w:spacing w:after="0"/>
              <w:rPr>
                <w:sz w:val="16"/>
                <w:szCs w:val="16"/>
                <w:color w:val="auto"/>
              </w:rPr>
            </w:pPr>
          </w:p>
        </w:tc>
        <w:tc>
          <w:tcPr>
            <w:tcW w:w="1479" w:type="dxa"/>
            <w:vAlign w:val="bottom"/>
            <w:tcBorders>
              <w:top w:val="single" w:sz="8" w:color="auto"/>
            </w:tcBorders>
          </w:tcPr>
          <w:p>
            <w:pPr>
              <w:jc w:val="center"/>
              <w:ind w:right="189"/>
              <w:spacing w:after="0" w:line="193"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41"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85" w:type="dxa"/>
            <w:vAlign w:val="bottom"/>
            <w:tcBorders>
              <w:top w:val="single" w:sz="8" w:color="auto"/>
            </w:tcBorders>
          </w:tcPr>
          <w:p>
            <w:pPr>
              <w:spacing w:after="0"/>
              <w:rPr>
                <w:sz w:val="16"/>
                <w:szCs w:val="16"/>
                <w:color w:val="auto"/>
              </w:rPr>
            </w:pPr>
          </w:p>
        </w:tc>
        <w:tc>
          <w:tcPr>
            <w:tcW w:w="135"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16"/>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79" w:type="dxa"/>
            <w:vAlign w:val="bottom"/>
          </w:tcPr>
          <w:p>
            <w:pPr>
              <w:jc w:val="center"/>
              <w:ind w:right="189"/>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41" w:type="dxa"/>
            <w:vAlign w:val="bottom"/>
          </w:tcPr>
          <w:p>
            <w:pPr>
              <w:spacing w:after="0"/>
              <w:rPr>
                <w:sz w:val="18"/>
                <w:szCs w:val="18"/>
                <w:color w:val="auto"/>
              </w:rPr>
            </w:pPr>
          </w:p>
        </w:tc>
        <w:tc>
          <w:tcPr>
            <w:tcW w:w="1485"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35"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79" w:type="dxa"/>
            <w:vAlign w:val="bottom"/>
          </w:tcPr>
          <w:p>
            <w:pPr>
              <w:jc w:val="center"/>
              <w:ind w:right="189"/>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41" w:type="dxa"/>
            <w:vAlign w:val="bottom"/>
          </w:tcPr>
          <w:p>
            <w:pPr>
              <w:spacing w:after="0"/>
              <w:rPr>
                <w:sz w:val="18"/>
                <w:szCs w:val="18"/>
                <w:color w:val="auto"/>
              </w:rPr>
            </w:pPr>
          </w:p>
        </w:tc>
        <w:tc>
          <w:tcPr>
            <w:tcW w:w="1485"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5"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79" w:type="dxa"/>
            <w:vAlign w:val="bottom"/>
          </w:tcPr>
          <w:p>
            <w:pPr>
              <w:jc w:val="center"/>
              <w:ind w:right="189"/>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41" w:type="dxa"/>
            <w:vAlign w:val="bottom"/>
          </w:tcPr>
          <w:p>
            <w:pPr>
              <w:spacing w:after="0"/>
              <w:rPr>
                <w:sz w:val="18"/>
                <w:szCs w:val="18"/>
                <w:color w:val="auto"/>
              </w:rPr>
            </w:pPr>
          </w:p>
        </w:tc>
        <w:tc>
          <w:tcPr>
            <w:tcW w:w="1485"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5"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602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79" w:type="dxa"/>
            <w:vAlign w:val="bottom"/>
          </w:tcPr>
          <w:p>
            <w:pPr>
              <w:jc w:val="center"/>
              <w:ind w:right="189"/>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1" w:type="dxa"/>
            <w:vAlign w:val="bottom"/>
          </w:tcPr>
          <w:p>
            <w:pPr>
              <w:spacing w:after="0"/>
              <w:rPr>
                <w:sz w:val="18"/>
                <w:szCs w:val="18"/>
                <w:color w:val="auto"/>
              </w:rPr>
            </w:pPr>
          </w:p>
        </w:tc>
        <w:tc>
          <w:tcPr>
            <w:tcW w:w="1485"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5"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6"/>
        </w:trPr>
        <w:tc>
          <w:tcPr>
            <w:tcW w:w="6025" w:type="dxa"/>
            <w:vAlign w:val="bottom"/>
            <w:tcBorders>
              <w:bottom w:val="single" w:sz="8" w:color="auto"/>
            </w:tcBorders>
          </w:tcPr>
          <w:p>
            <w:pPr>
              <w:spacing w:after="0"/>
              <w:rPr>
                <w:sz w:val="20"/>
                <w:szCs w:val="20"/>
                <w:color w:val="auto"/>
              </w:rPr>
            </w:pPr>
          </w:p>
        </w:tc>
        <w:tc>
          <w:tcPr>
            <w:tcW w:w="135" w:type="dxa"/>
            <w:vAlign w:val="bottom"/>
            <w:tcBorders>
              <w:bottom w:val="single" w:sz="8" w:color="auto"/>
            </w:tcBorders>
          </w:tcPr>
          <w:p>
            <w:pPr>
              <w:spacing w:after="0"/>
              <w:rPr>
                <w:sz w:val="20"/>
                <w:szCs w:val="20"/>
                <w:color w:val="auto"/>
              </w:rPr>
            </w:pPr>
          </w:p>
        </w:tc>
        <w:tc>
          <w:tcPr>
            <w:tcW w:w="1479"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1" w:type="dxa"/>
            <w:vAlign w:val="bottom"/>
            <w:tcBorders>
              <w:bottom w:val="single" w:sz="8" w:color="auto"/>
            </w:tcBorders>
          </w:tcPr>
          <w:p>
            <w:pPr>
              <w:spacing w:after="0"/>
              <w:rPr>
                <w:sz w:val="20"/>
                <w:szCs w:val="20"/>
                <w:color w:val="auto"/>
              </w:rPr>
            </w:pPr>
          </w:p>
        </w:tc>
        <w:tc>
          <w:tcPr>
            <w:tcW w:w="1485" w:type="dxa"/>
            <w:vAlign w:val="bottom"/>
            <w:tcBorders>
              <w:bottom w:val="single" w:sz="8" w:color="auto"/>
            </w:tcBorders>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5"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5" w:type="dxa"/>
            <w:vAlign w:val="bottom"/>
            <w:tcBorders>
              <w:bottom w:val="single" w:sz="8" w:color="auto"/>
            </w:tcBorders>
          </w:tcPr>
          <w:p>
            <w:pPr>
              <w:spacing w:after="0"/>
              <w:rPr>
                <w:sz w:val="18"/>
                <w:szCs w:val="18"/>
                <w:color w:val="auto"/>
              </w:rPr>
            </w:pPr>
          </w:p>
        </w:tc>
        <w:tc>
          <w:tcPr>
            <w:tcW w:w="1479" w:type="dxa"/>
            <w:vAlign w:val="bottom"/>
            <w:tcBorders>
              <w:bottom w:val="single" w:sz="8" w:color="auto"/>
            </w:tcBorders>
          </w:tcPr>
          <w:p>
            <w:pPr>
              <w:spacing w:after="0"/>
              <w:rPr>
                <w:sz w:val="18"/>
                <w:szCs w:val="18"/>
                <w:color w:val="auto"/>
              </w:rPr>
            </w:pPr>
          </w:p>
        </w:tc>
        <w:tc>
          <w:tcPr>
            <w:tcW w:w="141"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5" w:type="dxa"/>
            <w:vAlign w:val="bottom"/>
            <w:tcBorders>
              <w:bottom w:val="single" w:sz="8" w:color="auto"/>
            </w:tcBorders>
          </w:tcPr>
          <w:p>
            <w:pPr>
              <w:spacing w:after="0"/>
              <w:rPr>
                <w:sz w:val="18"/>
                <w:szCs w:val="18"/>
                <w:color w:val="auto"/>
              </w:rPr>
            </w:pPr>
          </w:p>
        </w:tc>
        <w:tc>
          <w:tcPr>
            <w:tcW w:w="135"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6"/>
        </w:trPr>
        <w:tc>
          <w:tcPr>
            <w:tcW w:w="6025"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Mortgage-backed securities</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79" w:type="dxa"/>
            <w:vAlign w:val="bottom"/>
            <w:shd w:val="clear" w:color="auto" w:fill="DDDDDD"/>
          </w:tcPr>
          <w:p>
            <w:pPr>
              <w:jc w:val="right"/>
              <w:ind w:right="89"/>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1"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10,628,658</w:t>
            </w:r>
          </w:p>
        </w:tc>
        <w:tc>
          <w:tcPr>
            <w:tcW w:w="185" w:type="dxa"/>
            <w:vAlign w:val="bottom"/>
            <w:shd w:val="clear" w:color="auto" w:fill="DDDDDD"/>
          </w:tcPr>
          <w:p>
            <w:pPr>
              <w:spacing w:after="0"/>
              <w:rPr>
                <w:sz w:val="17"/>
                <w:szCs w:val="17"/>
                <w:color w:val="auto"/>
              </w:rPr>
            </w:pP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shd w:val="clear" w:color="auto" w:fill="DDDDDD"/>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18"/>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141"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135,133</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141"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TBA securities</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141" w:type="dxa"/>
            <w:vAlign w:val="bottom"/>
          </w:tcPr>
          <w:p>
            <w:pPr>
              <w:spacing w:after="0"/>
              <w:rPr>
                <w:sz w:val="18"/>
                <w:szCs w:val="18"/>
                <w:color w:val="auto"/>
              </w:rPr>
            </w:pPr>
          </w:p>
        </w:tc>
        <w:tc>
          <w:tcPr>
            <w:tcW w:w="1485"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(831 )</w:t>
            </w:r>
          </w:p>
        </w:tc>
        <w:tc>
          <w:tcPr>
            <w:tcW w:w="135"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Obligation to return securities borrowed under reverse repurchase agreements</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141"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(128,724</w:t>
            </w:r>
          </w:p>
        </w:tc>
        <w:tc>
          <w:tcPr>
            <w:tcW w:w="185"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35"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5" w:type="dxa"/>
            <w:vAlign w:val="bottom"/>
            <w:tcBorders>
              <w:bottom w:val="single" w:sz="8" w:color="auto"/>
            </w:tcBorders>
          </w:tcPr>
          <w:p>
            <w:pPr>
              <w:spacing w:after="0"/>
              <w:rPr>
                <w:sz w:val="19"/>
                <w:szCs w:val="19"/>
                <w:color w:val="auto"/>
              </w:rPr>
            </w:pPr>
          </w:p>
        </w:tc>
        <w:tc>
          <w:tcPr>
            <w:tcW w:w="1479" w:type="dxa"/>
            <w:vAlign w:val="bottom"/>
            <w:tcBorders>
              <w:bottom w:val="single" w:sz="8" w:color="auto"/>
            </w:tcBorders>
          </w:tcPr>
          <w:p>
            <w:pPr>
              <w:spacing w:after="0"/>
              <w:rPr>
                <w:sz w:val="19"/>
                <w:szCs w:val="19"/>
                <w:color w:val="auto"/>
              </w:rPr>
            </w:pPr>
          </w:p>
        </w:tc>
        <w:tc>
          <w:tcPr>
            <w:tcW w:w="141"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85" w:type="dxa"/>
            <w:vAlign w:val="bottom"/>
            <w:tcBorders>
              <w:bottom w:val="single" w:sz="8" w:color="auto"/>
            </w:tcBorders>
          </w:tcPr>
          <w:p>
            <w:pPr>
              <w:spacing w:after="0"/>
              <w:rPr>
                <w:sz w:val="19"/>
                <w:szCs w:val="19"/>
                <w:color w:val="auto"/>
              </w:rPr>
            </w:pPr>
          </w:p>
        </w:tc>
        <w:tc>
          <w:tcPr>
            <w:tcW w:w="135"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6"/>
        </w:trPr>
        <w:tc>
          <w:tcPr>
            <w:tcW w:w="6025" w:type="dxa"/>
            <w:vAlign w:val="bottom"/>
            <w:shd w:val="clear" w:color="auto" w:fill="DDDDDD"/>
          </w:tcPr>
          <w:p>
            <w:pPr>
              <w:spacing w:after="0" w:line="206" w:lineRule="exact"/>
              <w:rPr>
                <w:sz w:val="20"/>
                <w:szCs w:val="20"/>
                <w:color w:val="auto"/>
              </w:rPr>
            </w:pPr>
            <w:r>
              <w:rPr>
                <w:rFonts w:ascii="Times New Roman" w:cs="Times New Roman" w:eastAsia="Times New Roman" w:hAnsi="Times New Roman"/>
                <w:sz w:val="18"/>
                <w:szCs w:val="18"/>
                <w:color w:val="auto"/>
              </w:rPr>
              <w:t>Mortgage-backed securities</w:t>
            </w: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79" w:type="dxa"/>
            <w:vAlign w:val="bottom"/>
            <w:shd w:val="clear" w:color="auto" w:fill="DDDDDD"/>
          </w:tcPr>
          <w:p>
            <w:pPr>
              <w:jc w:val="right"/>
              <w:ind w:right="89"/>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1"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30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5,253,310</w:t>
            </w:r>
          </w:p>
        </w:tc>
        <w:tc>
          <w:tcPr>
            <w:tcW w:w="185" w:type="dxa"/>
            <w:vAlign w:val="bottom"/>
            <w:shd w:val="clear" w:color="auto" w:fill="DDDDDD"/>
          </w:tcPr>
          <w:p>
            <w:pPr>
              <w:spacing w:after="0"/>
              <w:rPr>
                <w:sz w:val="17"/>
                <w:szCs w:val="17"/>
                <w:color w:val="auto"/>
              </w:rPr>
            </w:pPr>
          </w:p>
        </w:tc>
        <w:tc>
          <w:tcPr>
            <w:tcW w:w="135"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highlight w:val="lightGray"/>
              </w:rPr>
              <w:t>$</w:t>
            </w:r>
          </w:p>
        </w:tc>
        <w:tc>
          <w:tcPr>
            <w:tcW w:w="1400" w:type="dxa"/>
            <w:vAlign w:val="bottom"/>
            <w:shd w:val="clear" w:color="auto" w:fill="DDDDDD"/>
          </w:tcPr>
          <w:p>
            <w:pPr>
              <w:jc w:val="right"/>
              <w:ind w:right="10"/>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18"/>
        </w:trPr>
        <w:tc>
          <w:tcPr>
            <w:tcW w:w="6025"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5" w:type="dxa"/>
            <w:vAlign w:val="bottom"/>
          </w:tcPr>
          <w:p>
            <w:pPr>
              <w:spacing w:after="0"/>
              <w:rPr>
                <w:sz w:val="18"/>
                <w:szCs w:val="18"/>
                <w:color w:val="auto"/>
              </w:rPr>
            </w:pPr>
          </w:p>
        </w:tc>
        <w:tc>
          <w:tcPr>
            <w:tcW w:w="1479"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100,551</w:t>
            </w:r>
          </w:p>
        </w:tc>
        <w:tc>
          <w:tcPr>
            <w:tcW w:w="141"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5" w:type="dxa"/>
            <w:vAlign w:val="bottom"/>
          </w:tcPr>
          <w:p>
            <w:pPr>
              <w:spacing w:after="0"/>
              <w:rPr>
                <w:sz w:val="18"/>
                <w:szCs w:val="18"/>
                <w:color w:val="auto"/>
              </w:rPr>
            </w:pPr>
          </w:p>
        </w:tc>
        <w:tc>
          <w:tcPr>
            <w:tcW w:w="135"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5"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35" w:type="dxa"/>
            <w:vAlign w:val="bottom"/>
            <w:shd w:val="clear" w:color="auto" w:fill="DDDDDD"/>
          </w:tcPr>
          <w:p>
            <w:pPr>
              <w:spacing w:after="0"/>
              <w:rPr>
                <w:sz w:val="18"/>
                <w:szCs w:val="18"/>
                <w:color w:val="auto"/>
              </w:rPr>
            </w:pPr>
          </w:p>
        </w:tc>
        <w:tc>
          <w:tcPr>
            <w:tcW w:w="1479" w:type="dxa"/>
            <w:vAlign w:val="bottom"/>
            <w:shd w:val="clear" w:color="auto" w:fill="DDDDDD"/>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141"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85" w:type="dxa"/>
            <w:vAlign w:val="bottom"/>
            <w:shd w:val="clear" w:color="auto" w:fill="DDDDDD"/>
          </w:tcPr>
          <w:p>
            <w:pPr>
              <w:spacing w:after="0"/>
              <w:rPr>
                <w:sz w:val="18"/>
                <w:szCs w:val="18"/>
                <w:color w:val="auto"/>
              </w:rPr>
            </w:pPr>
          </w:p>
        </w:tc>
        <w:tc>
          <w:tcPr>
            <w:tcW w:w="135"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025"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TBA securities</w:t>
            </w:r>
          </w:p>
        </w:tc>
        <w:tc>
          <w:tcPr>
            <w:tcW w:w="135" w:type="dxa"/>
            <w:vAlign w:val="bottom"/>
            <w:tcBorders>
              <w:bottom w:val="single" w:sz="8" w:color="auto"/>
            </w:tcBorders>
          </w:tcPr>
          <w:p>
            <w:pPr>
              <w:spacing w:after="0"/>
              <w:rPr>
                <w:sz w:val="19"/>
                <w:szCs w:val="19"/>
                <w:color w:val="auto"/>
              </w:rPr>
            </w:pPr>
          </w:p>
        </w:tc>
        <w:tc>
          <w:tcPr>
            <w:tcW w:w="1479"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color w:val="auto"/>
              </w:rPr>
              <w:t>-</w:t>
            </w:r>
          </w:p>
        </w:tc>
        <w:tc>
          <w:tcPr>
            <w:tcW w:w="141"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85" w:type="dxa"/>
            <w:vAlign w:val="bottom"/>
            <w:tcBorders>
              <w:bottom w:val="single" w:sz="8" w:color="auto"/>
            </w:tcBorders>
          </w:tcPr>
          <w:p>
            <w:pPr>
              <w:spacing w:after="0"/>
              <w:rPr>
                <w:sz w:val="19"/>
                <w:szCs w:val="19"/>
                <w:color w:val="auto"/>
              </w:rPr>
            </w:pPr>
          </w:p>
        </w:tc>
        <w:tc>
          <w:tcPr>
            <w:tcW w:w="135"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2240" w:h="15840" w:orient="portrait"/>
          <w:cols w:equalWidth="0" w:num="1">
            <w:col w:w="10800"/>
          </w:cols>
          <w:pgMar w:left="720" w:top="788" w:right="72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800"/>
          </w:cols>
          <w:pgMar w:left="720" w:top="788" w:right="720" w:bottom="0" w:gutter="0" w:footer="0" w:header="0"/>
          <w:type w:val="continuous"/>
        </w:sectPr>
      </w:pPr>
    </w:p>
    <w:bookmarkStart w:id="96" w:name="page97"/>
    <w:bookmarkEnd w:id="96"/>
    <w:p>
      <w:pPr>
        <w:ind w:left="540"/>
        <w:spacing w:after="0"/>
        <w:rPr>
          <w:sz w:val="20"/>
          <w:szCs w:val="20"/>
          <w:color w:val="auto"/>
        </w:rPr>
      </w:pPr>
      <w:r>
        <w:rPr>
          <w:rFonts w:ascii="Times New Roman" w:cs="Times New Roman" w:eastAsia="Times New Roman" w:hAnsi="Times New Roman"/>
          <w:sz w:val="20"/>
          <w:szCs w:val="20"/>
          <w:color w:val="auto"/>
        </w:rPr>
        <w:t>During the years ended December 31, 2025 and 2024, there were no transfers of financial assets or liabilities between levels 1, 2</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or 3.</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NOTE 14. RELATED PARTY TRANSACTIONS</w:t>
      </w: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Management Agreement</w:t>
      </w:r>
    </w:p>
    <w:p>
      <w:pPr>
        <w:spacing w:after="0" w:line="235" w:lineRule="exact"/>
        <w:rPr>
          <w:sz w:val="20"/>
          <w:szCs w:val="20"/>
          <w:color w:val="auto"/>
        </w:rPr>
      </w:pPr>
    </w:p>
    <w:p>
      <w:pPr>
        <w:ind w:left="40" w:firstLine="499"/>
        <w:spacing w:after="0" w:line="249" w:lineRule="auto"/>
        <w:rPr>
          <w:sz w:val="20"/>
          <w:szCs w:val="20"/>
          <w:color w:val="auto"/>
        </w:rPr>
      </w:pPr>
      <w:r>
        <w:rPr>
          <w:rFonts w:ascii="Times New Roman" w:cs="Times New Roman" w:eastAsia="Times New Roman" w:hAnsi="Times New Roman"/>
          <w:sz w:val="20"/>
          <w:szCs w:val="20"/>
          <w:color w:val="auto"/>
        </w:rPr>
        <w:t>The Company is externally managed and advised by the Manager pursuant to the terms of a management agreement. The management agreement has been renewed through February 20, 2027 and provides for automatic one-year extension options thereafter and is subject to certain termination rights. Under the terms of the management agreement, the Manager is responsible for administering the business activities and day-to-day operations of the Company. The Manager receives a monthly management fee in the amount of:</w:t>
      </w:r>
    </w:p>
    <w:p>
      <w:pPr>
        <w:spacing w:after="0" w:line="191" w:lineRule="exact"/>
        <w:rPr>
          <w:sz w:val="20"/>
          <w:szCs w:val="20"/>
          <w:color w:val="auto"/>
        </w:rPr>
      </w:pPr>
    </w:p>
    <w:p>
      <w:pPr>
        <w:ind w:left="760" w:hanging="350"/>
        <w:spacing w:after="0"/>
        <w:tabs>
          <w:tab w:leader="none" w:pos="7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1.5% of the first $250 million of the Company’s month-end equity, as defined in the management agreement,</w:t>
      </w:r>
    </w:p>
    <w:p>
      <w:pPr>
        <w:spacing w:after="0" w:line="35" w:lineRule="exact"/>
        <w:rPr>
          <w:rFonts w:ascii="Times New Roman" w:cs="Times New Roman" w:eastAsia="Times New Roman" w:hAnsi="Times New Roman"/>
          <w:sz w:val="20"/>
          <w:szCs w:val="20"/>
          <w:color w:val="auto"/>
        </w:rPr>
      </w:pPr>
    </w:p>
    <w:p>
      <w:pPr>
        <w:ind w:left="760" w:right="320" w:hanging="350"/>
        <w:spacing w:after="0" w:line="244" w:lineRule="auto"/>
        <w:tabs>
          <w:tab w:leader="none" w:pos="7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1.25% of the Company’s month-end equity that is greater than $250 million and less than or equal to $500 million, and</w:t>
      </w:r>
    </w:p>
    <w:p>
      <w:pPr>
        <w:ind w:left="760" w:hanging="350"/>
        <w:spacing w:after="0"/>
        <w:tabs>
          <w:tab w:leader="none" w:pos="7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One-twelfth of 1.00% of the Company’s month-end equity that is greater than $500 million.</w:t>
      </w:r>
    </w:p>
    <w:p>
      <w:pPr>
        <w:spacing w:after="0" w:line="210" w:lineRule="exact"/>
        <w:rPr>
          <w:sz w:val="20"/>
          <w:szCs w:val="20"/>
          <w:color w:val="auto"/>
        </w:rPr>
      </w:pPr>
    </w:p>
    <w:p>
      <w:pPr>
        <w:ind w:left="40" w:right="300" w:firstLine="499"/>
        <w:spacing w:after="0" w:line="252" w:lineRule="auto"/>
        <w:rPr>
          <w:sz w:val="20"/>
          <w:szCs w:val="20"/>
          <w:color w:val="auto"/>
        </w:rPr>
      </w:pPr>
      <w:r>
        <w:rPr>
          <w:rFonts w:ascii="Times New Roman" w:cs="Times New Roman" w:eastAsia="Times New Roman" w:hAnsi="Times New Roman"/>
          <w:sz w:val="20"/>
          <w:szCs w:val="20"/>
          <w:color w:val="auto"/>
        </w:rPr>
        <w:t>On April 1, 2022, pursuant to the third amendment to the management agreement entered into on November 16, 2021, the Manager began providing certain repurchase agreement trading, clearing and administrative services to the Company that had been previously provided by AVM, L.P. under an agreement terminated on March 31, 2022. In consideration for such services, the Company pays the following fees to the Manager:</w:t>
      </w:r>
    </w:p>
    <w:p>
      <w:pPr>
        <w:spacing w:after="0" w:line="188" w:lineRule="exact"/>
        <w:rPr>
          <w:sz w:val="20"/>
          <w:szCs w:val="20"/>
          <w:color w:val="auto"/>
        </w:rPr>
      </w:pPr>
    </w:p>
    <w:p>
      <w:pPr>
        <w:ind w:left="760" w:right="160" w:hanging="350"/>
        <w:spacing w:after="0" w:line="252" w:lineRule="auto"/>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20"/>
          <w:szCs w:val="20"/>
          <w:color w:val="auto"/>
        </w:rPr>
      </w:pPr>
    </w:p>
    <w:p>
      <w:pPr>
        <w:ind w:left="760" w:hanging="350"/>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fee for the clearing and operational services provided by personnel of the Manager equal to $10,000 per month.</w:t>
      </w:r>
    </w:p>
    <w:p>
      <w:pPr>
        <w:spacing w:after="0" w:line="256" w:lineRule="exact"/>
        <w:rPr>
          <w:sz w:val="20"/>
          <w:szCs w:val="20"/>
          <w:color w:val="auto"/>
        </w:rPr>
      </w:pPr>
    </w:p>
    <w:p>
      <w:pPr>
        <w:ind w:left="40" w:right="120" w:firstLine="499"/>
        <w:spacing w:after="0" w:line="252" w:lineRule="auto"/>
        <w:rPr>
          <w:sz w:val="20"/>
          <w:szCs w:val="20"/>
          <w:color w:val="auto"/>
        </w:rPr>
      </w:pPr>
      <w:r>
        <w:rPr>
          <w:rFonts w:ascii="Times New Roman" w:cs="Times New Roman" w:eastAsia="Times New Roman" w:hAnsi="Times New Roman"/>
          <w:sz w:val="20"/>
          <w:szCs w:val="20"/>
          <w:color w:val="auto"/>
        </w:rPr>
        <w:t>The Company is obligated to reimburse the Manager for any direct expenses incurred on its behalf and to pay the Manager the Company’s pro rata portion of certain overhead costs set forth in the management agreement. Should the Company terminate the management agreement without cause, it will pay the Manager a termination fee equal to three times the average annual management fee, as defined in the management agreement, before or on the last day of the term of the agreement.</w:t>
      </w:r>
    </w:p>
    <w:p>
      <w:pPr>
        <w:spacing w:after="0" w:line="184" w:lineRule="exact"/>
        <w:rPr>
          <w:sz w:val="20"/>
          <w:szCs w:val="20"/>
          <w:color w:val="auto"/>
        </w:rPr>
      </w:pPr>
    </w:p>
    <w:p>
      <w:pPr>
        <w:ind w:left="40" w:right="740" w:firstLine="499"/>
        <w:spacing w:after="0" w:line="259" w:lineRule="auto"/>
        <w:rPr>
          <w:sz w:val="20"/>
          <w:szCs w:val="20"/>
          <w:color w:val="auto"/>
        </w:rPr>
      </w:pPr>
      <w:r>
        <w:rPr>
          <w:rFonts w:ascii="Times New Roman" w:cs="Times New Roman" w:eastAsia="Times New Roman" w:hAnsi="Times New Roman"/>
          <w:sz w:val="20"/>
          <w:szCs w:val="20"/>
          <w:color w:val="auto"/>
        </w:rPr>
        <w:t>Total expenses recorded for the management fee, allocated overhead and repurchase agreement trading, clearing and administrative services were approximately $16.6 million, $12.8 million and $13.6 million, for the years ended December 31, 2025, 2024 and 2023, respectively.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Other Relationships with Bimini</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Robert Cauley, the Company's Chief Executive Officer ("CEO") and Chairman of the Board of Directors, also serves as</w:t>
      </w:r>
    </w:p>
    <w:p>
      <w:pPr>
        <w:spacing w:after="0" w:line="28" w:lineRule="exact"/>
        <w:rPr>
          <w:sz w:val="20"/>
          <w:szCs w:val="20"/>
          <w:color w:val="auto"/>
        </w:rPr>
      </w:pPr>
    </w:p>
    <w:p>
      <w:pPr>
        <w:ind w:left="40" w:right="60"/>
        <w:spacing w:after="0" w:line="242" w:lineRule="auto"/>
        <w:rPr>
          <w:sz w:val="20"/>
          <w:szCs w:val="20"/>
          <w:color w:val="auto"/>
        </w:rPr>
      </w:pPr>
      <w:r>
        <w:rPr>
          <w:rFonts w:ascii="Times New Roman" w:cs="Times New Roman" w:eastAsia="Times New Roman" w:hAnsi="Times New Roman"/>
          <w:sz w:val="20"/>
          <w:szCs w:val="20"/>
          <w:color w:val="auto"/>
        </w:rPr>
        <w:t>CEO and Chairman of the Board of Directors of Bimini and owns shares of common stock of Bimini. George H. Haas, the Company's Chief Financial Officer ("CFO"), Chief Investment Officer ("CIO"), Secretary and a member of the Board of Directors, also serves as the CFO, CIO and Treasurer of Bimini and owns shares of common stock of Bimini. In addition, as of December 31, 2025, Bimini owned 569,071 shares, or 0.3%, of the Company’s common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SEGMENT INFORMATION</w:t>
      </w:r>
    </w:p>
    <w:p>
      <w:pPr>
        <w:spacing w:after="0" w:line="235" w:lineRule="exact"/>
        <w:rPr>
          <w:sz w:val="20"/>
          <w:szCs w:val="20"/>
          <w:color w:val="auto"/>
        </w:rPr>
      </w:pPr>
    </w:p>
    <w:p>
      <w:pPr>
        <w:ind w:left="40" w:right="40" w:firstLine="499"/>
        <w:spacing w:after="0" w:line="243" w:lineRule="auto"/>
        <w:rPr>
          <w:sz w:val="20"/>
          <w:szCs w:val="20"/>
          <w:color w:val="auto"/>
        </w:rPr>
      </w:pPr>
      <w:r>
        <w:rPr>
          <w:rFonts w:ascii="Times New Roman" w:cs="Times New Roman" w:eastAsia="Times New Roman" w:hAnsi="Times New Roman"/>
          <w:sz w:val="20"/>
          <w:szCs w:val="20"/>
          <w:color w:val="auto"/>
        </w:rPr>
        <w:t xml:space="preserve">The Company follows ASC </w:t>
      </w:r>
      <w:r>
        <w:rPr>
          <w:rFonts w:ascii="Times New Roman" w:cs="Times New Roman" w:eastAsia="Times New Roman" w:hAnsi="Times New Roman"/>
          <w:sz w:val="20"/>
          <w:szCs w:val="20"/>
          <w:i w:val="1"/>
          <w:iCs w:val="1"/>
          <w:color w:val="auto"/>
        </w:rPr>
        <w:t>280, Segment Reporting</w:t>
      </w:r>
      <w:r>
        <w:rPr>
          <w:rFonts w:ascii="Times New Roman" w:cs="Times New Roman" w:eastAsia="Times New Roman" w:hAnsi="Times New Roman"/>
          <w:sz w:val="20"/>
          <w:szCs w:val="20"/>
          <w:color w:val="auto"/>
        </w:rPr>
        <w:t>, which establishes standards for the way public business enterprises report information about operating segments in annual financial statements and requires that those enterprises report selected information about operating segments in financial statements issued to shareholders. The Company’s Chief Operating Decision Maker ("CODM"), its CEO, assesses performance and allocates resources based on company-wide financial information. The Company derives nearly all of its income from interest on its RMBS portfolio. Consequently, the Company has determined that it operates in a single reportable segment and the strategic purpose of all operating activities is to support that one segment. The CODM evaluates company-wide performance based on multiple performance measures. The primary measure of segment performance is net income. The CODM does not generally evaluate our performance using asset or historical cash flow information. Since the Company operates</w:t>
      </w:r>
    </w:p>
    <w:p>
      <w:pPr>
        <w:spacing w:after="0" w:line="4" w:lineRule="exact"/>
        <w:rPr>
          <w:sz w:val="20"/>
          <w:szCs w:val="20"/>
          <w:color w:val="auto"/>
        </w:rPr>
      </w:pPr>
    </w:p>
    <w:p>
      <w:pPr>
        <w:ind w:left="40"/>
        <w:spacing w:after="0" w:line="243" w:lineRule="auto"/>
        <w:rPr>
          <w:sz w:val="20"/>
          <w:szCs w:val="20"/>
          <w:color w:val="auto"/>
        </w:rPr>
      </w:pPr>
      <w:r>
        <w:rPr>
          <w:rFonts w:ascii="Times New Roman" w:cs="Times New Roman" w:eastAsia="Times New Roman" w:hAnsi="Times New Roman"/>
          <w:sz w:val="20"/>
          <w:szCs w:val="20"/>
          <w:color w:val="auto"/>
        </w:rPr>
        <w:t>in one operating segment, all required financial segment information can be found in the financial statements. Significant expenses within net income that are used to evaluate performance are each separately presented in the statements of comprehensive income. The Company does not distinguish between markets or segments for the purpose of internal reporting. The Company's segment assets are presented in the Company's Balance Sheets under total assets.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840"/>
          </w:cols>
          <w:pgMar w:left="680" w:top="788" w:right="720" w:bottom="0" w:gutter="0" w:footer="0" w:header="0"/>
        </w:sectPr>
      </w:pPr>
    </w:p>
    <w:bookmarkStart w:id="97" w:name="page98"/>
    <w:bookmarkEnd w:id="97"/>
    <w:p>
      <w:pPr>
        <w:ind w:right="800"/>
        <w:spacing w:after="0" w:line="283"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51" w:lineRule="exact"/>
        <w:rPr>
          <w:sz w:val="20"/>
          <w:szCs w:val="20"/>
          <w:color w:val="auto"/>
        </w:rPr>
      </w:pPr>
    </w:p>
    <w:p>
      <w:pPr>
        <w:ind w:right="240" w:firstLine="499"/>
        <w:spacing w:after="0" w:line="277" w:lineRule="auto"/>
        <w:rPr>
          <w:sz w:val="20"/>
          <w:szCs w:val="20"/>
          <w:color w:val="auto"/>
        </w:rPr>
      </w:pPr>
      <w:r>
        <w:rPr>
          <w:rFonts w:ascii="Times New Roman" w:cs="Times New Roman" w:eastAsia="Times New Roman" w:hAnsi="Times New Roman"/>
          <w:sz w:val="20"/>
          <w:szCs w:val="20"/>
          <w:color w:val="auto"/>
        </w:rPr>
        <w:t>We had no disagreements with our Independent Registered Public Accounting Firm on any matter of accounting principles or practices or financial statement disclosure.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35" w:lineRule="exact"/>
        <w:rPr>
          <w:sz w:val="20"/>
          <w:szCs w:val="20"/>
          <w:color w:val="auto"/>
        </w:rPr>
      </w:pPr>
    </w:p>
    <w:p>
      <w:pPr>
        <w:ind w:right="40" w:firstLine="499"/>
        <w:spacing w:after="0" w:line="244" w:lineRule="auto"/>
        <w:rPr>
          <w:sz w:val="20"/>
          <w:szCs w:val="20"/>
          <w:color w:val="auto"/>
        </w:rPr>
      </w:pPr>
      <w:r>
        <w:rPr>
          <w:rFonts w:ascii="Times New Roman" w:cs="Times New Roman" w:eastAsia="Times New Roman" w:hAnsi="Times New Roman"/>
          <w:sz w:val="20"/>
          <w:szCs w:val="20"/>
          <w:color w:val="auto"/>
        </w:rPr>
        <w:t>As of the end of the period covered by this report (the “evaluation date”), we carried out an evaluation, under the supervision and with the participation of our management, including our Chief Executive Officer (the “CEO”) and Chief Financial Officer (the “CFO”), of the effectiveness of the design and operation of our disclosure controls and procedures, as defined in Rule 13a-15(e) under the Exchange Act. Based on this evaluation, the CEO and CFO concluded our disclosure controls and procedures, as designed and implemented, were effective as of the evaluation date (1) in ensuring that information regarding the Company is accumulated and communicated to our management, including our CEO and CFO, by our Manager's employees, as appropriate to allow timely decisions regarding required disclosure and (2) in providing reasonable assurance that information we must disclose in our periodic reports under the Exchange Act is recorded, processed, summarized and reported within the time periods prescribed by the SEC’s rules and forms.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5" w:lineRule="exact"/>
        <w:rPr>
          <w:sz w:val="20"/>
          <w:szCs w:val="20"/>
          <w:color w:val="auto"/>
        </w:rPr>
      </w:pPr>
    </w:p>
    <w:p>
      <w:pPr>
        <w:ind w:right="600" w:firstLine="499"/>
        <w:spacing w:after="0" w:line="257" w:lineRule="auto"/>
        <w:rPr>
          <w:sz w:val="20"/>
          <w:szCs w:val="20"/>
          <w:color w:val="auto"/>
        </w:rPr>
      </w:pPr>
      <w:r>
        <w:rPr>
          <w:rFonts w:ascii="Times New Roman" w:cs="Times New Roman" w:eastAsia="Times New Roman" w:hAnsi="Times New Roman"/>
          <w:sz w:val="20"/>
          <w:szCs w:val="20"/>
          <w:color w:val="auto"/>
        </w:rPr>
        <w:t>There were no significant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Report of Internal Control over Financial Reporting</w:t>
      </w:r>
    </w:p>
    <w:p>
      <w:pPr>
        <w:spacing w:after="0" w:line="235" w:lineRule="exact"/>
        <w:rPr>
          <w:sz w:val="20"/>
          <w:szCs w:val="20"/>
          <w:color w:val="auto"/>
        </w:rPr>
      </w:pPr>
    </w:p>
    <w:p>
      <w:pPr>
        <w:ind w:right="60" w:firstLine="499"/>
        <w:spacing w:after="0" w:line="247" w:lineRule="auto"/>
        <w:rPr>
          <w:sz w:val="20"/>
          <w:szCs w:val="20"/>
          <w:color w:val="auto"/>
        </w:rPr>
      </w:pPr>
      <w:r>
        <w:rPr>
          <w:rFonts w:ascii="Times New Roman" w:cs="Times New Roman" w:eastAsia="Times New Roman" w:hAnsi="Times New Roman"/>
          <w:sz w:val="20"/>
          <w:szCs w:val="20"/>
          <w:color w:val="auto"/>
        </w:rPr>
        <w:t>Management of the Company is responsible for establishing and maintaining adequate internal control over financial reporting. Internal control over financial reporting is defined in Rules 13a-15(f)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3" w:lineRule="exact"/>
        <w:rPr>
          <w:sz w:val="20"/>
          <w:szCs w:val="20"/>
          <w:color w:val="auto"/>
        </w:rPr>
      </w:pPr>
    </w:p>
    <w:p>
      <w:pPr>
        <w:ind w:left="720" w:right="20" w:hanging="350"/>
        <w:spacing w:after="0" w:line="257"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ind w:left="720" w:right="20" w:hanging="350"/>
        <w:spacing w:after="0" w:line="243"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rFonts w:ascii="Times New Roman" w:cs="Times New Roman" w:eastAsia="Times New Roman" w:hAnsi="Times New Roman"/>
          <w:sz w:val="20"/>
          <w:szCs w:val="20"/>
          <w:color w:val="auto"/>
        </w:rPr>
      </w:pPr>
    </w:p>
    <w:p>
      <w:pPr>
        <w:ind w:left="720" w:right="180" w:hanging="350"/>
        <w:spacing w:after="0" w:line="25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499"/>
        <w:spacing w:after="0" w:line="252"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As a result, even systems determined to be effective can provide only reasonable assurance regarding the preparation and presentation of financial statements. Moreover,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300" w:firstLine="499"/>
        <w:spacing w:after="0" w:line="257" w:lineRule="auto"/>
        <w:rPr>
          <w:sz w:val="20"/>
          <w:szCs w:val="20"/>
          <w:color w:val="auto"/>
        </w:rPr>
      </w:pPr>
      <w:r>
        <w:rPr>
          <w:rFonts w:ascii="Times New Roman" w:cs="Times New Roman" w:eastAsia="Times New Roman" w:hAnsi="Times New Roman"/>
          <w:sz w:val="20"/>
          <w:szCs w:val="20"/>
          <w:color w:val="auto"/>
        </w:rPr>
        <w:t xml:space="preserve">The Company’s management assessed the effectiveness of the Company’s internal control over financial reporting as of December 31, 2025. In making this assessment, the Company’s management used criteria set forth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181" w:lineRule="exact"/>
        <w:rPr>
          <w:sz w:val="20"/>
          <w:szCs w:val="20"/>
          <w:color w:val="auto"/>
        </w:rPr>
      </w:pPr>
    </w:p>
    <w:p>
      <w:pPr>
        <w:ind w:right="40" w:firstLine="499"/>
        <w:spacing w:after="0" w:line="252" w:lineRule="auto"/>
        <w:rPr>
          <w:sz w:val="20"/>
          <w:szCs w:val="20"/>
          <w:color w:val="auto"/>
        </w:rPr>
      </w:pPr>
      <w:r>
        <w:rPr>
          <w:rFonts w:ascii="Times New Roman" w:cs="Times New Roman" w:eastAsia="Times New Roman" w:hAnsi="Times New Roman"/>
          <w:sz w:val="20"/>
          <w:szCs w:val="20"/>
          <w:color w:val="auto"/>
        </w:rPr>
        <w:t>Based on management’s assessment, the Company’s management believes that, as of December 31, 2025, the Company’s internal control over financial reporting was effective based on those criteria. The Company’s independent registered public accounting firm, BDO USA, P.C., has issued an attestation report on the Company’s internal control over financial reporting,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800"/>
          </w:cols>
          <w:pgMar w:left="720" w:top="1060" w:right="720" w:bottom="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Orchid Island Capital, Inc.</w:t>
      </w:r>
    </w:p>
    <w:p>
      <w:pPr>
        <w:spacing w:after="0"/>
        <w:rPr>
          <w:sz w:val="20"/>
          <w:szCs w:val="20"/>
          <w:color w:val="auto"/>
        </w:rPr>
      </w:pPr>
      <w:r>
        <w:rPr>
          <w:rFonts w:ascii="Times New Roman" w:cs="Times New Roman" w:eastAsia="Times New Roman" w:hAnsi="Times New Roman"/>
          <w:sz w:val="20"/>
          <w:szCs w:val="20"/>
          <w:color w:val="auto"/>
        </w:rPr>
        <w:t>Vero Beach, Florida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have audited Orchid Island Capital, Inc.’s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Integrated Framework (2013)</w:t>
      </w:r>
      <w:r>
        <w:rPr>
          <w:rFonts w:ascii="Times New Roman" w:cs="Times New Roman" w:eastAsia="Times New Roman" w:hAnsi="Times New Roman"/>
          <w:sz w:val="20"/>
          <w:szCs w:val="20"/>
          <w:color w:val="auto"/>
        </w:rPr>
        <w:t xml:space="preserve"> issued by the Committee of Sponsoring Organizations of the Treadway Commission (the “COSO criteria”) . In our opinion, the Company maintained, in all material respects, effective internal control over financial reporting as of December 31, 2025 based on the COSO criteria</w:t>
      </w:r>
      <w:r>
        <w:rPr>
          <w:rFonts w:ascii="Times New Roman" w:cs="Times New Roman" w:eastAsia="Times New Roman" w:hAnsi="Times New Roman"/>
          <w:sz w:val="20"/>
          <w:szCs w:val="20"/>
          <w:i w:val="1"/>
          <w:iCs w:val="1"/>
          <w:color w:val="auto"/>
        </w:rPr>
        <w:t>.</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balance sheets of the Company as of December 31, 2025 and 2024, the related statements of comprehensive income (loss), stockholders’ equity, and cash flows for each of the three years in the period ended December 31, 2025, and the related notes and our report dated February 20, 2026,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 Palm Beach, Florida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800"/>
          </w:cols>
          <w:pgMar w:left="720" w:top="784" w:right="720" w:bottom="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3" w:lineRule="exact"/>
        <w:rPr>
          <w:sz w:val="20"/>
          <w:szCs w:val="20"/>
          <w:color w:val="auto"/>
        </w:rPr>
      </w:pPr>
    </w:p>
    <w:p>
      <w:pPr>
        <w:ind w:firstLine="499"/>
        <w:spacing w:after="0" w:line="277" w:lineRule="auto"/>
        <w:rPr>
          <w:sz w:val="20"/>
          <w:szCs w:val="20"/>
          <w:color w:val="auto"/>
        </w:rPr>
      </w:pPr>
      <w:r>
        <w:rPr>
          <w:rFonts w:ascii="Times New Roman" w:cs="Times New Roman" w:eastAsia="Times New Roman" w:hAnsi="Times New Roman"/>
          <w:sz w:val="20"/>
          <w:szCs w:val="20"/>
          <w:color w:val="auto"/>
        </w:rPr>
        <w:t>During the quarter ended December 31, 2025, no director or officer of the Company adopted, modified or terminated any Rule 10b5-1 trading arrangement or non-Rule 10b5-1 trading arrangement, each as defined in Item 408 of Regulation 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620"/>
          </w:cols>
          <w:pgMar w:left="720" w:top="829" w:right="900" w:bottom="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35" w:lineRule="exact"/>
        <w:rPr>
          <w:sz w:val="20"/>
          <w:szCs w:val="20"/>
          <w:color w:val="auto"/>
        </w:rPr>
      </w:pPr>
    </w:p>
    <w:p>
      <w:pPr>
        <w:ind w:firstLine="499"/>
        <w:spacing w:after="0" w:line="257" w:lineRule="auto"/>
        <w:rPr>
          <w:sz w:val="20"/>
          <w:szCs w:val="20"/>
          <w:color w:val="auto"/>
        </w:rPr>
      </w:pPr>
      <w:r>
        <w:rPr>
          <w:rFonts w:ascii="Times New Roman" w:cs="Times New Roman" w:eastAsia="Times New Roman" w:hAnsi="Times New Roman"/>
          <w:sz w:val="20"/>
          <w:szCs w:val="20"/>
          <w:color w:val="auto"/>
        </w:rPr>
        <w:t>The information required by this Item 10 and not otherwise set forth below is incorporated herein by reference to the Company's definitive Proxy Statement relating to the Company’s 2026 Annual Meeting of Stockholders (the “Proxy Statement”), which the Company expects to file with the SEC, pursuant to Regulation 14A, not later than 120 days after December 31, 2025.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information required by this Item 11 is incorporated herein by reference to the Proxy Statement.</w:t>
      </w:r>
    </w:p>
    <w:p>
      <w:pPr>
        <w:spacing w:after="0" w:line="200" w:lineRule="exact"/>
        <w:rPr>
          <w:sz w:val="20"/>
          <w:szCs w:val="20"/>
          <w:color w:val="auto"/>
        </w:rPr>
      </w:pPr>
    </w:p>
    <w:p>
      <w:pPr>
        <w:spacing w:after="0" w:line="300" w:lineRule="exact"/>
        <w:rPr>
          <w:sz w:val="20"/>
          <w:szCs w:val="20"/>
          <w:color w:val="auto"/>
        </w:rPr>
      </w:pPr>
    </w:p>
    <w:p>
      <w:pPr>
        <w:ind w:left="820" w:right="480" w:hanging="820"/>
        <w:spacing w:after="0" w:line="285"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49" w:lineRule="exact"/>
        <w:rPr>
          <w:sz w:val="20"/>
          <w:szCs w:val="20"/>
          <w:color w:val="auto"/>
        </w:rPr>
      </w:pPr>
    </w:p>
    <w:p>
      <w:pPr>
        <w:ind w:right="20" w:firstLine="499"/>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12 is incorporated herein by reference to the Proxy Statement and to Part II, Item 5 of this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information required by this Item 13 is incorporated herein by reference to the Proxy Statement.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information required by this Item 14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780"/>
          </w:cols>
          <w:pgMar w:left="720" w:top="1288" w:right="740" w:bottom="0" w:gutter="0" w:footer="0" w:header="0"/>
        </w:sectPr>
      </w:pPr>
    </w:p>
    <w:bookmarkStart w:id="101" w:name="page102"/>
    <w:bookmarkEnd w:id="101"/>
    <w:p>
      <w:pPr>
        <w:ind w:left="50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39" w:lineRule="exact"/>
        <w:rPr>
          <w:sz w:val="20"/>
          <w:szCs w:val="20"/>
          <w:color w:val="auto"/>
        </w:rPr>
      </w:pPr>
    </w:p>
    <w:p>
      <w:pPr>
        <w:ind w:left="360" w:right="660" w:hanging="350"/>
        <w:spacing w:after="0" w:line="277" w:lineRule="auto"/>
        <w:tabs>
          <w:tab w:leader="none" w:pos="36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The financial statements of the Company, together with the report of Independent Registered Public Accounting Firm thereon, are set forth in Part II-Item 8 of this Form 10-K and are incorporated herein by reference.</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information is filed as part of this Form 10-K: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46"/>
        </w:trPr>
        <w:tc>
          <w:tcPr>
            <w:tcW w:w="1620" w:type="dxa"/>
            <w:vAlign w:val="bottom"/>
            <w:gridSpan w:val="2"/>
          </w:tcPr>
          <w:p>
            <w:pPr>
              <w:spacing w:after="0"/>
              <w:rPr>
                <w:sz w:val="21"/>
                <w:szCs w:val="21"/>
                <w:color w:val="auto"/>
              </w:rPr>
            </w:pPr>
          </w:p>
        </w:tc>
        <w:tc>
          <w:tcPr>
            <w:tcW w:w="8120" w:type="dxa"/>
            <w:vAlign w:val="bottom"/>
            <w:gridSpan w:val="2"/>
          </w:tcPr>
          <w:p>
            <w:pPr>
              <w:spacing w:after="0"/>
              <w:rPr>
                <w:sz w:val="21"/>
                <w:szCs w:val="21"/>
                <w:color w:val="auto"/>
              </w:rPr>
            </w:pPr>
          </w:p>
        </w:tc>
        <w:tc>
          <w:tcPr>
            <w:tcW w:w="82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r>
      <w:tr>
        <w:trPr>
          <w:trHeight w:val="240"/>
        </w:trPr>
        <w:tc>
          <w:tcPr>
            <w:tcW w:w="974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820" w:type="dxa"/>
            <w:vAlign w:val="bottom"/>
            <w:gridSpan w:val="2"/>
            <w:shd w:val="clear" w:color="auto" w:fill="DDDDDD"/>
          </w:tcPr>
          <w:p>
            <w:pPr>
              <w:spacing w:after="0"/>
              <w:rPr>
                <w:sz w:val="20"/>
                <w:szCs w:val="20"/>
                <w:color w:val="auto"/>
              </w:rPr>
            </w:pP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40"/>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Balance Sheets</w:t>
            </w:r>
          </w:p>
        </w:tc>
        <w:tc>
          <w:tcPr>
            <w:tcW w:w="7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40"/>
        </w:trPr>
        <w:tc>
          <w:tcPr>
            <w:tcW w:w="974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20"/>
                <w:szCs w:val="20"/>
                <w:color w:val="auto"/>
              </w:rPr>
              <w:t>Statements of Comprehensive Income (Loss)</w:t>
            </w:r>
          </w:p>
        </w:tc>
        <w:tc>
          <w:tcPr>
            <w:tcW w:w="820" w:type="dxa"/>
            <w:vAlign w:val="bottom"/>
            <w:gridSpan w:val="2"/>
            <w:shd w:val="clear" w:color="auto" w:fill="DDDDDD"/>
          </w:tcPr>
          <w:p>
            <w:pPr>
              <w:spacing w:after="0"/>
              <w:rPr>
                <w:sz w:val="20"/>
                <w:szCs w:val="20"/>
                <w:color w:val="auto"/>
              </w:rPr>
            </w:pP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40"/>
        </w:trPr>
        <w:tc>
          <w:tcPr>
            <w:tcW w:w="105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Statements of Stockholders’ Equity</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40"/>
        </w:trPr>
        <w:tc>
          <w:tcPr>
            <w:tcW w:w="974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20"/>
                <w:szCs w:val="20"/>
                <w:color w:val="auto"/>
              </w:rPr>
              <w:t>Statements of Cash Flows</w:t>
            </w:r>
          </w:p>
        </w:tc>
        <w:tc>
          <w:tcPr>
            <w:tcW w:w="820" w:type="dxa"/>
            <w:vAlign w:val="bottom"/>
            <w:gridSpan w:val="2"/>
            <w:shd w:val="clear" w:color="auto" w:fill="DDDDDD"/>
          </w:tcPr>
          <w:p>
            <w:pPr>
              <w:spacing w:after="0"/>
              <w:rPr>
                <w:sz w:val="20"/>
                <w:szCs w:val="20"/>
                <w:color w:val="auto"/>
              </w:rPr>
            </w:pP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65"/>
        </w:trPr>
        <w:tc>
          <w:tcPr>
            <w:tcW w:w="105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457"/>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10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Financial Statement Schedules.</w:t>
            </w:r>
          </w:p>
        </w:tc>
        <w:tc>
          <w:tcPr>
            <w:tcW w:w="240" w:type="dxa"/>
            <w:vAlign w:val="bottom"/>
          </w:tcPr>
          <w:p>
            <w:pPr>
              <w:spacing w:after="0"/>
              <w:rPr>
                <w:sz w:val="24"/>
                <w:szCs w:val="24"/>
                <w:color w:val="auto"/>
              </w:rPr>
            </w:pPr>
          </w:p>
        </w:tc>
      </w:tr>
      <w:tr>
        <w:trPr>
          <w:trHeight w:val="466"/>
        </w:trPr>
        <w:tc>
          <w:tcPr>
            <w:tcW w:w="36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Not applicable.</w:t>
            </w:r>
          </w:p>
        </w:tc>
        <w:tc>
          <w:tcPr>
            <w:tcW w:w="7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66"/>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Exhibits.</w:t>
            </w:r>
          </w:p>
        </w:tc>
        <w:tc>
          <w:tcPr>
            <w:tcW w:w="7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61"/>
        </w:trPr>
        <w:tc>
          <w:tcPr>
            <w:tcW w:w="18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No.</w:t>
            </w: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c>
          <w:tcPr>
            <w:tcW w:w="240" w:type="dxa"/>
            <w:vAlign w:val="bottom"/>
          </w:tcPr>
          <w:p>
            <w:pPr>
              <w:spacing w:after="0"/>
              <w:rPr>
                <w:sz w:val="24"/>
                <w:szCs w:val="24"/>
                <w:color w:val="auto"/>
              </w:rPr>
            </w:pPr>
          </w:p>
        </w:tc>
      </w:tr>
      <w:tr>
        <w:trPr>
          <w:trHeight w:val="207"/>
        </w:trPr>
        <w:tc>
          <w:tcPr>
            <w:tcW w:w="360" w:type="dxa"/>
            <w:vAlign w:val="bottom"/>
            <w:tcBorders>
              <w:top w:val="single" w:sz="8" w:color="auto"/>
            </w:tcBorders>
          </w:tcPr>
          <w:p>
            <w:pPr>
              <w:spacing w:after="0" w:line="207" w:lineRule="exact"/>
              <w:rPr>
                <w:sz w:val="20"/>
                <w:szCs w:val="20"/>
                <w:color w:val="auto"/>
              </w:rPr>
            </w:pPr>
            <w:r>
              <w:rPr>
                <w:rFonts w:ascii="Times New Roman" w:cs="Times New Roman" w:eastAsia="Times New Roman" w:hAnsi="Times New Roman"/>
                <w:sz w:val="20"/>
                <w:szCs w:val="20"/>
                <w:color w:val="auto"/>
              </w:rPr>
              <w:t>3.1</w:t>
            </w: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960" w:type="dxa"/>
            <w:vAlign w:val="bottom"/>
            <w:tcBorders>
              <w:top w:val="single" w:sz="8" w:color="auto"/>
            </w:tcBorders>
            <w:gridSpan w:val="4"/>
          </w:tcPr>
          <w:p>
            <w:pPr>
              <w:spacing w:after="0" w:line="207" w:lineRule="exact"/>
              <w:rPr>
                <w:sz w:val="20"/>
                <w:szCs w:val="20"/>
                <w:color w:val="auto"/>
              </w:rPr>
            </w:pPr>
            <w:r>
              <w:rPr>
                <w:rFonts w:ascii="Times New Roman" w:cs="Times New Roman" w:eastAsia="Times New Roman" w:hAnsi="Times New Roman"/>
                <w:sz w:val="20"/>
                <w:szCs w:val="20"/>
                <w:color w:val="auto"/>
              </w:rPr>
              <w:t>Articles of Amendment and Restatement of Orchid Island Capital, Inc. (filed as Exhibit 3.1 to the Company’s</w:t>
            </w:r>
          </w:p>
        </w:tc>
      </w:tr>
      <w:tr>
        <w:trPr>
          <w:trHeight w:val="228"/>
        </w:trPr>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6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Registration Statement on Amendment No. 1 to Form S-11 (File No.333-184538) filed on November 28, 2012</w:t>
            </w: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and incorporated herein by reference)</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Certificate of Correction of Orchid Island Capital, Inc. (filed as Exhibit 3.2 to the Company’s Annual Report on</w:t>
            </w: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10-K filed on February 22, 2019 and incorporated herein by reference)</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Articles of Amendment of Orchid Island Capital, Inc. (filed as Exhibit 3.1 to the Company's Current Report on</w:t>
            </w: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8-K filed with the SEC on August 30, 2022 and incorporated herein by reference)</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Articles of Amendment of Orchid Island Capital, Inc. (filed as Exhibit 3.1 to the Company's Current Report on</w:t>
            </w: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8-K filed with the SEC on February 14, 2025 and incorporated herein by reference)</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Articles of Amendment to the Articles of Amendment and Restatement of the Company (filed as Exhibit 3.5 to</w:t>
            </w:r>
          </w:p>
        </w:tc>
      </w:tr>
      <w:tr>
        <w:trPr>
          <w:trHeight w:val="23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Company’s Quarterly Report on Form 10</w:t>
            </w:r>
            <w:r>
              <w:rPr>
                <w:rFonts w:ascii="Times New Roman" w:cs="Times New Roman" w:eastAsia="Times New Roman" w:hAnsi="Times New Roman"/>
                <w:sz w:val="20"/>
                <w:szCs w:val="20"/>
                <w:color w:val="5B5B5B"/>
              </w:rPr>
              <w:t>-</w:t>
            </w:r>
            <w:r>
              <w:rPr>
                <w:rFonts w:ascii="Times New Roman" w:cs="Times New Roman" w:eastAsia="Times New Roman" w:hAnsi="Times New Roman"/>
                <w:sz w:val="20"/>
                <w:szCs w:val="20"/>
                <w:color w:val="auto"/>
              </w:rPr>
              <w:t>Q filed on October 24, 2025 and incorporated herein by</w:t>
            </w:r>
          </w:p>
        </w:tc>
        <w:tc>
          <w:tcPr>
            <w:tcW w:w="240" w:type="dxa"/>
            <w:vAlign w:val="bottom"/>
          </w:tcPr>
          <w:p>
            <w:pPr>
              <w:spacing w:after="0"/>
              <w:rPr>
                <w:sz w:val="20"/>
                <w:szCs w:val="20"/>
                <w:color w:val="auto"/>
              </w:rPr>
            </w:pP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reference)</w:t>
            </w:r>
          </w:p>
        </w:tc>
        <w:tc>
          <w:tcPr>
            <w:tcW w:w="240" w:type="dxa"/>
            <w:vAlign w:val="bottom"/>
          </w:tcPr>
          <w:p>
            <w:pPr>
              <w:spacing w:after="0"/>
              <w:rPr>
                <w:sz w:val="20"/>
                <w:szCs w:val="20"/>
                <w:color w:val="auto"/>
              </w:rPr>
            </w:pPr>
          </w:p>
        </w:tc>
      </w:tr>
      <w:tr>
        <w:trPr>
          <w:trHeight w:val="228"/>
        </w:trPr>
        <w:tc>
          <w:tcPr>
            <w:tcW w:w="3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3.6</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Amended and Restated Bylaws of Orchid Island Capital, Inc. (filed as Exhibit 3.1 to the Company’s Current</w:t>
            </w:r>
          </w:p>
        </w:tc>
        <w:tc>
          <w:tcPr>
            <w:tcW w:w="240" w:type="dxa"/>
            <w:vAlign w:val="bottom"/>
          </w:tcPr>
          <w:p>
            <w:pPr>
              <w:spacing w:after="0"/>
              <w:rPr>
                <w:sz w:val="19"/>
                <w:szCs w:val="19"/>
                <w:color w:val="auto"/>
              </w:rPr>
            </w:pP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Report on Form 8-K filed on December 13, 2022 and incorporated herein by reference)</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Specimen Certificate of common stock of Orchid Island Capital, Inc. (filed as Exhibit 4.1 to the Company’s</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Registration Statement on Amendment No. 1 to Form S-11 (File No.333-184538) filed on November 28, 2012</w:t>
            </w: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and incorporated herein by reference)</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Description of Securities (filed as Exhibit 4.2 to the Company's Annual Report on Form 10-K filed on February</w:t>
            </w: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21, 2020 and incorporated herein by reference)</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w w:val="97"/>
              </w:rPr>
              <w:t>10.1</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Management Agreement between Orchid Island Capital, Inc. and Bimini Advisors, LLC, dated as of February</w:t>
            </w:r>
          </w:p>
        </w:tc>
      </w:tr>
      <w:tr>
        <w:trPr>
          <w:trHeight w:val="228"/>
        </w:trPr>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20, 2013 (filed as Exhibit 10.2 to the Company's Current Report on Form 8 K filed on April 3, 2014 and</w:t>
            </w:r>
          </w:p>
        </w:tc>
        <w:tc>
          <w:tcPr>
            <w:tcW w:w="240" w:type="dxa"/>
            <w:vAlign w:val="bottom"/>
          </w:tcPr>
          <w:p>
            <w:pPr>
              <w:spacing w:after="0"/>
              <w:rPr>
                <w:sz w:val="19"/>
                <w:szCs w:val="19"/>
                <w:color w:val="auto"/>
              </w:rPr>
            </w:pPr>
          </w:p>
        </w:tc>
      </w:tr>
      <w:tr>
        <w:trPr>
          <w:trHeight w:val="240"/>
        </w:trPr>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incorporated herein by reference)†</w:t>
            </w:r>
          </w:p>
        </w:tc>
        <w:tc>
          <w:tcPr>
            <w:tcW w:w="240" w:type="dxa"/>
            <w:vAlign w:val="bottom"/>
          </w:tcPr>
          <w:p>
            <w:pPr>
              <w:spacing w:after="0"/>
              <w:rPr>
                <w:sz w:val="20"/>
                <w:szCs w:val="20"/>
                <w:color w:val="auto"/>
              </w:rPr>
            </w:pPr>
          </w:p>
        </w:tc>
      </w:tr>
      <w:tr>
        <w:trPr>
          <w:trHeight w:val="230"/>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w w:val="97"/>
              </w:rPr>
              <w:t>10.2</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First Amendment to Management Agreement, effective as of April 1, 2014 (filed as Exhibit 10.1 to the</w:t>
            </w:r>
          </w:p>
        </w:tc>
        <w:tc>
          <w:tcPr>
            <w:tcW w:w="240" w:type="dxa"/>
            <w:vAlign w:val="bottom"/>
          </w:tcPr>
          <w:p>
            <w:pPr>
              <w:spacing w:after="0"/>
              <w:rPr>
                <w:sz w:val="20"/>
                <w:szCs w:val="20"/>
                <w:color w:val="auto"/>
              </w:rPr>
            </w:pPr>
          </w:p>
        </w:tc>
      </w:tr>
      <w:tr>
        <w:trPr>
          <w:trHeight w:val="265"/>
        </w:trPr>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Company's Current Report on Form 8-K filed on April 3, 2014 and incorporated herein by reference)†</w:t>
            </w:r>
          </w:p>
        </w:tc>
        <w:tc>
          <w:tcPr>
            <w:tcW w:w="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800"/>
          </w:cols>
          <w:pgMar w:left="720" w:top="1060" w:right="720" w:bottom="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Second Amendment to Management Agreement, effective as of June 30, 2014 (filed as Exhibit 10.1 to the</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Company's Current Report on Form 8-K filed on July 3, 2014 and incorporated herein by reference)†</w:t>
            </w:r>
          </w:p>
        </w:tc>
      </w:tr>
      <w:tr>
        <w:trPr>
          <w:trHeight w:val="228"/>
        </w:trPr>
        <w:tc>
          <w:tcPr>
            <w:tcW w:w="11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10.4</w:t>
            </w:r>
          </w:p>
        </w:tc>
        <w:tc>
          <w:tcPr>
            <w:tcW w:w="9640" w:type="dxa"/>
            <w:vAlign w:val="bottom"/>
          </w:tcPr>
          <w:p>
            <w:pPr>
              <w:ind w:left="700"/>
              <w:spacing w:after="0" w:line="228" w:lineRule="exact"/>
              <w:rPr>
                <w:sz w:val="20"/>
                <w:szCs w:val="20"/>
                <w:color w:val="auto"/>
              </w:rPr>
            </w:pPr>
            <w:r>
              <w:rPr>
                <w:rFonts w:ascii="Times New Roman" w:cs="Times New Roman" w:eastAsia="Times New Roman" w:hAnsi="Times New Roman"/>
                <w:sz w:val="20"/>
                <w:szCs w:val="20"/>
                <w:color w:val="auto"/>
              </w:rPr>
              <w:t>Third Amendment to Management Agreement, effective as of November 17, 2021 (filed as Exhibit 10.1 to the</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Company's Current Report on Form 8-K filed on November 17, 2021 and 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Form of Investment Allocation Agreement by and among Orchid Island Capital, Inc., Bimini Advisors, LLC</w:t>
            </w:r>
          </w:p>
        </w:tc>
      </w:tr>
      <w:tr>
        <w:trPr>
          <w:trHeight w:val="23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and Bimini Capital Management, Inc. (filed as Exhibit 10.2 to the Company’s Registration Statement on</w:t>
            </w:r>
          </w:p>
        </w:tc>
      </w:tr>
      <w:tr>
        <w:trPr>
          <w:trHeight w:val="23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Amendment No. 1 to Form S-11 (File No.333-184538) filed on November 28, 2012 and incorporated herein by</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2012 Equity Incentive Plan (filed as Exhibit 10.3 to the Company’s Registration Statement on Amendment No.</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 to Form S-11 (File No.333-184538) filed on November 28, 2012 and incorporated herein by reference)†</w:t>
            </w:r>
          </w:p>
        </w:tc>
      </w:tr>
      <w:tr>
        <w:trPr>
          <w:trHeight w:val="228"/>
        </w:trPr>
        <w:tc>
          <w:tcPr>
            <w:tcW w:w="11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10.7</w:t>
            </w:r>
          </w:p>
        </w:tc>
        <w:tc>
          <w:tcPr>
            <w:tcW w:w="9640" w:type="dxa"/>
            <w:vAlign w:val="bottom"/>
          </w:tcPr>
          <w:p>
            <w:pPr>
              <w:ind w:left="700"/>
              <w:spacing w:after="0" w:line="228" w:lineRule="exact"/>
              <w:rPr>
                <w:sz w:val="20"/>
                <w:szCs w:val="20"/>
                <w:color w:val="auto"/>
              </w:rPr>
            </w:pPr>
            <w:r>
              <w:rPr>
                <w:rFonts w:ascii="Times New Roman" w:cs="Times New Roman" w:eastAsia="Times New Roman" w:hAnsi="Times New Roman"/>
                <w:sz w:val="20"/>
                <w:szCs w:val="20"/>
                <w:color w:val="auto"/>
              </w:rPr>
              <w:t>2021 Equity Incentive Plan (filed as Exhibit 10.1 to the Company’s Current Report on Form 8-K filed on June</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15, 2021 and 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Form of Indemnification Agreement by and between Orchid Island Capital, Inc. and Indemnitee (filed as</w:t>
            </w:r>
          </w:p>
        </w:tc>
      </w:tr>
      <w:tr>
        <w:trPr>
          <w:trHeight w:val="23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Exhibit 10.4 to the Company’s Registration Statement on Amendment No. 1 to Form S-11 (File No.333-</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184538) filed on November 28, 2012 and 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Form of Master Repurchase Agreement (filed as Exhibit 10.5 to the Company’s Registration Statement on</w:t>
            </w:r>
          </w:p>
        </w:tc>
      </w:tr>
      <w:tr>
        <w:trPr>
          <w:trHeight w:val="23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Amendment No. 1 to Form S-11 (File No.333-184538) filed on November 28, 2012 and incorporated herein by</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Form of Performance Unit Award Agreement under the 2021 Equity Incentive Plan (filed as Exhibit 10.10 to</w:t>
            </w:r>
          </w:p>
        </w:tc>
      </w:tr>
      <w:tr>
        <w:trPr>
          <w:trHeight w:val="228"/>
        </w:trPr>
        <w:tc>
          <w:tcPr>
            <w:tcW w:w="1140" w:type="dxa"/>
            <w:vAlign w:val="bottom"/>
          </w:tcPr>
          <w:p>
            <w:pPr>
              <w:spacing w:after="0"/>
              <w:rPr>
                <w:sz w:val="19"/>
                <w:szCs w:val="19"/>
                <w:color w:val="auto"/>
              </w:rPr>
            </w:pPr>
          </w:p>
        </w:tc>
        <w:tc>
          <w:tcPr>
            <w:tcW w:w="9640" w:type="dxa"/>
            <w:vAlign w:val="bottom"/>
          </w:tcPr>
          <w:p>
            <w:pPr>
              <w:ind w:left="700"/>
              <w:spacing w:after="0" w:line="228" w:lineRule="exact"/>
              <w:rPr>
                <w:sz w:val="20"/>
                <w:szCs w:val="20"/>
                <w:color w:val="auto"/>
              </w:rPr>
            </w:pPr>
            <w:r>
              <w:rPr>
                <w:rFonts w:ascii="Times New Roman" w:cs="Times New Roman" w:eastAsia="Times New Roman" w:hAnsi="Times New Roman"/>
                <w:sz w:val="20"/>
                <w:szCs w:val="20"/>
                <w:color w:val="auto"/>
              </w:rPr>
              <w:t>the Company's Annual Report on Form 10-K filed on February 21, 2025 and incorporated herein by</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Form of Stock Award Agreement under the 2021 Equity Incentive Plan (filed as Exhibit 10.11 to the</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Company's Annual Report on Form 10-K filed on February 21, 2025 and incorporated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2018 Long Term Incentive Compensation Plan (filed as Exhibit 10.5 to Form 10-Q filed on April 27, 2018 and</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2019 Long Term Incentive Compensation Plan (filed as Exhibit 10.1 to Form 10-Q filed on April 26, 2019 and</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2020 Long Term Incentive Compensation Plan (filed as Exhibit 10.1 to Form 10-Q filed on May 1, 2020 and</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28"/>
        </w:trPr>
        <w:tc>
          <w:tcPr>
            <w:tcW w:w="11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10.15</w:t>
            </w:r>
          </w:p>
        </w:tc>
        <w:tc>
          <w:tcPr>
            <w:tcW w:w="9640" w:type="dxa"/>
            <w:vAlign w:val="bottom"/>
          </w:tcPr>
          <w:p>
            <w:pPr>
              <w:ind w:left="700"/>
              <w:spacing w:after="0" w:line="228" w:lineRule="exact"/>
              <w:rPr>
                <w:sz w:val="20"/>
                <w:szCs w:val="20"/>
                <w:color w:val="auto"/>
              </w:rPr>
            </w:pPr>
            <w:r>
              <w:rPr>
                <w:rFonts w:ascii="Times New Roman" w:cs="Times New Roman" w:eastAsia="Times New Roman" w:hAnsi="Times New Roman"/>
                <w:sz w:val="20"/>
                <w:szCs w:val="20"/>
                <w:color w:val="auto"/>
              </w:rPr>
              <w:t>2021 Long Term Incentive Compensation Plan (filed as Exhibit 10.1 to Form 10-Q filed on April 30, 2021 and</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2022 Long Term Incentive Compensation Plan (filed as Exhibit 10.1 to Form 10-Q filed on April 29, 2022 and</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2023 Long Term Incentive Compensation Plan (filed as Exhibit 10.20 to Form 10-K filed on March 3, 2023</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w w:val="99"/>
              </w:rPr>
              <w:t>2024 Long Term Incentive Compensation Plan (filed as Exhibit 10.20 to Form 10-K filed on February 23, 2024</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and 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2025 Long Term Incentive Compensation Plan (filed as Exhibit 10.20 to the Company's Annual Report on</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Form 10-K filed on February 21, 2025 and 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Form of Deferred Stock Unit Grant Notice and Agreement under the 2021 Equity Incentive Plan (filed as</w:t>
            </w:r>
          </w:p>
        </w:tc>
      </w:tr>
      <w:tr>
        <w:trPr>
          <w:trHeight w:val="228"/>
        </w:trPr>
        <w:tc>
          <w:tcPr>
            <w:tcW w:w="1140" w:type="dxa"/>
            <w:vAlign w:val="bottom"/>
          </w:tcPr>
          <w:p>
            <w:pPr>
              <w:spacing w:after="0"/>
              <w:rPr>
                <w:sz w:val="19"/>
                <w:szCs w:val="19"/>
                <w:color w:val="auto"/>
              </w:rPr>
            </w:pPr>
          </w:p>
        </w:tc>
        <w:tc>
          <w:tcPr>
            <w:tcW w:w="9640" w:type="dxa"/>
            <w:vAlign w:val="bottom"/>
          </w:tcPr>
          <w:p>
            <w:pPr>
              <w:ind w:left="700"/>
              <w:spacing w:after="0" w:line="228" w:lineRule="exact"/>
              <w:rPr>
                <w:sz w:val="20"/>
                <w:szCs w:val="20"/>
                <w:color w:val="auto"/>
              </w:rPr>
            </w:pPr>
            <w:r>
              <w:rPr>
                <w:rFonts w:ascii="Times New Roman" w:cs="Times New Roman" w:eastAsia="Times New Roman" w:hAnsi="Times New Roman"/>
                <w:sz w:val="20"/>
                <w:szCs w:val="20"/>
                <w:color w:val="auto"/>
              </w:rPr>
              <w:t>Exhibit 10.19 to the Company's Annual Report on Form 10-K filed on February 25, 2022 and incorporated</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Form of Director Cash Compensation Deferral Election Form (filed as Exhibit 10.20 to the Company's Annual</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Report on Form 10-K filed on February 25, 2022 and 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Insider Trading Policy (filed as Exhibit 19.1 to the Company’s Annual Report on Form 10-K filed on February</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21, 2025 and incorporated herein by reference)</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Subsidiaries of the Company (filed as Exhibit 21.1 to the Company’s Annual Report on Form 10-K filed on</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February 26, 2021 and incorporated herein by reference)</w:t>
            </w: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Consent of BDO USA, P.C.*</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Certification of Robert E. Cauley, Chief Executive Officer and President of the Registrant, pursuant to Section</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302 of the Sarbanes-Oxley Act of 2002.*</w:t>
            </w:r>
          </w:p>
        </w:tc>
      </w:tr>
      <w:tr>
        <w:trPr>
          <w:trHeight w:val="228"/>
        </w:trPr>
        <w:tc>
          <w:tcPr>
            <w:tcW w:w="11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31.2</w:t>
            </w:r>
          </w:p>
        </w:tc>
        <w:tc>
          <w:tcPr>
            <w:tcW w:w="9640" w:type="dxa"/>
            <w:vAlign w:val="bottom"/>
          </w:tcPr>
          <w:p>
            <w:pPr>
              <w:ind w:left="700"/>
              <w:spacing w:after="0" w:line="228" w:lineRule="exact"/>
              <w:rPr>
                <w:sz w:val="20"/>
                <w:szCs w:val="20"/>
                <w:color w:val="auto"/>
              </w:rPr>
            </w:pPr>
            <w:r>
              <w:rPr>
                <w:rFonts w:ascii="Times New Roman" w:cs="Times New Roman" w:eastAsia="Times New Roman" w:hAnsi="Times New Roman"/>
                <w:sz w:val="20"/>
                <w:szCs w:val="20"/>
                <w:color w:val="auto"/>
              </w:rPr>
              <w:t>Certification of George H. Haas, IV, Chief Financial Officer of the Registrant, pursuant to Section 302 of the</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Sarbanes-Oxley Act of 2002.*</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Certification of Robert E. Cauley, Chief Executive Officer and President of the Registrant, pursuant to 18</w:t>
            </w:r>
          </w:p>
        </w:tc>
      </w:tr>
      <w:tr>
        <w:trPr>
          <w:trHeight w:val="240"/>
        </w:trPr>
        <w:tc>
          <w:tcPr>
            <w:tcW w:w="114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U.S.C. Section 1350 as adopted pursuant to Section 906 of the Sarbanes-Oxley Act of 2002.**</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Certification of George H. Haas, IV, Chief Financial Officer of the Registrant, pursuant to 18 U.S.C. Section</w:t>
            </w:r>
          </w:p>
        </w:tc>
      </w:tr>
      <w:tr>
        <w:trPr>
          <w:trHeight w:val="265"/>
        </w:trPr>
        <w:tc>
          <w:tcPr>
            <w:tcW w:w="1140" w:type="dxa"/>
            <w:vAlign w:val="bottom"/>
          </w:tcPr>
          <w:p>
            <w:pPr>
              <w:spacing w:after="0"/>
              <w:rPr>
                <w:sz w:val="23"/>
                <w:szCs w:val="23"/>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1350 as adopted pursuant to Section 906 of the Sarbanes-Oxley Act of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780"/>
          </w:cols>
          <w:pgMar w:left="720" w:top="792" w:right="740" w:bottom="0" w:gutter="0" w:footer="0" w:header="0"/>
        </w:sectPr>
      </w:pPr>
    </w:p>
    <w:bookmarkStart w:id="103" w:name="page104"/>
    <w:bookmarkEnd w:id="103"/>
    <w:p>
      <w:pPr>
        <w:spacing w:after="0" w:line="324" w:lineRule="auto"/>
        <w:rPr>
          <w:sz w:val="20"/>
          <w:szCs w:val="20"/>
          <w:color w:val="auto"/>
        </w:rPr>
      </w:pPr>
      <w:r>
        <w:rPr>
          <w:rFonts w:ascii="Times New Roman" w:cs="Times New Roman" w:eastAsia="Times New Roman" w:hAnsi="Times New Roman"/>
          <w:sz w:val="20"/>
          <w:szCs w:val="20"/>
          <w:color w:val="auto"/>
        </w:rPr>
        <w:t>Exhibit 97 Exhibit 101.INS Exhibit 101.SCH Exhibit 101.CAL Exhibit 101.DEF Exhibit 101.LAB Exhibit 101.PRE Exhibit 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Incentive Compensation Recoupment Policy (filed as Exhibit 97 to Form 10</w:t>
      </w:r>
      <w:r>
        <w:rPr>
          <w:rFonts w:ascii="Times New Roman" w:cs="Times New Roman" w:eastAsia="Times New Roman" w:hAnsi="Times New Roman"/>
          <w:sz w:val="20"/>
          <w:szCs w:val="20"/>
          <w:color w:val="242424"/>
        </w:rPr>
        <w:t>-</w:t>
      </w:r>
      <w:r>
        <w:rPr>
          <w:rFonts w:ascii="Times New Roman" w:cs="Times New Roman" w:eastAsia="Times New Roman" w:hAnsi="Times New Roman"/>
          <w:sz w:val="20"/>
          <w:szCs w:val="20"/>
          <w:color w:val="auto"/>
        </w:rPr>
        <w:t>K filed on February 23, 2024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incorporated herein by reference)†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 File because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XBRL tags are embedded within the Inline XBRL document)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Extension Schema Document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Additional Taxonomy Extension Definition Linkbase Document Created***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14" w:lineRule="exact"/>
        <w:rPr>
          <w:sz w:val="20"/>
          <w:szCs w:val="20"/>
          <w:color w:val="auto"/>
        </w:rPr>
      </w:pPr>
    </w:p>
    <w:p>
      <w:pPr>
        <w:sectPr>
          <w:pgSz w:w="12240" w:h="15840" w:orient="portrait"/>
          <w:cols w:equalWidth="0" w:num="2">
            <w:col w:w="1400" w:space="440"/>
            <w:col w:w="8840"/>
          </w:cols>
          <w:pgMar w:left="720" w:top="792" w:right="840" w:bottom="0" w:gutter="0" w:footer="0" w:header="0"/>
        </w:sectPr>
      </w:pPr>
    </w:p>
    <w:p>
      <w:pPr>
        <w:ind w:left="540" w:hanging="530"/>
        <w:spacing w:after="0"/>
        <w:tabs>
          <w:tab w:leader="none" w:pos="5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36" w:lineRule="exact"/>
        <w:rPr>
          <w:sz w:val="20"/>
          <w:szCs w:val="20"/>
          <w:color w:val="auto"/>
        </w:rPr>
      </w:pPr>
    </w:p>
    <w:p>
      <w:pPr>
        <w:ind w:left="540" w:hanging="530"/>
        <w:spacing w:after="0"/>
        <w:tabs>
          <w:tab w:leader="none" w:pos="5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10" w:lineRule="exact"/>
        <w:rPr>
          <w:rFonts w:ascii="Times New Roman" w:cs="Times New Roman" w:eastAsia="Times New Roman" w:hAnsi="Times New Roman"/>
          <w:sz w:val="20"/>
          <w:szCs w:val="20"/>
          <w:color w:val="auto"/>
        </w:rPr>
      </w:pPr>
    </w:p>
    <w:p>
      <w:pPr>
        <w:ind w:left="540" w:hanging="530"/>
        <w:spacing w:after="0"/>
        <w:tabs>
          <w:tab w:leader="none" w:pos="5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Submitted electronically herewith.</w:t>
      </w:r>
    </w:p>
    <w:p>
      <w:pPr>
        <w:spacing w:after="0" w:line="10" w:lineRule="exact"/>
        <w:rPr>
          <w:sz w:val="20"/>
          <w:szCs w:val="20"/>
          <w:color w:val="auto"/>
        </w:rPr>
      </w:pPr>
    </w:p>
    <w:p>
      <w:pPr>
        <w:ind w:left="540" w:hanging="530"/>
        <w:spacing w:after="0"/>
        <w:tabs>
          <w:tab w:leader="none" w:pos="5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elected not to provide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680"/>
          </w:cols>
          <w:pgMar w:left="720" w:top="792" w:right="84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20" w:type="dxa"/>
            <w:vAlign w:val="bottom"/>
            <w:gridSpan w:val="2"/>
          </w:tcPr>
          <w:p>
            <w:pPr>
              <w:ind w:left="460"/>
              <w:spacing w:after="0"/>
              <w:rPr>
                <w:sz w:val="20"/>
                <w:szCs w:val="20"/>
                <w:color w:val="auto"/>
              </w:rPr>
            </w:pPr>
            <w:r>
              <w:rPr>
                <w:rFonts w:ascii="Times New Roman" w:cs="Times New Roman" w:eastAsia="Times New Roman" w:hAnsi="Times New Roman"/>
                <w:sz w:val="20"/>
                <w:szCs w:val="20"/>
                <w:b w:val="1"/>
                <w:bCs w:val="1"/>
                <w:color w:val="auto"/>
              </w:rPr>
              <w:t>Orchid Island Capital, Inc</w:t>
            </w:r>
            <w:r>
              <w:rPr>
                <w:rFonts w:ascii="Times New Roman" w:cs="Times New Roman" w:eastAsia="Times New Roman" w:hAnsi="Times New Roman"/>
                <w:sz w:val="20"/>
                <w:szCs w:val="20"/>
                <w:color w:val="auto"/>
              </w:rPr>
              <w:t>.</w:t>
            </w:r>
          </w:p>
        </w:tc>
      </w:tr>
      <w:tr>
        <w:trPr>
          <w:trHeight w:val="265"/>
        </w:trPr>
        <w:tc>
          <w:tcPr>
            <w:tcW w:w="7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2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auto"/>
              </w:rPr>
              <w:t>Registrant</w:t>
            </w:r>
          </w:p>
        </w:tc>
      </w:tr>
      <w:tr>
        <w:trPr>
          <w:trHeight w:val="71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20, 2026</w:t>
            </w:r>
          </w:p>
        </w:tc>
        <w:tc>
          <w:tcPr>
            <w:tcW w:w="21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By:</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Robert E. Cauley</w:t>
            </w:r>
          </w:p>
        </w:tc>
      </w:tr>
      <w:tr>
        <w:trPr>
          <w:trHeight w:val="207"/>
        </w:trPr>
        <w:tc>
          <w:tcPr>
            <w:tcW w:w="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220" w:type="dxa"/>
            <w:vAlign w:val="bottom"/>
            <w:tcBorders>
              <w:top w:val="single" w:sz="8" w:color="auto"/>
            </w:tcBorders>
          </w:tcPr>
          <w:p>
            <w:pPr>
              <w:ind w:left="20"/>
              <w:spacing w:after="0" w:line="207" w:lineRule="exact"/>
              <w:rPr>
                <w:sz w:val="20"/>
                <w:szCs w:val="20"/>
                <w:color w:val="auto"/>
              </w:rPr>
            </w:pPr>
            <w:r>
              <w:rPr>
                <w:rFonts w:ascii="Times New Roman" w:cs="Times New Roman" w:eastAsia="Times New Roman" w:hAnsi="Times New Roman"/>
                <w:sz w:val="20"/>
                <w:szCs w:val="20"/>
                <w:color w:val="auto"/>
              </w:rPr>
              <w:t>Robert E. Cauley</w:t>
            </w:r>
          </w:p>
        </w:tc>
        <w:tc>
          <w:tcPr>
            <w:tcW w:w="2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Chief Executive Officer, President and</w:t>
            </w:r>
          </w:p>
        </w:tc>
      </w:tr>
      <w:tr>
        <w:trPr>
          <w:trHeight w:val="265"/>
        </w:trPr>
        <w:tc>
          <w:tcPr>
            <w:tcW w:w="7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Chairman of the Board</w:t>
            </w:r>
          </w:p>
        </w:tc>
      </w:tr>
      <w:tr>
        <w:trPr>
          <w:trHeight w:val="47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3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February 20, 2026</w:t>
            </w:r>
          </w:p>
        </w:tc>
        <w:tc>
          <w:tcPr>
            <w:tcW w:w="2140" w:type="dxa"/>
            <w:vAlign w:val="bottom"/>
          </w:tcPr>
          <w:p>
            <w:pPr>
              <w:ind w:left="1660"/>
              <w:spacing w:after="0"/>
              <w:rPr>
                <w:sz w:val="20"/>
                <w:szCs w:val="20"/>
                <w:color w:val="auto"/>
              </w:rPr>
            </w:pPr>
            <w:r>
              <w:rPr>
                <w:rFonts w:ascii="Times New Roman" w:cs="Times New Roman" w:eastAsia="Times New Roman" w:hAnsi="Times New Roman"/>
                <w:sz w:val="20"/>
                <w:szCs w:val="20"/>
                <w:color w:val="auto"/>
              </w:rPr>
              <w:t>By:</w:t>
            </w:r>
          </w:p>
        </w:tc>
        <w:tc>
          <w:tcPr>
            <w:tcW w:w="3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George H. Haas, IV</w:t>
            </w:r>
          </w:p>
        </w:tc>
      </w:tr>
      <w:tr>
        <w:trPr>
          <w:trHeight w:val="207"/>
        </w:trPr>
        <w:tc>
          <w:tcPr>
            <w:tcW w:w="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220" w:type="dxa"/>
            <w:vAlign w:val="bottom"/>
            <w:tcBorders>
              <w:top w:val="single" w:sz="8" w:color="auto"/>
            </w:tcBorders>
          </w:tcPr>
          <w:p>
            <w:pPr>
              <w:ind w:left="20"/>
              <w:spacing w:after="0" w:line="207" w:lineRule="exact"/>
              <w:rPr>
                <w:sz w:val="20"/>
                <w:szCs w:val="20"/>
                <w:color w:val="auto"/>
              </w:rPr>
            </w:pPr>
            <w:r>
              <w:rPr>
                <w:rFonts w:ascii="Times New Roman" w:cs="Times New Roman" w:eastAsia="Times New Roman" w:hAnsi="Times New Roman"/>
                <w:sz w:val="20"/>
                <w:szCs w:val="20"/>
                <w:color w:val="auto"/>
              </w:rPr>
              <w:t>George H. Haas, IV</w:t>
            </w:r>
          </w:p>
        </w:tc>
        <w:tc>
          <w:tcPr>
            <w:tcW w:w="2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Secretary, Chief Financial Officer, Chief</w:t>
            </w:r>
          </w:p>
        </w:tc>
      </w:tr>
      <w:tr>
        <w:trPr>
          <w:trHeight w:val="230"/>
        </w:trPr>
        <w:tc>
          <w:tcPr>
            <w:tcW w:w="7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Investment Officer and Director (Principal</w:t>
            </w:r>
          </w:p>
        </w:tc>
      </w:tr>
      <w:tr>
        <w:trPr>
          <w:trHeight w:val="265"/>
        </w:trPr>
        <w:tc>
          <w:tcPr>
            <w:tcW w:w="7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Financial and Accounting Officer)</w:t>
            </w:r>
          </w:p>
        </w:tc>
      </w:tr>
    </w:tbl>
    <w:p>
      <w:pPr>
        <w:spacing w:after="0" w:line="19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Company and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E. Cauley</w:t>
            </w:r>
          </w:p>
        </w:tc>
        <w:tc>
          <w:tcPr>
            <w:tcW w:w="4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Chairman of the Board, Director, Chief</w:t>
            </w:r>
          </w:p>
        </w:tc>
        <w:tc>
          <w:tcPr>
            <w:tcW w:w="194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February 20, 2026</w:t>
            </w: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Robert E. Cauley</w:t>
            </w:r>
          </w:p>
        </w:tc>
        <w:tc>
          <w:tcPr>
            <w:tcW w:w="4380" w:type="dxa"/>
            <w:vAlign w:val="bottom"/>
          </w:tcPr>
          <w:p>
            <w:pPr>
              <w:ind w:left="320"/>
              <w:spacing w:after="0" w:line="216" w:lineRule="exact"/>
              <w:rPr>
                <w:sz w:val="20"/>
                <w:szCs w:val="20"/>
                <w:color w:val="auto"/>
              </w:rPr>
            </w:pPr>
            <w:r>
              <w:rPr>
                <w:rFonts w:ascii="Times New Roman" w:cs="Times New Roman" w:eastAsia="Times New Roman" w:hAnsi="Times New Roman"/>
                <w:sz w:val="20"/>
                <w:szCs w:val="20"/>
                <w:color w:val="auto"/>
              </w:rPr>
              <w:t>Executive Officer, and President</w:t>
            </w:r>
          </w:p>
        </w:tc>
        <w:tc>
          <w:tcPr>
            <w:tcW w:w="1940" w:type="dxa"/>
            <w:vAlign w:val="bottom"/>
          </w:tcPr>
          <w:p>
            <w:pPr>
              <w:spacing w:after="0"/>
              <w:rPr>
                <w:sz w:val="18"/>
                <w:szCs w:val="18"/>
                <w:color w:val="auto"/>
              </w:rPr>
            </w:pPr>
          </w:p>
        </w:tc>
      </w:tr>
      <w:tr>
        <w:trPr>
          <w:trHeight w:val="265"/>
        </w:trPr>
        <w:tc>
          <w:tcPr>
            <w:tcW w:w="3700" w:type="dxa"/>
            <w:vAlign w:val="bottom"/>
          </w:tcPr>
          <w:p>
            <w:pPr>
              <w:spacing w:after="0"/>
              <w:rPr>
                <w:sz w:val="23"/>
                <w:szCs w:val="23"/>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940" w:type="dxa"/>
            <w:vAlign w:val="bottom"/>
          </w:tcPr>
          <w:p>
            <w:pPr>
              <w:spacing w:after="0"/>
              <w:rPr>
                <w:sz w:val="23"/>
                <w:szCs w:val="23"/>
                <w:color w:val="auto"/>
              </w:rPr>
            </w:pPr>
          </w:p>
        </w:tc>
      </w:tr>
      <w:tr>
        <w:trPr>
          <w:trHeight w:val="473"/>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George H. Haas, IV</w:t>
            </w:r>
          </w:p>
        </w:tc>
        <w:tc>
          <w:tcPr>
            <w:tcW w:w="4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Chief Financial Officer, Chief</w:t>
            </w:r>
          </w:p>
        </w:tc>
        <w:tc>
          <w:tcPr>
            <w:tcW w:w="194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February 20, 2026</w:t>
            </w: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George H. Haas, IV</w:t>
            </w:r>
          </w:p>
        </w:tc>
        <w:tc>
          <w:tcPr>
            <w:tcW w:w="4380" w:type="dxa"/>
            <w:vAlign w:val="bottom"/>
          </w:tcPr>
          <w:p>
            <w:pPr>
              <w:ind w:left="320"/>
              <w:spacing w:after="0" w:line="216" w:lineRule="exact"/>
              <w:rPr>
                <w:sz w:val="20"/>
                <w:szCs w:val="20"/>
                <w:color w:val="auto"/>
              </w:rPr>
            </w:pPr>
            <w:r>
              <w:rPr>
                <w:rFonts w:ascii="Times New Roman" w:cs="Times New Roman" w:eastAsia="Times New Roman" w:hAnsi="Times New Roman"/>
                <w:sz w:val="20"/>
                <w:szCs w:val="20"/>
                <w:color w:val="auto"/>
              </w:rPr>
              <w:t>Investment Officer, and Director</w:t>
            </w:r>
          </w:p>
        </w:tc>
        <w:tc>
          <w:tcPr>
            <w:tcW w:w="1940" w:type="dxa"/>
            <w:vAlign w:val="bottom"/>
          </w:tcPr>
          <w:p>
            <w:pPr>
              <w:spacing w:after="0"/>
              <w:rPr>
                <w:sz w:val="18"/>
                <w:szCs w:val="18"/>
                <w:color w:val="auto"/>
              </w:rPr>
            </w:pPr>
          </w:p>
        </w:tc>
      </w:tr>
      <w:tr>
        <w:trPr>
          <w:trHeight w:val="265"/>
        </w:trPr>
        <w:tc>
          <w:tcPr>
            <w:tcW w:w="3700" w:type="dxa"/>
            <w:vAlign w:val="bottom"/>
          </w:tcPr>
          <w:p>
            <w:pPr>
              <w:spacing w:after="0"/>
              <w:rPr>
                <w:sz w:val="23"/>
                <w:szCs w:val="23"/>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940" w:type="dxa"/>
            <w:vAlign w:val="bottom"/>
          </w:tcPr>
          <w:p>
            <w:pPr>
              <w:spacing w:after="0"/>
              <w:rPr>
                <w:sz w:val="23"/>
                <w:szCs w:val="23"/>
                <w:color w:val="auto"/>
              </w:rPr>
            </w:pPr>
          </w:p>
        </w:tc>
      </w:tr>
      <w:tr>
        <w:trPr>
          <w:trHeight w:val="470"/>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 Coleman Bitting</w:t>
            </w:r>
          </w:p>
        </w:tc>
        <w:tc>
          <w:tcPr>
            <w:tcW w:w="4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Independent Director</w:t>
            </w:r>
          </w:p>
        </w:tc>
        <w:tc>
          <w:tcPr>
            <w:tcW w:w="194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February 20, 2026</w:t>
            </w:r>
          </w:p>
        </w:tc>
      </w:tr>
      <w:tr>
        <w:trPr>
          <w:trHeight w:val="26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W Coleman Bitting</w:t>
            </w:r>
          </w:p>
        </w:tc>
        <w:tc>
          <w:tcPr>
            <w:tcW w:w="438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45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Frank P. Filipps</w:t>
            </w:r>
          </w:p>
        </w:tc>
        <w:tc>
          <w:tcPr>
            <w:tcW w:w="4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Independent Director</w:t>
            </w:r>
          </w:p>
        </w:tc>
        <w:tc>
          <w:tcPr>
            <w:tcW w:w="194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February 20, 2026</w:t>
            </w:r>
          </w:p>
        </w:tc>
      </w:tr>
      <w:tr>
        <w:trPr>
          <w:trHeight w:val="26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Frank P. Filipps</w:t>
            </w:r>
          </w:p>
        </w:tc>
        <w:tc>
          <w:tcPr>
            <w:tcW w:w="438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452"/>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Paula Morabito</w:t>
            </w:r>
          </w:p>
        </w:tc>
        <w:tc>
          <w:tcPr>
            <w:tcW w:w="4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Independent Director</w:t>
            </w:r>
          </w:p>
        </w:tc>
        <w:tc>
          <w:tcPr>
            <w:tcW w:w="194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February 20, 2026</w:t>
            </w:r>
          </w:p>
        </w:tc>
      </w:tr>
      <w:tr>
        <w:trPr>
          <w:trHeight w:val="26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Paula Morabito</w:t>
            </w:r>
          </w:p>
        </w:tc>
        <w:tc>
          <w:tcPr>
            <w:tcW w:w="438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452"/>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Ava L. Parker</w:t>
            </w:r>
          </w:p>
        </w:tc>
        <w:tc>
          <w:tcPr>
            <w:tcW w:w="43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Independent Director</w:t>
            </w:r>
          </w:p>
        </w:tc>
        <w:tc>
          <w:tcPr>
            <w:tcW w:w="194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February 20, 2026</w:t>
            </w:r>
          </w:p>
        </w:tc>
      </w:tr>
      <w:tr>
        <w:trPr>
          <w:trHeight w:val="26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Ava L. Parker</w:t>
            </w:r>
          </w:p>
        </w:tc>
        <w:tc>
          <w:tcPr>
            <w:tcW w:w="4380" w:type="dxa"/>
            <w:vAlign w:val="bottom"/>
          </w:tcPr>
          <w:p>
            <w:pPr>
              <w:spacing w:after="0"/>
              <w:rPr>
                <w:sz w:val="22"/>
                <w:szCs w:val="22"/>
                <w:color w:val="auto"/>
              </w:rPr>
            </w:pPr>
          </w:p>
        </w:tc>
        <w:tc>
          <w:tcPr>
            <w:tcW w:w="19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800"/>
          </w:cols>
          <w:pgMar w:left="720" w:top="7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800"/>
          </w:cols>
          <w:pgMar w:left="720" w:top="784" w:right="720"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PMingLiU" w:cs="PMingLiU" w:eastAsia="PMingLiU" w:hAnsi="PMingLiU"/>
          <w:sz w:val="15"/>
          <w:szCs w:val="15"/>
          <w:color w:val="auto"/>
        </w:rPr>
        <w:t>7KLVSDJHLQWHQWLRQDOO\OHIWEODQN</w:t>
      </w:r>
      <w:r>
        <w:rPr>
          <w:rFonts w:ascii="Times New Roman" w:cs="Times New Roman" w:eastAsia="Times New Roman" w:hAnsi="Times New Roman"/>
          <w:sz w:val="15"/>
          <w:szCs w:val="15"/>
          <w:color w:val="auto"/>
        </w:rPr>
        <w:t>]</w:t>
      </w:r>
    </w:p>
    <w:p>
      <w:pPr>
        <w:sectPr>
          <w:pgSz w:w="12240" w:h="15840" w:orient="portrait"/>
          <w:cols w:equalWidth="0" w:num="1">
            <w:col w:w="9360"/>
          </w:cols>
          <w:pgMar w:left="1440" w:top="1440" w:right="1440" w:bottom="1440" w:gutter="0" w:footer="0" w:header="0"/>
        </w:sectPr>
      </w:pPr>
    </w:p>
    <w:bookmarkStart w:id="106" w:name="page107"/>
    <w:bookmarkEnd w:id="106"/>
    <w:p>
      <w:pPr>
        <w:ind w:left="1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20"/>
          <w:szCs w:val="20"/>
          <w:b w:val="1"/>
          <w:bCs w:val="1"/>
          <w:color w:val="auto"/>
        </w:rPr>
        <w:t>ORPORATE</w:t>
      </w:r>
      <w:r>
        <w:rPr>
          <w:rFonts w:ascii="Arial" w:cs="Arial" w:eastAsia="Arial" w:hAnsi="Arial"/>
          <w:sz w:val="22"/>
          <w:szCs w:val="22"/>
          <w:b w:val="1"/>
          <w:bCs w:val="1"/>
          <w:color w:val="auto"/>
        </w:rPr>
        <w:t xml:space="preserve"> I</w:t>
      </w:r>
      <w:r>
        <w:rPr>
          <w:rFonts w:ascii="Arial" w:cs="Arial" w:eastAsia="Arial" w:hAnsi="Arial"/>
          <w:sz w:val="20"/>
          <w:szCs w:val="20"/>
          <w:b w:val="1"/>
          <w:bCs w:val="1"/>
          <w:color w:val="auto"/>
        </w:rPr>
        <w:t>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12700</wp:posOffset>
                </wp:positionV>
                <wp:extent cx="692594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259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pt" to="545pt,1pt" o:allowincell="f" strokecolor="#000000" strokeweight="0.48pt"/>
            </w:pict>
          </mc:Fallback>
        </mc:AlternateConten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98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BOARD OF DIRECTORS</w:t>
            </w:r>
          </w:p>
        </w:tc>
        <w:tc>
          <w:tcPr>
            <w:tcW w:w="280" w:type="dxa"/>
            <w:vAlign w:val="bottom"/>
          </w:tcPr>
          <w:p>
            <w:pPr>
              <w:spacing w:after="0"/>
              <w:rPr>
                <w:sz w:val="23"/>
                <w:szCs w:val="23"/>
                <w:color w:val="auto"/>
              </w:rPr>
            </w:pPr>
          </w:p>
        </w:tc>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OFFICERS</w:t>
            </w:r>
          </w:p>
        </w:tc>
        <w:tc>
          <w:tcPr>
            <w:tcW w:w="260" w:type="dxa"/>
            <w:vAlign w:val="bottom"/>
          </w:tcPr>
          <w:p>
            <w:pPr>
              <w:spacing w:after="0"/>
              <w:rPr>
                <w:sz w:val="23"/>
                <w:szCs w:val="23"/>
                <w:color w:val="auto"/>
              </w:rPr>
            </w:pPr>
          </w:p>
        </w:tc>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HEADQUARTERS</w:t>
            </w:r>
          </w:p>
        </w:tc>
        <w:tc>
          <w:tcPr>
            <w:tcW w:w="0" w:type="dxa"/>
            <w:vAlign w:val="bottom"/>
          </w:tcPr>
          <w:p>
            <w:pPr>
              <w:spacing w:after="0"/>
              <w:rPr>
                <w:sz w:val="1"/>
                <w:szCs w:val="1"/>
                <w:color w:val="auto"/>
              </w:rPr>
            </w:pPr>
          </w:p>
        </w:tc>
      </w:tr>
      <w:tr>
        <w:trPr>
          <w:trHeight w:val="529"/>
        </w:trPr>
        <w:tc>
          <w:tcPr>
            <w:tcW w:w="2980" w:type="dxa"/>
            <w:vAlign w:val="bottom"/>
          </w:tcPr>
          <w:p>
            <w:pPr>
              <w:ind w:left="100"/>
              <w:spacing w:after="0"/>
              <w:rPr>
                <w:sz w:val="20"/>
                <w:szCs w:val="20"/>
                <w:color w:val="auto"/>
              </w:rPr>
            </w:pPr>
            <w:r>
              <w:rPr>
                <w:rFonts w:ascii="Arial" w:cs="Arial" w:eastAsia="Arial" w:hAnsi="Arial"/>
                <w:sz w:val="20"/>
                <w:szCs w:val="20"/>
                <w:b w:val="1"/>
                <w:bCs w:val="1"/>
                <w:color w:val="auto"/>
              </w:rPr>
              <w:t>Robert E. Cauley, CFA</w:t>
            </w:r>
          </w:p>
        </w:tc>
        <w:tc>
          <w:tcPr>
            <w:tcW w:w="280" w:type="dxa"/>
            <w:vAlign w:val="bottom"/>
          </w:tcPr>
          <w:p>
            <w:pPr>
              <w:spacing w:after="0"/>
              <w:rPr>
                <w:sz w:val="24"/>
                <w:szCs w:val="24"/>
                <w:color w:val="auto"/>
              </w:rPr>
            </w:pPr>
          </w:p>
        </w:tc>
        <w:tc>
          <w:tcPr>
            <w:tcW w:w="2700" w:type="dxa"/>
            <w:vAlign w:val="bottom"/>
          </w:tcPr>
          <w:p>
            <w:pPr>
              <w:ind w:left="100"/>
              <w:spacing w:after="0"/>
              <w:rPr>
                <w:sz w:val="20"/>
                <w:szCs w:val="20"/>
                <w:color w:val="auto"/>
              </w:rPr>
            </w:pPr>
            <w:r>
              <w:rPr>
                <w:rFonts w:ascii="Arial" w:cs="Arial" w:eastAsia="Arial" w:hAnsi="Arial"/>
                <w:sz w:val="20"/>
                <w:szCs w:val="20"/>
                <w:b w:val="1"/>
                <w:bCs w:val="1"/>
                <w:color w:val="auto"/>
              </w:rPr>
              <w:t>Robert E. Cauley, CFA</w:t>
            </w:r>
          </w:p>
        </w:tc>
        <w:tc>
          <w:tcPr>
            <w:tcW w:w="260" w:type="dxa"/>
            <w:vAlign w:val="bottom"/>
          </w:tcPr>
          <w:p>
            <w:pPr>
              <w:spacing w:after="0"/>
              <w:rPr>
                <w:sz w:val="24"/>
                <w:szCs w:val="24"/>
                <w:color w:val="auto"/>
              </w:rPr>
            </w:pPr>
          </w:p>
        </w:tc>
        <w:tc>
          <w:tcPr>
            <w:tcW w:w="4680" w:type="dxa"/>
            <w:vAlign w:val="bottom"/>
          </w:tcPr>
          <w:p>
            <w:pPr>
              <w:ind w:left="100"/>
              <w:spacing w:after="0"/>
              <w:rPr>
                <w:sz w:val="20"/>
                <w:szCs w:val="20"/>
                <w:color w:val="auto"/>
              </w:rPr>
            </w:pPr>
            <w:r>
              <w:rPr>
                <w:rFonts w:ascii="Arial" w:cs="Arial" w:eastAsia="Arial" w:hAnsi="Arial"/>
                <w:sz w:val="20"/>
                <w:szCs w:val="20"/>
                <w:b w:val="1"/>
                <w:bCs w:val="1"/>
                <w:color w:val="auto"/>
              </w:rPr>
              <w:t>Orchid Island Capital, Inc.</w:t>
            </w:r>
          </w:p>
        </w:tc>
        <w:tc>
          <w:tcPr>
            <w:tcW w:w="0" w:type="dxa"/>
            <w:vAlign w:val="bottom"/>
          </w:tcPr>
          <w:p>
            <w:pPr>
              <w:spacing w:after="0"/>
              <w:rPr>
                <w:sz w:val="1"/>
                <w:szCs w:val="1"/>
                <w:color w:val="auto"/>
              </w:rPr>
            </w:pPr>
          </w:p>
        </w:tc>
      </w:tr>
      <w:tr>
        <w:trPr>
          <w:trHeight w:val="264"/>
        </w:trPr>
        <w:tc>
          <w:tcPr>
            <w:tcW w:w="2980" w:type="dxa"/>
            <w:vAlign w:val="bottom"/>
          </w:tcPr>
          <w:p>
            <w:pPr>
              <w:ind w:left="100"/>
              <w:spacing w:after="0"/>
              <w:rPr>
                <w:sz w:val="20"/>
                <w:szCs w:val="20"/>
                <w:color w:val="auto"/>
              </w:rPr>
            </w:pPr>
            <w:r>
              <w:rPr>
                <w:rFonts w:ascii="Arial" w:cs="Arial" w:eastAsia="Arial" w:hAnsi="Arial"/>
                <w:sz w:val="20"/>
                <w:szCs w:val="20"/>
                <w:color w:val="auto"/>
              </w:rPr>
              <w:t>Chairman of the Board</w:t>
            </w:r>
          </w:p>
        </w:tc>
        <w:tc>
          <w:tcPr>
            <w:tcW w:w="280" w:type="dxa"/>
            <w:vAlign w:val="bottom"/>
          </w:tcPr>
          <w:p>
            <w:pPr>
              <w:spacing w:after="0"/>
              <w:rPr>
                <w:sz w:val="22"/>
                <w:szCs w:val="22"/>
                <w:color w:val="auto"/>
              </w:rPr>
            </w:pPr>
          </w:p>
        </w:tc>
        <w:tc>
          <w:tcPr>
            <w:tcW w:w="2700" w:type="dxa"/>
            <w:vAlign w:val="bottom"/>
          </w:tcPr>
          <w:p>
            <w:pPr>
              <w:ind w:left="100"/>
              <w:spacing w:after="0"/>
              <w:rPr>
                <w:sz w:val="20"/>
                <w:szCs w:val="20"/>
                <w:color w:val="auto"/>
              </w:rPr>
            </w:pPr>
            <w:r>
              <w:rPr>
                <w:rFonts w:ascii="Arial" w:cs="Arial" w:eastAsia="Arial" w:hAnsi="Arial"/>
                <w:sz w:val="20"/>
                <w:szCs w:val="20"/>
                <w:color w:val="auto"/>
              </w:rPr>
              <w:t>President and</w:t>
            </w:r>
          </w:p>
        </w:tc>
        <w:tc>
          <w:tcPr>
            <w:tcW w:w="260" w:type="dxa"/>
            <w:vAlign w:val="bottom"/>
          </w:tcPr>
          <w:p>
            <w:pPr>
              <w:spacing w:after="0"/>
              <w:rPr>
                <w:sz w:val="22"/>
                <w:szCs w:val="22"/>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3305 Flamingo Drive</w:t>
            </w:r>
          </w:p>
        </w:tc>
        <w:tc>
          <w:tcPr>
            <w:tcW w:w="0" w:type="dxa"/>
            <w:vAlign w:val="bottom"/>
          </w:tcPr>
          <w:p>
            <w:pPr>
              <w:spacing w:after="0"/>
              <w:rPr>
                <w:sz w:val="1"/>
                <w:szCs w:val="1"/>
                <w:color w:val="auto"/>
              </w:rPr>
            </w:pPr>
          </w:p>
        </w:tc>
      </w:tr>
      <w:tr>
        <w:trPr>
          <w:trHeight w:val="265"/>
        </w:trPr>
        <w:tc>
          <w:tcPr>
            <w:tcW w:w="298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G.</w:t>
            </w:r>
            <w:r>
              <w:rPr>
                <w:rFonts w:ascii="PMingLiU" w:cs="PMingLiU" w:eastAsia="PMingLiU" w:hAnsi="PMingLiU"/>
                <w:sz w:val="20"/>
                <w:szCs w:val="20"/>
                <w:b w:val="1"/>
                <w:bCs w:val="1"/>
                <w:color w:val="auto"/>
              </w:rPr>
              <w:t/>
            </w:r>
            <w:r>
              <w:rPr>
                <w:rFonts w:ascii="Arial" w:cs="Arial" w:eastAsia="Arial" w:hAnsi="Arial"/>
                <w:sz w:val="20"/>
                <w:szCs w:val="20"/>
                <w:b w:val="1"/>
                <w:bCs w:val="1"/>
                <w:color w:val="auto"/>
              </w:rPr>
              <w:t>Hunter Haas, IV</w:t>
            </w:r>
            <w:r>
              <w:rPr>
                <w:rFonts w:ascii="PMingLiU" w:cs="PMingLiU" w:eastAsia="PMingLiU" w:hAnsi="PMingLiU"/>
                <w:sz w:val="20"/>
                <w:szCs w:val="20"/>
                <w:b w:val="1"/>
                <w:bCs w:val="1"/>
                <w:color w:val="auto"/>
              </w:rPr>
              <w:t/>
            </w:r>
          </w:p>
        </w:tc>
        <w:tc>
          <w:tcPr>
            <w:tcW w:w="280" w:type="dxa"/>
            <w:vAlign w:val="bottom"/>
          </w:tcPr>
          <w:p>
            <w:pPr>
              <w:spacing w:after="0"/>
              <w:rPr>
                <w:sz w:val="23"/>
                <w:szCs w:val="23"/>
                <w:color w:val="auto"/>
              </w:rPr>
            </w:pPr>
          </w:p>
        </w:tc>
        <w:tc>
          <w:tcPr>
            <w:tcW w:w="2700" w:type="dxa"/>
            <w:vAlign w:val="bottom"/>
          </w:tcPr>
          <w:p>
            <w:pPr>
              <w:ind w:left="100"/>
              <w:spacing w:after="0"/>
              <w:rPr>
                <w:sz w:val="20"/>
                <w:szCs w:val="20"/>
                <w:color w:val="auto"/>
              </w:rPr>
            </w:pPr>
            <w:r>
              <w:rPr>
                <w:rFonts w:ascii="Arial" w:cs="Arial" w:eastAsia="Arial" w:hAnsi="Arial"/>
                <w:sz w:val="20"/>
                <w:szCs w:val="20"/>
                <w:color w:val="auto"/>
              </w:rPr>
              <w:t>Chief Executive Officer</w:t>
            </w:r>
          </w:p>
        </w:tc>
        <w:tc>
          <w:tcPr>
            <w:tcW w:w="260" w:type="dxa"/>
            <w:vAlign w:val="bottom"/>
          </w:tcPr>
          <w:p>
            <w:pPr>
              <w:spacing w:after="0"/>
              <w:rPr>
                <w:sz w:val="23"/>
                <w:szCs w:val="23"/>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Vero Beach, FL 32963</w:t>
            </w:r>
          </w:p>
        </w:tc>
        <w:tc>
          <w:tcPr>
            <w:tcW w:w="0" w:type="dxa"/>
            <w:vAlign w:val="bottom"/>
          </w:tcPr>
          <w:p>
            <w:pPr>
              <w:spacing w:after="0"/>
              <w:rPr>
                <w:sz w:val="1"/>
                <w:szCs w:val="1"/>
                <w:color w:val="auto"/>
              </w:rPr>
            </w:pPr>
          </w:p>
        </w:tc>
      </w:tr>
      <w:tr>
        <w:trPr>
          <w:trHeight w:val="258"/>
        </w:trPr>
        <w:tc>
          <w:tcPr>
            <w:tcW w:w="29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940" w:type="dxa"/>
            <w:vAlign w:val="bottom"/>
            <w:gridSpan w:val="2"/>
          </w:tcPr>
          <w:p>
            <w:pPr>
              <w:ind w:left="360"/>
              <w:spacing w:after="0"/>
              <w:rPr>
                <w:sz w:val="20"/>
                <w:szCs w:val="20"/>
                <w:color w:val="auto"/>
              </w:rPr>
            </w:pPr>
            <w:r>
              <w:rPr>
                <w:rFonts w:ascii="Arial" w:cs="Arial" w:eastAsia="Arial" w:hAnsi="Arial"/>
                <w:sz w:val="20"/>
                <w:szCs w:val="20"/>
                <w:color w:val="auto"/>
              </w:rPr>
              <w:t>(772) 231-1400</w:t>
            </w:r>
          </w:p>
        </w:tc>
        <w:tc>
          <w:tcPr>
            <w:tcW w:w="0" w:type="dxa"/>
            <w:vAlign w:val="bottom"/>
          </w:tcPr>
          <w:p>
            <w:pPr>
              <w:spacing w:after="0"/>
              <w:rPr>
                <w:sz w:val="1"/>
                <w:szCs w:val="1"/>
                <w:color w:val="auto"/>
              </w:rPr>
            </w:pPr>
          </w:p>
        </w:tc>
      </w:tr>
      <w:tr>
        <w:trPr>
          <w:trHeight w:val="270"/>
        </w:trPr>
        <w:tc>
          <w:tcPr>
            <w:tcW w:w="2980" w:type="dxa"/>
            <w:vAlign w:val="bottom"/>
          </w:tcPr>
          <w:p>
            <w:pPr>
              <w:ind w:left="100"/>
              <w:spacing w:after="0"/>
              <w:rPr>
                <w:sz w:val="20"/>
                <w:szCs w:val="20"/>
                <w:color w:val="auto"/>
              </w:rPr>
            </w:pPr>
            <w:r>
              <w:rPr>
                <w:rFonts w:ascii="PMingLiU" w:cs="PMingLiU" w:eastAsia="PMingLiU" w:hAnsi="PMingLiU"/>
                <w:sz w:val="20"/>
                <w:szCs w:val="20"/>
                <w:color w:val="auto"/>
              </w:rPr>
              <w:t xml:space="preserve">0DQDJHPHQW </w:t>
            </w:r>
            <w:r>
              <w:rPr>
                <w:rFonts w:ascii="Arial" w:cs="Arial" w:eastAsia="Arial" w:hAnsi="Arial"/>
                <w:sz w:val="20"/>
                <w:szCs w:val="20"/>
                <w:color w:val="auto"/>
              </w:rPr>
              <w:t>Director</w:t>
            </w:r>
          </w:p>
        </w:tc>
        <w:tc>
          <w:tcPr>
            <w:tcW w:w="280" w:type="dxa"/>
            <w:vAlign w:val="bottom"/>
          </w:tcPr>
          <w:p>
            <w:pPr>
              <w:spacing w:after="0"/>
              <w:rPr>
                <w:sz w:val="23"/>
                <w:szCs w:val="23"/>
                <w:color w:val="auto"/>
              </w:rPr>
            </w:pPr>
          </w:p>
        </w:tc>
        <w:tc>
          <w:tcPr>
            <w:tcW w:w="2700" w:type="dxa"/>
            <w:vAlign w:val="bottom"/>
          </w:tcPr>
          <w:p>
            <w:pPr>
              <w:ind w:left="100"/>
              <w:spacing w:after="0"/>
              <w:rPr>
                <w:sz w:val="20"/>
                <w:szCs w:val="20"/>
                <w:color w:val="auto"/>
              </w:rPr>
            </w:pPr>
            <w:r>
              <w:rPr>
                <w:rFonts w:ascii="Arial" w:cs="Arial" w:eastAsia="Arial" w:hAnsi="Arial"/>
                <w:sz w:val="20"/>
                <w:szCs w:val="20"/>
                <w:b w:val="1"/>
                <w:bCs w:val="1"/>
                <w:color w:val="auto"/>
              </w:rPr>
              <w:t>G. Hunter Haas, IV</w:t>
            </w:r>
          </w:p>
        </w:tc>
        <w:tc>
          <w:tcPr>
            <w:tcW w:w="26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00" w:type="dxa"/>
            <w:vAlign w:val="bottom"/>
          </w:tcPr>
          <w:p>
            <w:pPr>
              <w:ind w:left="100"/>
              <w:spacing w:after="0"/>
              <w:rPr>
                <w:sz w:val="20"/>
                <w:szCs w:val="20"/>
                <w:color w:val="auto"/>
              </w:rPr>
            </w:pPr>
            <w:r>
              <w:rPr>
                <w:rFonts w:ascii="Arial" w:cs="Arial" w:eastAsia="Arial" w:hAnsi="Arial"/>
                <w:sz w:val="20"/>
                <w:szCs w:val="20"/>
                <w:color w:val="auto"/>
              </w:rPr>
              <w:t>Chief Financial Officer and</w:t>
            </w:r>
          </w:p>
        </w:tc>
        <w:tc>
          <w:tcPr>
            <w:tcW w:w="260" w:type="dxa"/>
            <w:vAlign w:val="bottom"/>
          </w:tcPr>
          <w:p>
            <w:pPr>
              <w:spacing w:after="0"/>
              <w:rPr>
                <w:sz w:val="23"/>
                <w:szCs w:val="23"/>
                <w:color w:val="auto"/>
              </w:rPr>
            </w:pPr>
          </w:p>
        </w:tc>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TRANSFER AGENT &amp; REGISTRAR</w:t>
            </w:r>
          </w:p>
        </w:tc>
        <w:tc>
          <w:tcPr>
            <w:tcW w:w="0" w:type="dxa"/>
            <w:vAlign w:val="bottom"/>
          </w:tcPr>
          <w:p>
            <w:pPr>
              <w:spacing w:after="0"/>
              <w:rPr>
                <w:sz w:val="1"/>
                <w:szCs w:val="1"/>
                <w:color w:val="auto"/>
              </w:rPr>
            </w:pPr>
          </w:p>
        </w:tc>
      </w:tr>
      <w:tr>
        <w:trPr>
          <w:trHeight w:val="244"/>
        </w:trPr>
        <w:tc>
          <w:tcPr>
            <w:tcW w:w="2980" w:type="dxa"/>
            <w:vAlign w:val="bottom"/>
          </w:tcPr>
          <w:p>
            <w:pPr>
              <w:ind w:left="100"/>
              <w:spacing w:after="0"/>
              <w:rPr>
                <w:sz w:val="20"/>
                <w:szCs w:val="20"/>
                <w:color w:val="auto"/>
              </w:rPr>
            </w:pPr>
            <w:r>
              <w:rPr>
                <w:rFonts w:ascii="Arial" w:cs="Arial" w:eastAsia="Arial" w:hAnsi="Arial"/>
                <w:sz w:val="20"/>
                <w:szCs w:val="20"/>
                <w:b w:val="1"/>
                <w:bCs w:val="1"/>
                <w:color w:val="auto"/>
              </w:rPr>
              <w:t>W Coleman Bitting</w:t>
            </w:r>
          </w:p>
        </w:tc>
        <w:tc>
          <w:tcPr>
            <w:tcW w:w="280" w:type="dxa"/>
            <w:vAlign w:val="bottom"/>
          </w:tcPr>
          <w:p>
            <w:pPr>
              <w:spacing w:after="0"/>
              <w:rPr>
                <w:sz w:val="21"/>
                <w:szCs w:val="21"/>
                <w:color w:val="auto"/>
              </w:rPr>
            </w:pPr>
          </w:p>
        </w:tc>
        <w:tc>
          <w:tcPr>
            <w:tcW w:w="2700" w:type="dxa"/>
            <w:vAlign w:val="bottom"/>
          </w:tcPr>
          <w:p>
            <w:pPr>
              <w:ind w:left="100"/>
              <w:spacing w:after="0"/>
              <w:rPr>
                <w:sz w:val="20"/>
                <w:szCs w:val="20"/>
                <w:color w:val="auto"/>
              </w:rPr>
            </w:pPr>
            <w:r>
              <w:rPr>
                <w:rFonts w:ascii="Arial" w:cs="Arial" w:eastAsia="Arial" w:hAnsi="Arial"/>
                <w:sz w:val="20"/>
                <w:szCs w:val="20"/>
                <w:color w:val="auto"/>
              </w:rPr>
              <w:t>Chief Investment Officer</w:t>
            </w:r>
          </w:p>
        </w:tc>
        <w:tc>
          <w:tcPr>
            <w:tcW w:w="260" w:type="dxa"/>
            <w:vAlign w:val="bottom"/>
          </w:tcPr>
          <w:p>
            <w:pPr>
              <w:spacing w:after="0"/>
              <w:rPr>
                <w:sz w:val="21"/>
                <w:szCs w:val="21"/>
                <w:color w:val="auto"/>
              </w:rPr>
            </w:pPr>
          </w:p>
        </w:tc>
        <w:tc>
          <w:tcPr>
            <w:tcW w:w="468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Continental Stock Transfer &amp; Trust Company</w:t>
            </w:r>
          </w:p>
        </w:tc>
        <w:tc>
          <w:tcPr>
            <w:tcW w:w="0" w:type="dxa"/>
            <w:vAlign w:val="bottom"/>
          </w:tcPr>
          <w:p>
            <w:pPr>
              <w:spacing w:after="0"/>
              <w:rPr>
                <w:sz w:val="1"/>
                <w:szCs w:val="1"/>
                <w:color w:val="auto"/>
              </w:rPr>
            </w:pPr>
          </w:p>
        </w:tc>
      </w:tr>
      <w:tr>
        <w:trPr>
          <w:trHeight w:val="201"/>
        </w:trPr>
        <w:tc>
          <w:tcPr>
            <w:tcW w:w="2980" w:type="dxa"/>
            <w:vAlign w:val="bottom"/>
          </w:tcPr>
          <w:p>
            <w:pPr>
              <w:ind w:left="100"/>
              <w:spacing w:after="0" w:line="202" w:lineRule="exact"/>
              <w:rPr>
                <w:sz w:val="20"/>
                <w:szCs w:val="20"/>
                <w:color w:val="auto"/>
              </w:rPr>
            </w:pPr>
            <w:r>
              <w:rPr>
                <w:rFonts w:ascii="Arial" w:cs="Arial" w:eastAsia="Arial" w:hAnsi="Arial"/>
                <w:sz w:val="20"/>
                <w:szCs w:val="20"/>
                <w:color w:val="auto"/>
              </w:rPr>
              <w:t>Independent Director and</w:t>
            </w:r>
          </w:p>
        </w:tc>
        <w:tc>
          <w:tcPr>
            <w:tcW w:w="2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vMerge w:val="restart"/>
          </w:tcPr>
          <w:p>
            <w:pPr>
              <w:ind w:left="100"/>
              <w:spacing w:after="0"/>
              <w:rPr>
                <w:sz w:val="20"/>
                <w:szCs w:val="20"/>
                <w:color w:val="auto"/>
              </w:rPr>
            </w:pPr>
            <w:r>
              <w:rPr>
                <w:rFonts w:ascii="Arial" w:cs="Arial" w:eastAsia="Arial" w:hAnsi="Arial"/>
                <w:sz w:val="20"/>
                <w:szCs w:val="20"/>
                <w:color w:val="auto"/>
              </w:rPr>
              <w:t>Chair of Compensation</w:t>
            </w:r>
          </w:p>
        </w:tc>
        <w:tc>
          <w:tcPr>
            <w:tcW w:w="280" w:type="dxa"/>
            <w:vAlign w:val="bottom"/>
          </w:tcPr>
          <w:p>
            <w:pPr>
              <w:spacing w:after="0"/>
              <w:rPr>
                <w:sz w:val="19"/>
                <w:szCs w:val="19"/>
                <w:color w:val="auto"/>
              </w:rPr>
            </w:pPr>
          </w:p>
        </w:tc>
        <w:tc>
          <w:tcPr>
            <w:tcW w:w="27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Jerry M. Sintes, CPA</w:t>
            </w:r>
          </w:p>
        </w:tc>
        <w:tc>
          <w:tcPr>
            <w:tcW w:w="260" w:type="dxa"/>
            <w:vAlign w:val="bottom"/>
          </w:tcPr>
          <w:p>
            <w:pPr>
              <w:spacing w:after="0"/>
              <w:rPr>
                <w:sz w:val="19"/>
                <w:szCs w:val="19"/>
                <w:color w:val="auto"/>
              </w:rPr>
            </w:pPr>
          </w:p>
        </w:tc>
        <w:tc>
          <w:tcPr>
            <w:tcW w:w="4680" w:type="dxa"/>
            <w:vAlign w:val="bottom"/>
          </w:tcPr>
          <w:p>
            <w:pPr>
              <w:ind w:left="100"/>
              <w:spacing w:after="0" w:line="219" w:lineRule="exact"/>
              <w:rPr>
                <w:sz w:val="20"/>
                <w:szCs w:val="20"/>
                <w:color w:val="auto"/>
              </w:rPr>
            </w:pPr>
            <w:r>
              <w:rPr>
                <w:rFonts w:ascii="Arial" w:cs="Arial" w:eastAsia="Arial" w:hAnsi="Arial"/>
                <w:sz w:val="20"/>
                <w:szCs w:val="20"/>
                <w:color w:val="auto"/>
              </w:rPr>
              <w:t>17 Battery Place</w:t>
            </w:r>
          </w:p>
        </w:tc>
        <w:tc>
          <w:tcPr>
            <w:tcW w:w="0" w:type="dxa"/>
            <w:vAlign w:val="bottom"/>
          </w:tcPr>
          <w:p>
            <w:pPr>
              <w:spacing w:after="0"/>
              <w:rPr>
                <w:sz w:val="1"/>
                <w:szCs w:val="1"/>
                <w:color w:val="auto"/>
              </w:rPr>
            </w:pPr>
          </w:p>
        </w:tc>
      </w:tr>
      <w:tr>
        <w:trPr>
          <w:trHeight w:val="108"/>
        </w:trPr>
        <w:tc>
          <w:tcPr>
            <w:tcW w:w="29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680" w:type="dxa"/>
            <w:vAlign w:val="bottom"/>
            <w:vMerge w:val="restart"/>
          </w:tcPr>
          <w:p>
            <w:pPr>
              <w:ind w:left="100"/>
              <w:spacing w:after="0" w:line="224" w:lineRule="exact"/>
              <w:rPr>
                <w:sz w:val="20"/>
                <w:szCs w:val="20"/>
                <w:color w:val="auto"/>
              </w:rPr>
            </w:pPr>
            <w:r>
              <w:rPr>
                <w:rFonts w:ascii="Arial" w:cs="Arial" w:eastAsia="Arial" w:hAnsi="Arial"/>
                <w:sz w:val="20"/>
                <w:szCs w:val="20"/>
                <w:color w:val="auto"/>
              </w:rPr>
              <w:t>New York, NY 10004</w:t>
            </w:r>
          </w:p>
        </w:tc>
        <w:tc>
          <w:tcPr>
            <w:tcW w:w="0" w:type="dxa"/>
            <w:vAlign w:val="bottom"/>
          </w:tcPr>
          <w:p>
            <w:pPr>
              <w:spacing w:after="0"/>
              <w:rPr>
                <w:sz w:val="1"/>
                <w:szCs w:val="1"/>
                <w:color w:val="auto"/>
              </w:rPr>
            </w:pPr>
          </w:p>
        </w:tc>
      </w:tr>
      <w:tr>
        <w:trPr>
          <w:trHeight w:val="116"/>
        </w:trPr>
        <w:tc>
          <w:tcPr>
            <w:tcW w:w="2980" w:type="dxa"/>
            <w:vAlign w:val="bottom"/>
            <w:vMerge w:val="restart"/>
          </w:tcPr>
          <w:p>
            <w:pPr>
              <w:ind w:left="100"/>
              <w:spacing w:after="0"/>
              <w:rPr>
                <w:sz w:val="20"/>
                <w:szCs w:val="20"/>
                <w:color w:val="auto"/>
              </w:rPr>
            </w:pPr>
            <w:r>
              <w:rPr>
                <w:rFonts w:ascii="Arial" w:cs="Arial" w:eastAsia="Arial" w:hAnsi="Arial"/>
                <w:sz w:val="20"/>
                <w:szCs w:val="20"/>
                <w:color w:val="auto"/>
              </w:rPr>
              <w:t>Committee</w:t>
            </w:r>
          </w:p>
        </w:tc>
        <w:tc>
          <w:tcPr>
            <w:tcW w:w="280" w:type="dxa"/>
            <w:vAlign w:val="bottom"/>
          </w:tcPr>
          <w:p>
            <w:pPr>
              <w:spacing w:after="0"/>
              <w:rPr>
                <w:sz w:val="10"/>
                <w:szCs w:val="10"/>
                <w:color w:val="auto"/>
              </w:rPr>
            </w:pPr>
          </w:p>
        </w:tc>
        <w:tc>
          <w:tcPr>
            <w:tcW w:w="2700" w:type="dxa"/>
            <w:vAlign w:val="bottom"/>
            <w:vMerge w:val="restart"/>
          </w:tcPr>
          <w:p>
            <w:pPr>
              <w:ind w:left="100"/>
              <w:spacing w:after="0"/>
              <w:rPr>
                <w:sz w:val="20"/>
                <w:szCs w:val="20"/>
                <w:color w:val="auto"/>
              </w:rPr>
            </w:pPr>
            <w:r>
              <w:rPr>
                <w:rFonts w:ascii="Arial" w:cs="Arial" w:eastAsia="Arial" w:hAnsi="Arial"/>
                <w:sz w:val="20"/>
                <w:szCs w:val="20"/>
                <w:color w:val="auto"/>
              </w:rPr>
              <w:t>Treasurer</w:t>
            </w:r>
          </w:p>
        </w:tc>
        <w:tc>
          <w:tcPr>
            <w:tcW w:w="260" w:type="dxa"/>
            <w:vAlign w:val="bottom"/>
          </w:tcPr>
          <w:p>
            <w:pPr>
              <w:spacing w:after="0"/>
              <w:rPr>
                <w:sz w:val="10"/>
                <w:szCs w:val="10"/>
                <w:color w:val="auto"/>
              </w:rPr>
            </w:pPr>
          </w:p>
        </w:tc>
        <w:tc>
          <w:tcPr>
            <w:tcW w:w="4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4940" w:type="dxa"/>
            <w:vAlign w:val="bottom"/>
            <w:gridSpan w:val="2"/>
            <w:vMerge w:val="restart"/>
          </w:tcPr>
          <w:p>
            <w:pPr>
              <w:ind w:left="360"/>
              <w:spacing w:after="0"/>
              <w:rPr>
                <w:sz w:val="20"/>
                <w:szCs w:val="20"/>
                <w:color w:val="auto"/>
              </w:rPr>
            </w:pPr>
            <w:r>
              <w:rPr>
                <w:rFonts w:ascii="Arial" w:cs="Arial" w:eastAsia="Arial" w:hAnsi="Arial"/>
                <w:sz w:val="20"/>
                <w:szCs w:val="20"/>
                <w:color w:val="auto"/>
              </w:rPr>
              <w:t>(212)</w:t>
            </w:r>
            <w:r>
              <w:rPr>
                <w:rFonts w:ascii="PMingLiU" w:cs="PMingLiU" w:eastAsia="PMingLiU" w:hAnsi="PMingLiU"/>
                <w:sz w:val="20"/>
                <w:szCs w:val="20"/>
                <w:color w:val="auto"/>
              </w:rPr>
              <w:t/>
            </w:r>
            <w:r>
              <w:rPr>
                <w:rFonts w:ascii="Arial" w:cs="Arial" w:eastAsia="Arial" w:hAnsi="Arial"/>
                <w:sz w:val="20"/>
                <w:szCs w:val="20"/>
                <w:color w:val="auto"/>
              </w:rPr>
              <w:t>509-4000</w:t>
            </w: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4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6"/>
        </w:trPr>
        <w:tc>
          <w:tcPr>
            <w:tcW w:w="2980" w:type="dxa"/>
            <w:vAlign w:val="bottom"/>
          </w:tcPr>
          <w:p>
            <w:pPr>
              <w:ind w:left="100"/>
              <w:spacing w:after="0"/>
              <w:rPr>
                <w:sz w:val="20"/>
                <w:szCs w:val="20"/>
                <w:color w:val="auto"/>
              </w:rPr>
            </w:pPr>
            <w:r>
              <w:rPr>
                <w:rFonts w:ascii="Arial" w:cs="Arial" w:eastAsia="Arial" w:hAnsi="Arial"/>
                <w:sz w:val="20"/>
                <w:szCs w:val="20"/>
                <w:b w:val="1"/>
                <w:bCs w:val="1"/>
                <w:color w:val="auto"/>
              </w:rPr>
              <w:t>Frank P. Filipps</w:t>
            </w: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Specific questions regarding the transfer or</w:t>
            </w:r>
          </w:p>
        </w:tc>
        <w:tc>
          <w:tcPr>
            <w:tcW w:w="0" w:type="dxa"/>
            <w:vAlign w:val="bottom"/>
          </w:tcPr>
          <w:p>
            <w:pPr>
              <w:spacing w:after="0"/>
              <w:rPr>
                <w:sz w:val="1"/>
                <w:szCs w:val="1"/>
                <w:color w:val="auto"/>
              </w:rPr>
            </w:pPr>
          </w:p>
        </w:tc>
      </w:tr>
      <w:tr>
        <w:trPr>
          <w:trHeight w:val="260"/>
        </w:trPr>
        <w:tc>
          <w:tcPr>
            <w:tcW w:w="2980" w:type="dxa"/>
            <w:vAlign w:val="bottom"/>
          </w:tcPr>
          <w:p>
            <w:pPr>
              <w:ind w:left="100"/>
              <w:spacing w:after="0"/>
              <w:rPr>
                <w:sz w:val="20"/>
                <w:szCs w:val="20"/>
                <w:color w:val="auto"/>
              </w:rPr>
            </w:pPr>
            <w:r>
              <w:rPr>
                <w:rFonts w:ascii="PMingLiU" w:cs="PMingLiU" w:eastAsia="PMingLiU" w:hAnsi="PMingLiU"/>
                <w:sz w:val="20"/>
                <w:szCs w:val="20"/>
                <w:color w:val="auto"/>
              </w:rPr>
              <w:t>/HDG</w:t>
            </w:r>
            <w:r>
              <w:rPr>
                <w:rFonts w:ascii="Arial" w:cs="Arial" w:eastAsia="Arial" w:hAnsi="Arial"/>
                <w:sz w:val="20"/>
                <w:szCs w:val="20"/>
                <w:color w:val="auto"/>
              </w:rPr>
              <w:t>Independent Director</w:t>
            </w:r>
            <w:r>
              <w:rPr>
                <w:rFonts w:ascii="PMingLiU" w:cs="PMingLiU" w:eastAsia="PMingLiU" w:hAnsi="PMingLiU"/>
                <w:sz w:val="20"/>
                <w:szCs w:val="20"/>
                <w:color w:val="auto"/>
              </w:rPr>
              <w:t/>
            </w: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replacement of lost stock certificat</w:t>
            </w:r>
            <w:r>
              <w:rPr>
                <w:rFonts w:ascii="PMingLiU" w:cs="PMingLiU" w:eastAsia="PMingLiU" w:hAnsi="PMingLiU"/>
                <w:sz w:val="20"/>
                <w:szCs w:val="20"/>
                <w:color w:val="auto"/>
              </w:rPr>
              <w:t>HV</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replacement of lost dividend checks, or dividend</w:t>
            </w:r>
          </w:p>
        </w:tc>
        <w:tc>
          <w:tcPr>
            <w:tcW w:w="0" w:type="dxa"/>
            <w:vAlign w:val="bottom"/>
          </w:tcPr>
          <w:p>
            <w:pPr>
              <w:spacing w:after="0"/>
              <w:rPr>
                <w:sz w:val="1"/>
                <w:szCs w:val="1"/>
                <w:color w:val="auto"/>
              </w:rPr>
            </w:pPr>
          </w:p>
        </w:tc>
      </w:tr>
      <w:tr>
        <w:trPr>
          <w:trHeight w:val="224"/>
        </w:trPr>
        <w:tc>
          <w:tcPr>
            <w:tcW w:w="2980" w:type="dxa"/>
            <w:vAlign w:val="bottom"/>
          </w:tcPr>
          <w:p>
            <w:pPr>
              <w:ind w:left="140"/>
              <w:spacing w:after="0" w:line="224" w:lineRule="exact"/>
              <w:rPr>
                <w:sz w:val="20"/>
                <w:szCs w:val="20"/>
                <w:color w:val="auto"/>
              </w:rPr>
            </w:pPr>
            <w:r>
              <w:rPr>
                <w:rFonts w:ascii="PMingLiU" w:cs="PMingLiU" w:eastAsia="PMingLiU" w:hAnsi="PMingLiU"/>
                <w:sz w:val="20"/>
                <w:szCs w:val="20"/>
                <w:b w:val="1"/>
                <w:bCs w:val="1"/>
                <w:color w:val="auto"/>
              </w:rPr>
              <w:t>3DXOD0RUDELWR</w:t>
            </w: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tcPr>
          <w:p>
            <w:pPr>
              <w:ind w:left="100"/>
              <w:spacing w:after="0" w:line="225" w:lineRule="exact"/>
              <w:rPr>
                <w:sz w:val="20"/>
                <w:szCs w:val="20"/>
                <w:color w:val="auto"/>
              </w:rPr>
            </w:pPr>
            <w:r>
              <w:rPr>
                <w:rFonts w:ascii="Arial" w:cs="Arial" w:eastAsia="Arial" w:hAnsi="Arial"/>
                <w:sz w:val="20"/>
                <w:szCs w:val="20"/>
                <w:color w:val="auto"/>
              </w:rPr>
              <w:t>tax information should be made to Continental</w:t>
            </w:r>
          </w:p>
        </w:tc>
        <w:tc>
          <w:tcPr>
            <w:tcW w:w="0" w:type="dxa"/>
            <w:vAlign w:val="bottom"/>
          </w:tcPr>
          <w:p>
            <w:pPr>
              <w:spacing w:after="0"/>
              <w:rPr>
                <w:sz w:val="1"/>
                <w:szCs w:val="1"/>
                <w:color w:val="auto"/>
              </w:rPr>
            </w:pPr>
          </w:p>
        </w:tc>
      </w:tr>
      <w:tr>
        <w:trPr>
          <w:trHeight w:val="253"/>
        </w:trPr>
        <w:tc>
          <w:tcPr>
            <w:tcW w:w="2980" w:type="dxa"/>
            <w:vAlign w:val="bottom"/>
          </w:tcPr>
          <w:p>
            <w:pPr>
              <w:ind w:left="140"/>
              <w:spacing w:after="0"/>
              <w:rPr>
                <w:sz w:val="20"/>
                <w:szCs w:val="20"/>
                <w:color w:val="auto"/>
              </w:rPr>
            </w:pPr>
            <w:r>
              <w:rPr>
                <w:rFonts w:ascii="PMingLiU" w:cs="PMingLiU" w:eastAsia="PMingLiU" w:hAnsi="PMingLiU"/>
                <w:sz w:val="20"/>
                <w:szCs w:val="20"/>
                <w:color w:val="auto"/>
              </w:rPr>
              <w:t>,QGHSHQGHQW'LUHFWRUDQG</w:t>
            </w: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Stock Transfer &amp; Trust Company directly</w:t>
            </w: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4"/>
        </w:trPr>
        <w:tc>
          <w:tcPr>
            <w:tcW w:w="2980" w:type="dxa"/>
            <w:vAlign w:val="bottom"/>
            <w:vMerge w:val="restart"/>
          </w:tcPr>
          <w:p>
            <w:pPr>
              <w:ind w:left="140"/>
              <w:spacing w:after="0"/>
              <w:rPr>
                <w:sz w:val="20"/>
                <w:szCs w:val="20"/>
                <w:color w:val="auto"/>
              </w:rPr>
            </w:pPr>
            <w:r>
              <w:rPr>
                <w:rFonts w:ascii="PMingLiU" w:cs="PMingLiU" w:eastAsia="PMingLiU" w:hAnsi="PMingLiU"/>
                <w:sz w:val="20"/>
                <w:szCs w:val="20"/>
                <w:color w:val="auto"/>
              </w:rPr>
              <w:t>&amp;KDLURI$XGLW&amp;RPPLWWHH</w:t>
            </w: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at (212) 509-4000</w:t>
            </w:r>
          </w:p>
        </w:tc>
        <w:tc>
          <w:tcPr>
            <w:tcW w:w="0" w:type="dxa"/>
            <w:vAlign w:val="bottom"/>
          </w:tcPr>
          <w:p>
            <w:pPr>
              <w:spacing w:after="0"/>
              <w:rPr>
                <w:sz w:val="1"/>
                <w:szCs w:val="1"/>
                <w:color w:val="auto"/>
              </w:rPr>
            </w:pPr>
          </w:p>
        </w:tc>
      </w:tr>
      <w:tr>
        <w:trPr>
          <w:trHeight w:val="64"/>
        </w:trPr>
        <w:tc>
          <w:tcPr>
            <w:tcW w:w="29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2"/>
        </w:trPr>
        <w:tc>
          <w:tcPr>
            <w:tcW w:w="298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Ava L. Parker</w:t>
            </w: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auto"/>
              </w:rPr>
              <w:t>STOCK SYMBOL</w:t>
            </w:r>
          </w:p>
        </w:tc>
        <w:tc>
          <w:tcPr>
            <w:tcW w:w="0" w:type="dxa"/>
            <w:vAlign w:val="bottom"/>
          </w:tcPr>
          <w:p>
            <w:pPr>
              <w:spacing w:after="0"/>
              <w:rPr>
                <w:sz w:val="1"/>
                <w:szCs w:val="1"/>
                <w:color w:val="auto"/>
              </w:rPr>
            </w:pPr>
          </w:p>
        </w:tc>
      </w:tr>
      <w:tr>
        <w:trPr>
          <w:trHeight w:val="121"/>
        </w:trPr>
        <w:tc>
          <w:tcPr>
            <w:tcW w:w="29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140"/>
              <w:spacing w:after="0"/>
              <w:rPr>
                <w:sz w:val="20"/>
                <w:szCs w:val="20"/>
                <w:color w:val="auto"/>
              </w:rPr>
            </w:pPr>
            <w:r>
              <w:rPr>
                <w:rFonts w:ascii="Arial" w:cs="Arial" w:eastAsia="Arial" w:hAnsi="Arial"/>
                <w:sz w:val="20"/>
                <w:szCs w:val="20"/>
                <w:color w:val="auto"/>
              </w:rPr>
              <w:t>Independent Director and</w:t>
            </w: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80" w:type="dxa"/>
            <w:vAlign w:val="bottom"/>
            <w:vMerge w:val="restart"/>
          </w:tcPr>
          <w:p>
            <w:pPr>
              <w:ind w:left="100"/>
              <w:spacing w:after="0"/>
              <w:rPr>
                <w:sz w:val="20"/>
                <w:szCs w:val="20"/>
                <w:color w:val="auto"/>
              </w:rPr>
            </w:pPr>
            <w:r>
              <w:rPr>
                <w:rFonts w:ascii="Arial" w:cs="Arial" w:eastAsia="Arial" w:hAnsi="Arial"/>
                <w:sz w:val="20"/>
                <w:szCs w:val="20"/>
                <w:color w:val="auto"/>
              </w:rPr>
              <w:t>Orchid Island Capital, Inc.’s Common Stock is</w:t>
            </w:r>
          </w:p>
        </w:tc>
        <w:tc>
          <w:tcPr>
            <w:tcW w:w="0" w:type="dxa"/>
            <w:vAlign w:val="bottom"/>
          </w:tcPr>
          <w:p>
            <w:pPr>
              <w:spacing w:after="0"/>
              <w:rPr>
                <w:sz w:val="1"/>
                <w:szCs w:val="1"/>
                <w:color w:val="auto"/>
              </w:rPr>
            </w:pPr>
          </w:p>
        </w:tc>
      </w:tr>
      <w:tr>
        <w:trPr>
          <w:trHeight w:val="52"/>
        </w:trPr>
        <w:tc>
          <w:tcPr>
            <w:tcW w:w="2980" w:type="dxa"/>
            <w:vAlign w:val="bottom"/>
            <w:vMerge w:val="restart"/>
          </w:tcPr>
          <w:p>
            <w:pPr>
              <w:ind w:left="140"/>
              <w:spacing w:after="0"/>
              <w:rPr>
                <w:sz w:val="20"/>
                <w:szCs w:val="20"/>
                <w:color w:val="auto"/>
              </w:rPr>
            </w:pPr>
            <w:r>
              <w:rPr>
                <w:rFonts w:ascii="Arial" w:cs="Arial" w:eastAsia="Arial" w:hAnsi="Arial"/>
                <w:sz w:val="20"/>
                <w:szCs w:val="20"/>
                <w:color w:val="auto"/>
              </w:rPr>
              <w:t>Chair of Nominating and</w:t>
            </w:r>
          </w:p>
        </w:tc>
        <w:tc>
          <w:tcPr>
            <w:tcW w:w="2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80" w:type="dxa"/>
            <w:vAlign w:val="bottom"/>
          </w:tcPr>
          <w:p>
            <w:pPr>
              <w:ind w:left="100"/>
              <w:spacing w:after="0" w:line="213" w:lineRule="exact"/>
              <w:rPr>
                <w:sz w:val="20"/>
                <w:szCs w:val="20"/>
                <w:color w:val="auto"/>
              </w:rPr>
            </w:pPr>
            <w:r>
              <w:rPr>
                <w:rFonts w:ascii="Arial" w:cs="Arial" w:eastAsia="Arial" w:hAnsi="Arial"/>
                <w:sz w:val="20"/>
                <w:szCs w:val="20"/>
                <w:color w:val="auto"/>
              </w:rPr>
              <w:t>listed on the NYSE under the ticker symbol</w:t>
            </w:r>
            <w:r>
              <w:rPr>
                <w:rFonts w:ascii="PMingLiU" w:cs="PMingLiU" w:eastAsia="PMingLiU" w:hAnsi="PMingLiU"/>
                <w:sz w:val="20"/>
                <w:szCs w:val="20"/>
                <w:color w:val="auto"/>
              </w:rPr>
              <w:t/>
            </w:r>
            <w:r>
              <w:rPr>
                <w:rFonts w:ascii="Arial" w:cs="Arial" w:eastAsia="Arial" w:hAnsi="Arial"/>
                <w:sz w:val="20"/>
                <w:szCs w:val="20"/>
                <w:color w:val="auto"/>
              </w:rPr>
              <w:t>“ORC”</w:t>
            </w:r>
          </w:p>
        </w:tc>
        <w:tc>
          <w:tcPr>
            <w:tcW w:w="0" w:type="dxa"/>
            <w:vAlign w:val="bottom"/>
          </w:tcPr>
          <w:p>
            <w:pPr>
              <w:spacing w:after="0"/>
              <w:rPr>
                <w:sz w:val="1"/>
                <w:szCs w:val="1"/>
                <w:color w:val="auto"/>
              </w:rPr>
            </w:pPr>
          </w:p>
        </w:tc>
      </w:tr>
      <w:tr>
        <w:trPr>
          <w:trHeight w:val="264"/>
        </w:trPr>
        <w:tc>
          <w:tcPr>
            <w:tcW w:w="2980" w:type="dxa"/>
            <w:vAlign w:val="bottom"/>
          </w:tcPr>
          <w:p>
            <w:pPr>
              <w:ind w:left="140"/>
              <w:spacing w:after="0"/>
              <w:rPr>
                <w:sz w:val="20"/>
                <w:szCs w:val="20"/>
                <w:color w:val="auto"/>
              </w:rPr>
            </w:pPr>
            <w:r>
              <w:rPr>
                <w:rFonts w:ascii="Arial" w:cs="Arial" w:eastAsia="Arial" w:hAnsi="Arial"/>
                <w:sz w:val="20"/>
                <w:szCs w:val="20"/>
                <w:color w:val="auto"/>
              </w:rPr>
              <w:t>Corporate Governance</w:t>
            </w: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980" w:type="dxa"/>
            <w:vAlign w:val="bottom"/>
          </w:tcPr>
          <w:p>
            <w:pPr>
              <w:ind w:left="140"/>
              <w:spacing w:after="0"/>
              <w:rPr>
                <w:sz w:val="20"/>
                <w:szCs w:val="20"/>
                <w:color w:val="auto"/>
              </w:rPr>
            </w:pPr>
            <w:r>
              <w:rPr>
                <w:rFonts w:ascii="Arial" w:cs="Arial" w:eastAsia="Arial" w:hAnsi="Arial"/>
                <w:sz w:val="20"/>
                <w:szCs w:val="20"/>
                <w:color w:val="auto"/>
              </w:rPr>
              <w:t>Committee</w:t>
            </w:r>
          </w:p>
        </w:tc>
        <w:tc>
          <w:tcPr>
            <w:tcW w:w="2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8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ANNUAL MEETING</w:t>
            </w: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tcPr>
          <w:p>
            <w:pPr>
              <w:ind w:left="100"/>
              <w:spacing w:after="0"/>
              <w:rPr>
                <w:sz w:val="20"/>
                <w:szCs w:val="20"/>
                <w:color w:val="auto"/>
              </w:rPr>
            </w:pPr>
            <w:r>
              <w:rPr>
                <w:rFonts w:ascii="PMingLiU" w:cs="PMingLiU" w:eastAsia="PMingLiU" w:hAnsi="PMingLiU"/>
                <w:sz w:val="20"/>
                <w:szCs w:val="20"/>
                <w:color w:val="auto"/>
              </w:rPr>
              <w:t>7KH$QQXDO0HHWLQJRI6WRFNKROGHUV</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tcPr>
          <w:p>
            <w:pPr>
              <w:ind w:left="100"/>
              <w:spacing w:after="0" w:line="230" w:lineRule="exact"/>
              <w:rPr>
                <w:sz w:val="20"/>
                <w:szCs w:val="20"/>
                <w:color w:val="auto"/>
              </w:rPr>
            </w:pPr>
            <w:r>
              <w:rPr>
                <w:rFonts w:ascii="PMingLiU" w:cs="PMingLiU" w:eastAsia="PMingLiU" w:hAnsi="PMingLiU"/>
                <w:sz w:val="20"/>
                <w:szCs w:val="20"/>
                <w:color w:val="auto"/>
              </w:rPr>
              <w:t>ZLOO EH KHOG 7XHVGD\ -XQH   DW</w:t>
            </w:r>
          </w:p>
        </w:tc>
        <w:tc>
          <w:tcPr>
            <w:tcW w:w="0" w:type="dxa"/>
            <w:vAlign w:val="bottom"/>
          </w:tcPr>
          <w:p>
            <w:pPr>
              <w:spacing w:after="0"/>
              <w:rPr>
                <w:sz w:val="1"/>
                <w:szCs w:val="1"/>
                <w:color w:val="auto"/>
              </w:rPr>
            </w:pPr>
          </w:p>
        </w:tc>
      </w:tr>
      <w:tr>
        <w:trPr>
          <w:trHeight w:val="271"/>
        </w:trPr>
        <w:tc>
          <w:tcPr>
            <w:tcW w:w="2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80" w:type="dxa"/>
            <w:vAlign w:val="bottom"/>
          </w:tcPr>
          <w:p>
            <w:pPr>
              <w:ind w:left="100"/>
              <w:spacing w:after="0"/>
              <w:rPr>
                <w:sz w:val="20"/>
                <w:szCs w:val="20"/>
                <w:color w:val="auto"/>
              </w:rPr>
            </w:pPr>
            <w:r>
              <w:rPr>
                <w:rFonts w:ascii="PMingLiU" w:cs="PMingLiU" w:eastAsia="PMingLiU" w:hAnsi="PMingLiU"/>
                <w:sz w:val="20"/>
                <w:szCs w:val="20"/>
                <w:color w:val="auto"/>
              </w:rPr>
              <w:t>DP(DVWHUQ7LPHDW</w:t>
            </w:r>
          </w:p>
        </w:tc>
        <w:tc>
          <w:tcPr>
            <w:tcW w:w="0" w:type="dxa"/>
            <w:vAlign w:val="bottom"/>
          </w:tcPr>
          <w:p>
            <w:pPr>
              <w:spacing w:after="0"/>
              <w:rPr>
                <w:sz w:val="1"/>
                <w:szCs w:val="1"/>
                <w:color w:val="auto"/>
              </w:rPr>
            </w:pPr>
          </w:p>
        </w:tc>
      </w:tr>
      <w:tr>
        <w:trPr>
          <w:trHeight w:val="422"/>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tcPr>
          <w:p>
            <w:pPr>
              <w:ind w:left="100"/>
              <w:spacing w:after="0"/>
              <w:rPr>
                <w:sz w:val="20"/>
                <w:szCs w:val="20"/>
                <w:color w:val="auto"/>
              </w:rPr>
            </w:pPr>
            <w:r>
              <w:rPr>
                <w:rFonts w:ascii="Arial" w:cs="Arial" w:eastAsia="Arial" w:hAnsi="Arial"/>
                <w:sz w:val="20"/>
                <w:szCs w:val="20"/>
                <w:b w:val="1"/>
                <w:bCs w:val="1"/>
                <w:color w:val="auto"/>
              </w:rPr>
              <w:t>Orchid Island Capital, Inc.</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3305 Flamingo Drive</w:t>
            </w:r>
          </w:p>
        </w:tc>
        <w:tc>
          <w:tcPr>
            <w:tcW w:w="0" w:type="dxa"/>
            <w:vAlign w:val="bottom"/>
          </w:tcPr>
          <w:p>
            <w:pPr>
              <w:spacing w:after="0"/>
              <w:rPr>
                <w:sz w:val="1"/>
                <w:szCs w:val="1"/>
                <w:color w:val="auto"/>
              </w:rPr>
            </w:pPr>
          </w:p>
        </w:tc>
      </w:tr>
      <w:tr>
        <w:trPr>
          <w:trHeight w:val="265"/>
        </w:trPr>
        <w:tc>
          <w:tcPr>
            <w:tcW w:w="2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80" w:type="dxa"/>
            <w:vAlign w:val="bottom"/>
          </w:tcPr>
          <w:p>
            <w:pPr>
              <w:ind w:left="100"/>
              <w:spacing w:after="0"/>
              <w:rPr>
                <w:sz w:val="20"/>
                <w:szCs w:val="20"/>
                <w:color w:val="auto"/>
              </w:rPr>
            </w:pPr>
            <w:r>
              <w:rPr>
                <w:rFonts w:ascii="Arial" w:cs="Arial" w:eastAsia="Arial" w:hAnsi="Arial"/>
                <w:sz w:val="20"/>
                <w:szCs w:val="20"/>
                <w:color w:val="auto"/>
              </w:rPr>
              <w:t>Vero Beach, FL 32963</w:t>
            </w:r>
          </w:p>
        </w:tc>
        <w:tc>
          <w:tcPr>
            <w:tcW w:w="0" w:type="dxa"/>
            <w:vAlign w:val="bottom"/>
          </w:tcPr>
          <w:p>
            <w:pPr>
              <w:spacing w:after="0"/>
              <w:rPr>
                <w:sz w:val="1"/>
                <w:szCs w:val="1"/>
                <w:color w:val="auto"/>
              </w:rPr>
            </w:pPr>
          </w:p>
        </w:tc>
      </w:tr>
    </w:tbl>
    <w:p>
      <w:pPr>
        <w:sectPr>
          <w:pgSz w:w="12240" w:h="15840" w:orient="portrait"/>
          <w:cols w:equalWidth="0" w:num="1">
            <w:col w:w="10900"/>
          </w:cols>
          <w:pgMar w:left="620" w:top="704" w:right="72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2917825</wp:posOffset>
            </wp:positionH>
            <wp:positionV relativeFrom="page">
              <wp:posOffset>2034540</wp:posOffset>
            </wp:positionV>
            <wp:extent cx="1950720" cy="419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507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560"/>
        <w:spacing w:after="0"/>
        <w:rPr>
          <w:sz w:val="20"/>
          <w:szCs w:val="20"/>
          <w:color w:val="auto"/>
        </w:rPr>
      </w:pPr>
      <w:r>
        <w:rPr>
          <w:rFonts w:ascii="Cambria" w:cs="Cambria" w:eastAsia="Cambria" w:hAnsi="Cambria"/>
          <w:sz w:val="22"/>
          <w:szCs w:val="22"/>
          <w:color w:val="auto"/>
        </w:rPr>
        <w:t>͵͵</w:t>
      </w:r>
      <w:r>
        <w:rPr>
          <w:rFonts w:ascii="PMingLiU" w:cs="PMingLiU" w:eastAsia="PMingLiU" w:hAnsi="PMingLiU"/>
          <w:sz w:val="22"/>
          <w:szCs w:val="22"/>
          <w:color w:val="auto"/>
        </w:rPr>
        <w:t xml:space="preserve">   </w:t>
      </w:r>
    </w:p>
    <w:p>
      <w:pPr>
        <w:spacing w:after="0" w:line="200" w:lineRule="exact"/>
        <w:rPr>
          <w:sz w:val="20"/>
          <w:szCs w:val="20"/>
          <w:color w:val="auto"/>
        </w:rPr>
      </w:pPr>
    </w:p>
    <w:p>
      <w:pPr>
        <w:spacing w:after="0" w:line="263" w:lineRule="exact"/>
        <w:rPr>
          <w:sz w:val="20"/>
          <w:szCs w:val="20"/>
          <w:color w:val="auto"/>
        </w:rPr>
      </w:pPr>
    </w:p>
    <w:p>
      <w:pPr>
        <w:ind w:left="3560"/>
        <w:spacing w:after="0"/>
        <w:rPr>
          <w:sz w:val="20"/>
          <w:szCs w:val="20"/>
          <w:color w:val="auto"/>
        </w:rPr>
      </w:pPr>
      <w:r>
        <w:rPr>
          <w:rFonts w:ascii="PMingLiU" w:cs="PMingLiU" w:eastAsia="PMingLiU" w:hAnsi="PMingLiU"/>
          <w:sz w:val="22"/>
          <w:szCs w:val="22"/>
          <w:color w:val="auto"/>
        </w:rPr>
        <w:t>   </w:t>
      </w:r>
      <w:r>
        <w:rPr>
          <w:rFonts w:ascii="Cambria" w:cs="Cambria" w:eastAsia="Cambria" w:hAnsi="Cambria"/>
          <w:sz w:val="22"/>
          <w:szCs w:val="22"/>
          <w:color w:val="auto"/>
        </w:rPr>
        <w:t xml:space="preserve">͵ʹͻ </w:t>
      </w:r>
      <w:r>
        <w:rPr>
          <w:rFonts w:ascii="PMingLiU" w:cs="PMingLiU" w:eastAsia="PMingLiU" w:hAnsi="PMingLiU"/>
          <w:sz w:val="22"/>
          <w:szCs w:val="22"/>
          <w:color w:val="auto"/>
        </w:rPr>
        <w:t xml:space="preserve"> </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տ"/>
      <w:numFmt w:val="bullet"/>
      <w:start w:val="1"/>
    </w:lvl>
    <w:lvl w:ilvl="1">
      <w:lvlJc w:val="left"/>
      <w:lvlText w:val="ց"/>
      <w:numFmt w:val="bullet"/>
      <w:start w:val="1"/>
    </w:lvl>
  </w:abstractNum>
  <w:abstractNum w:abstractNumId="1">
    <w:nsid w:val="4353D0CD"/>
    <w:multiLevelType w:val="hybridMultilevel"/>
    <w:lvl w:ilvl="0">
      <w:lvlJc w:val="left"/>
      <w:lvlText w:val="Ɣ"/>
      <w:numFmt w:val="bullet"/>
      <w:start w:val="1"/>
    </w:lvl>
  </w:abstractNum>
  <w:abstractNum w:abstractNumId="2">
    <w:nsid w:val="B03E0C6"/>
    <w:multiLevelType w:val="hybridMultilevel"/>
    <w:lvl w:ilvl="0">
      <w:lvlJc w:val="left"/>
      <w:lvlText w:val="Ɣ"/>
      <w:numFmt w:val="bullet"/>
      <w:start w:val="1"/>
    </w:lvl>
  </w:abstractNum>
  <w:abstractNum w:abstractNumId="3">
    <w:nsid w:val="189A769B"/>
    <w:multiLevelType w:val="hybridMultilevel"/>
    <w:lvl w:ilvl="0">
      <w:lvlJc w:val="left"/>
      <w:lvlText w:val="Ɣ"/>
      <w:numFmt w:val="bullet"/>
      <w:start w:val="1"/>
    </w:lvl>
  </w:abstractNum>
  <w:abstractNum w:abstractNumId="4">
    <w:nsid w:val="54E49EB4"/>
    <w:multiLevelType w:val="hybridMultilevel"/>
    <w:lvl w:ilvl="0">
      <w:lvlJc w:val="left"/>
      <w:lvlText w:val="Ɣ"/>
      <w:numFmt w:val="bullet"/>
      <w:start w:val="1"/>
    </w:lvl>
  </w:abstractNum>
  <w:abstractNum w:abstractNumId="5">
    <w:nsid w:val="71F32454"/>
    <w:multiLevelType w:val="hybridMultilevel"/>
    <w:lvl w:ilvl="0">
      <w:lvlJc w:val="left"/>
      <w:lvlText w:val="Ɣ"/>
      <w:numFmt w:val="bullet"/>
      <w:start w:val="1"/>
    </w:lvl>
  </w:abstractNum>
  <w:abstractNum w:abstractNumId="6">
    <w:nsid w:val="2CA88611"/>
    <w:multiLevelType w:val="hybridMultilevel"/>
    <w:lvl w:ilvl="0">
      <w:lvlJc w:val="left"/>
      <w:lvlText w:val="Ɣ"/>
      <w:numFmt w:val="bullet"/>
      <w:start w:val="1"/>
    </w:lvl>
  </w:abstractNum>
  <w:abstractNum w:abstractNumId="7">
    <w:nsid w:val="836C40E"/>
    <w:multiLevelType w:val="hybridMultilevel"/>
    <w:lvl w:ilvl="0">
      <w:lvlJc w:val="left"/>
      <w:lvlText w:val="Ɣ"/>
      <w:numFmt w:val="bullet"/>
      <w:start w:val="1"/>
    </w:lvl>
  </w:abstractNum>
  <w:abstractNum w:abstractNumId="8">
    <w:nsid w:val="2901D82"/>
    <w:multiLevelType w:val="hybridMultilevel"/>
    <w:lvl w:ilvl="0">
      <w:lvlJc w:val="left"/>
      <w:lvlText w:val="Ɣ"/>
      <w:numFmt w:val="bullet"/>
      <w:start w:val="1"/>
    </w:lvl>
  </w:abstractNum>
  <w:abstractNum w:abstractNumId="9">
    <w:nsid w:val="3A95F874"/>
    <w:multiLevelType w:val="hybridMultilevel"/>
    <w:lvl w:ilvl="0">
      <w:lvlJc w:val="left"/>
      <w:lvlText w:val="Ɣ"/>
      <w:numFmt w:val="bullet"/>
      <w:start w:val="1"/>
    </w:lvl>
  </w:abstractNum>
  <w:abstractNum w:abstractNumId="10">
    <w:nsid w:val="8138641"/>
    <w:multiLevelType w:val="hybridMultilevel"/>
    <w:lvl w:ilvl="0">
      <w:lvlJc w:val="left"/>
      <w:lvlText w:val="Ɣ"/>
      <w:numFmt w:val="bullet"/>
      <w:start w:val="1"/>
    </w:lvl>
  </w:abstractNum>
  <w:abstractNum w:abstractNumId="11">
    <w:nsid w:val="1E7FF521"/>
    <w:multiLevelType w:val="hybridMultilevel"/>
    <w:lvl w:ilvl="0">
      <w:lvlJc w:val="left"/>
      <w:lvlText w:val="Ɣ"/>
      <w:numFmt w:val="bullet"/>
      <w:start w:val="1"/>
    </w:lvl>
  </w:abstractNum>
  <w:abstractNum w:abstractNumId="12">
    <w:nsid w:val="7C3DBD3D"/>
    <w:multiLevelType w:val="hybridMultilevel"/>
    <w:lvl w:ilvl="0">
      <w:lvlJc w:val="left"/>
      <w:lvlText w:val="Ɣ"/>
      <w:numFmt w:val="bullet"/>
      <w:start w:val="1"/>
    </w:lvl>
  </w:abstractNum>
  <w:abstractNum w:abstractNumId="13">
    <w:nsid w:val="737B8DDC"/>
    <w:multiLevelType w:val="hybridMultilevel"/>
    <w:lvl w:ilvl="0">
      <w:lvlJc w:val="left"/>
      <w:lvlText w:val="Ɣ"/>
      <w:numFmt w:val="bullet"/>
      <w:start w:val="1"/>
    </w:lvl>
  </w:abstractNum>
  <w:abstractNum w:abstractNumId="14">
    <w:nsid w:val="6CEAF087"/>
    <w:multiLevelType w:val="hybridMultilevel"/>
    <w:lvl w:ilvl="0">
      <w:lvlJc w:val="left"/>
      <w:lvlText w:val="Ɣ"/>
      <w:numFmt w:val="bullet"/>
      <w:start w:val="1"/>
    </w:lvl>
  </w:abstractNum>
  <w:abstractNum w:abstractNumId="15">
    <w:nsid w:val="22221A70"/>
    <w:multiLevelType w:val="hybridMultilevel"/>
    <w:lvl w:ilvl="0">
      <w:lvlJc w:val="left"/>
      <w:lvlText w:val="Ɣ"/>
      <w:numFmt w:val="bullet"/>
      <w:start w:val="1"/>
    </w:lvl>
  </w:abstractNum>
  <w:abstractNum w:abstractNumId="16">
    <w:nsid w:val="4516DDE9"/>
    <w:multiLevelType w:val="hybridMultilevel"/>
    <w:lvl w:ilvl="0">
      <w:lvlJc w:val="left"/>
      <w:lvlText w:val="Ɣ"/>
      <w:numFmt w:val="bullet"/>
      <w:start w:val="1"/>
    </w:lvl>
  </w:abstractNum>
  <w:abstractNum w:abstractNumId="17">
    <w:nsid w:val="3006C83E"/>
    <w:multiLevelType w:val="hybridMultilevel"/>
    <w:lvl w:ilvl="0">
      <w:lvlJc w:val="left"/>
      <w:lvlText w:val="Ɣ"/>
      <w:numFmt w:val="bullet"/>
      <w:start w:val="1"/>
    </w:lvl>
  </w:abstractNum>
  <w:abstractNum w:abstractNumId="18">
    <w:nsid w:val="614FD4A1"/>
    <w:multiLevelType w:val="hybridMultilevel"/>
    <w:lvl w:ilvl="0">
      <w:lvlJc w:val="left"/>
      <w:lvlText w:val="Ɣ"/>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Ɣ"/>
      <w:numFmt w:val="bullet"/>
      <w:start w:val="1"/>
    </w:lvl>
    <w:lvl w:ilvl="1">
      <w:lvlJc w:val="left"/>
      <w:lvlText w:val="Ɣ"/>
      <w:numFmt w:val="bullet"/>
      <w:start w:val="1"/>
    </w:lvl>
  </w:abstractNum>
  <w:abstractNum w:abstractNumId="21">
    <w:nsid w:val="440BADFC"/>
    <w:multiLevelType w:val="hybridMultilevel"/>
    <w:lvl w:ilvl="0">
      <w:lvlJc w:val="left"/>
      <w:lvlText w:val="Ɣ"/>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Ɣ"/>
      <w:numFmt w:val="bullet"/>
      <w:start w:val="1"/>
    </w:lvl>
  </w:abstractNum>
  <w:abstractNum w:abstractNumId="28">
    <w:nsid w:val="5E884ADC"/>
    <w:multiLevelType w:val="hybridMultilevel"/>
    <w:lvl w:ilvl="0">
      <w:lvlJc w:val="left"/>
      <w:lvlText w:val="Ɣ"/>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Ɣ"/>
      <w:numFmt w:val="bullet"/>
      <w:start w:val="1"/>
    </w:lvl>
    <w:lvl w:ilvl="1">
      <w:lvlJc w:val="left"/>
      <w:lvlText w:val="Ɣ"/>
      <w:numFmt w:val="bullet"/>
      <w:start w:val="1"/>
    </w:lvl>
  </w:abstractNum>
  <w:abstractNum w:abstractNumId="41">
    <w:nsid w:val="7A6D8D3C"/>
    <w:multiLevelType w:val="hybridMultilevel"/>
    <w:lvl w:ilvl="0">
      <w:lvlJc w:val="left"/>
      <w:lvlText w:val="Ɣ"/>
      <w:numFmt w:val="bullet"/>
      <w:start w:val="1"/>
    </w:lvl>
  </w:abstractNum>
  <w:abstractNum w:abstractNumId="42">
    <w:nsid w:val="4B588F54"/>
    <w:multiLevelType w:val="hybridMultilevel"/>
    <w:lvl w:ilvl="0">
      <w:lvlJc w:val="left"/>
      <w:lvlText w:val="Ɣ"/>
      <w:numFmt w:val="bullet"/>
      <w:start w:val="1"/>
    </w:lvl>
  </w:abstractNum>
  <w:abstractNum w:abstractNumId="43">
    <w:nsid w:val="542289EC"/>
    <w:multiLevelType w:val="hybridMultilevel"/>
    <w:lvl w:ilvl="0">
      <w:lvlJc w:val="left"/>
      <w:lvlText w:val="Ɣ"/>
      <w:numFmt w:val="bullet"/>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2026-04-27T08:18:39Z</dcterms:created>
  <dcterms:modified xsi:type="dcterms:W3CDTF">2026-04-27T08:18:39Z</dcterms:modified>
</cp:coreProperties>
</file>