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Cauley Robert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3305 FLAMINGO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Orchid Island Capital, Inc.</w:t>
              </w:r>
            </w:hyperlink>
            <w:r>
              <w:rPr/>
              <w:t xml:space="preserve"> [ </w:t>
            </w:r>
            <w:r>
              <w:rPr>
                <w:rFonts w:ascii="Times;serif" w:hAnsi="Times;serif"/>
                <w:color w:val="0000FF"/>
                <w:sz w:val="24"/>
                <w:shd w:fill="FFFFFF" w:val="clear"/>
              </w:rPr>
              <w:t>ORC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228,260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56"/>
        <w:gridCol w:w="906"/>
        <w:gridCol w:w="801"/>
        <w:gridCol w:w="891"/>
        <w:gridCol w:w="861"/>
        <w:gridCol w:w="801"/>
        <w:gridCol w:w="1071"/>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125,719.28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1,276 shares of the Company's common stock issued upon the vesting of Performance Units awarded to the Reporting Person on March 19, 2024 pursuant to the Issuer's 2021 Equity Incentive Plan and 2023 Long Term Equity Incentive Compensation Plan. Cash was paid in lieu of issuing fractional shares based on the closing price of the Company's common stock on September 24,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E. Cauley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084" TargetMode="External"/><Relationship Id="rId5" Type="http://schemas.openxmlformats.org/officeDocument/2006/relationships/hyperlink" Target="http://www.sec.gov/cgi-bin/browse-edgar?action=getcompany&amp;CIK=0001518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3469</Characters>
  <CharactersWithSpaces>4034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